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农村工作服务中心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20</w:t>
      </w:r>
      <w:r>
        <w:rPr>
          <w:rFonts w:hint="eastAsia" w:ascii="方正小标宋_GBK" w:hAnsi="宋体" w:eastAsia="方正小标宋_GBK"/>
          <w:sz w:val="44"/>
          <w:szCs w:val="44"/>
          <w:lang w:val="en-US" w:eastAsia="zh-CN"/>
        </w:rPr>
        <w:t>22</w:t>
      </w:r>
      <w:r>
        <w:rPr>
          <w:rFonts w:hint="eastAsia" w:ascii="方正小标宋_GBK" w:hAnsi="宋体" w:eastAsia="方正小标宋_GBK"/>
          <w:sz w:val="44"/>
          <w:szCs w:val="44"/>
        </w:rPr>
        <w:t>年度财政专项资金绩效自评报告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宋体" w:eastAsia="方正小标宋_GBK"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（一）总体情况。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年度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我部门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预算安排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及上级转移支付资金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项目共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47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个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，资金总量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共计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2505.44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万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元，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其中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中央专项转移支付资金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14个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资金总量为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545.97万元；省级转移支付资金4个，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资金总量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为173.07万元；市级转移支付资金10个，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资金总量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为402.13万元 ；区级转移支付资金19个，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资金总量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为1876.07万元 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我部门按照上级文件要求，严格进行绩效目标管理，资产覆盖率符合文件对本单位的要求。项目申报时间、格式和质量都符合要求。通过建立完善的制度体系和运转流程，单位整体支出的效率性都有效增强，切实提升了整体支出效益，有力的推动了各项工作发展，实现部门预算管理总体目标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（二）具体情况。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我部门主要包括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乡村振兴、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巩固脱贫成果与乡村振兴有效衔接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农村改革工作、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落实各项惠农政策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、重大动物疫情防控、农产品质量安全、农业农村生态环保、林业等，共涉及到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八个主要项目，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具体情况如下：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olor w:val="000000" w:themeColor="text1"/>
          <w:sz w:val="32"/>
          <w:szCs w:val="32"/>
          <w:highlight w:val="none"/>
          <w:lang w:val="zh-CN" w:eastAsia="zh-CN"/>
          <w14:textFill>
            <w14:solidFill>
              <w14:schemeClr w14:val="tx1"/>
            </w14:solidFill>
          </w14:textFill>
        </w:rPr>
        <w:t>乡村振兴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按照省、市文件要求，结合我区实际，今年的创建任务目标为：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充分发挥财政资金的促进带动作用，项目资金全部及时拨付到位，较好完成1个示范区、2个示范村建设，充分发挥示范引领作用；持续推进人居环境整治工作，农村问题厕所、农村公厕管护、农村基础设施明显改善、村容村貌、乡村治理、水平有效提升，村集体经济产业不断发展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资金来源与预算安排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  <w:lang w:val="en-US" w:eastAsia="zh-CN"/>
        </w:rPr>
        <w:t>：资金来源于乡村振兴市级奖补资金250万元，乡村振兴区级奖补资金492.95万元，共计742.95万元。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2、巩固脱贫成果与乡村振兴有效衔接工作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产业帮扶提质增效。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采用“产业资金入股、委托龙头企业帮扶（高新区杰帅奶农农民专业合作社）、贫困户每月分红”的形式进行产业帮扶。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资金来源与预算安排：省级36万元、市级32.86万元，区级142.4万元，资金共计211.26万元。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、农村改革工作：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(1)粮食功能区划定、土地确权及宅基地工作项目资金：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主要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用于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聘请第三方对粮食生产数据库管理软件进行维护、数据的更新上传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土地确权办公费，系统维护升级、错误证书打印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宅基地办公费、复印费。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资金来源与预算安排：区级资金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万元，用于聘请三方费用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;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用于土地确权办公费，系统维护升级、错误证书打印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;宅基地办公费、复印费。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农村集体财务票据项目：主要内容和用途：与复印部签订合同进行票据复印，用于村级记账使用。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资金来源与预算安排：资金来源于区级，共计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2.5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万元。资金用于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复印</w:t>
      </w:r>
      <w:r>
        <w:rPr>
          <w:rFonts w:hint="eastAsia" w:ascii="仿宋" w:hAnsi="仿宋" w:eastAsia="仿宋" w:cs="仿宋"/>
          <w:sz w:val="32"/>
          <w:szCs w:val="32"/>
        </w:rPr>
        <w:t>服务费等。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村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lang w:val="en-US" w:eastAsia="zh-CN"/>
        </w:rPr>
        <w:t>集体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</w:rPr>
        <w:t>经济责任审计项目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主要内容和用途：委托有资质的会计师事务所作为第三方机构具</w:t>
      </w:r>
      <w:r>
        <w:rPr>
          <w:rFonts w:hint="eastAsia" w:ascii="仿宋" w:hAnsi="仿宋" w:eastAsia="仿宋" w:cs="仿宋"/>
          <w:sz w:val="32"/>
          <w:szCs w:val="32"/>
        </w:rPr>
        <w:t>体负责审计工作的实施。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资金来源与预算安排：资金来源于区级，共计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万元。资金用于重点村审计</w:t>
      </w:r>
      <w:r>
        <w:rPr>
          <w:rFonts w:hint="eastAsia" w:ascii="仿宋" w:hAnsi="仿宋" w:eastAsia="仿宋" w:cs="仿宋"/>
          <w:sz w:val="32"/>
          <w:szCs w:val="32"/>
        </w:rPr>
        <w:t>聘请三方服务费等。</w:t>
      </w:r>
    </w:p>
    <w:p>
      <w:pPr>
        <w:pStyle w:val="2"/>
        <w:keepNext w:val="0"/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智慧农经+大数据平台项目：主要用于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聘请第三方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对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软件升级维护及技术指导服务费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资金来源与预算安排：资金来源于区级，共计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资金用于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第三方机构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费用。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4、落实各项惠农政策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4" w:firstLineChars="200"/>
        <w:textAlignment w:val="auto"/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</w:rPr>
        <w:t>年农业机械购置补贴项目目标完成情况。</w:t>
      </w:r>
      <w:r>
        <w:rPr>
          <w:rFonts w:hint="eastAsia" w:ascii="仿宋_GB2312" w:eastAsia="仿宋_GB2312"/>
          <w:sz w:val="32"/>
          <w:szCs w:val="32"/>
          <w:highlight w:val="none"/>
        </w:rPr>
        <w:t>2022年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中央下达</w:t>
      </w:r>
      <w:r>
        <w:rPr>
          <w:rFonts w:hint="eastAsia" w:ascii="仿宋_GB2312" w:eastAsia="仿宋_GB2312"/>
          <w:sz w:val="32"/>
          <w:szCs w:val="32"/>
          <w:highlight w:val="none"/>
        </w:rPr>
        <w:t>我区农机购置补贴资金140万元，分两批拨付，每批70万元。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已完成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</w:rPr>
        <w:t>支出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  <w:t>139.852万元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</w:rPr>
        <w:t>，预算执行率为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  <w:t>100%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eastAsia="zh-CN"/>
        </w:rPr>
        <w:t>按照相关政策规定，农机购置补贴系统常年开放，随购随补。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目前补贴系统有</w:t>
      </w:r>
      <w:r>
        <w:rPr>
          <w:rFonts w:hint="eastAsia" w:ascii="仿宋_GB2312" w:eastAsia="仿宋_GB2312"/>
          <w:sz w:val="32"/>
          <w:szCs w:val="32"/>
          <w:highlight w:val="none"/>
        </w:rPr>
        <w:t>11台机具进行了超录申请，涉及补贴资金7.884万元。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  <w:t>待2023年补贴资金下达后再进行机具核验、补贴资金的发放。</w:t>
      </w:r>
      <w:r>
        <w:rPr>
          <w:rFonts w:hint="eastAsia" w:ascii="仿宋_GB2312" w:eastAsia="仿宋_GB2312"/>
          <w:sz w:val="32"/>
          <w:szCs w:val="32"/>
          <w:highlight w:val="none"/>
        </w:rPr>
        <w:t>通过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农机购置</w:t>
      </w:r>
      <w:r>
        <w:rPr>
          <w:rFonts w:hint="eastAsia" w:ascii="仿宋_GB2312" w:eastAsia="仿宋_GB2312"/>
          <w:sz w:val="32"/>
          <w:szCs w:val="32"/>
          <w:highlight w:val="none"/>
        </w:rPr>
        <w:t>补贴工作的开展，大大提高了我区的农机装备水平，特别是农机导航拥有量大幅提高，使农机田间作业更精准，作业质量更高。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“三员”生活补贴。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对我区农民身份曾经受聘在原乡镇（公社）农机站（农机管理站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、拖拉机站）、农业技术推广站、基层兽医站工作过的农村原拖拉机驾驶员和农机管理修理人员、农民技术员、基层畜牧兽医人员发放生活补贴，以解决三员人员老有所养的问题。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年度预算安排资金总量为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45.3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实际到位资金为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44.12万元，已完成支出44.12万元，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全部为区预算安排资金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</w:rPr>
        <w:t>预算执行率为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  <w:t>100%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年度预期绩效目标设定情况通过补贴资金的发放，确保我区“三员”人员老有所养。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今年上半年符合“三员”生活补助发放标准的有179人，涉及生活补助资金</w:t>
      </w:r>
      <w:r>
        <w:rPr>
          <w:rFonts w:hint="eastAsia" w:ascii="仿宋_GB2312" w:eastAsia="仿宋_GB2312"/>
          <w:sz w:val="32"/>
          <w:szCs w:val="32"/>
          <w:highlight w:val="none"/>
        </w:rPr>
        <w:t>21.992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万元；下半年符合“三员”生活补助发放标准的有181人，涉及生活补助资金22.128万元。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(3)农机安全监理：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年度预算安排资金总量为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已完成支出1.4965万元，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</w:rPr>
        <w:t>预算执行率为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  <w:t>99.76%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全部为区级资金。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主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要用于拖拉机、联合收割机牌证登记业务及档案制作、各类表格制作；拖拉机、联合收割机驾驶员驾驶证登记业务及档案制作、各类表格制作、办公耗材等；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购买高拍仪、农机购置补贴政策宣传材料印刷；农机购置补贴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农机安全生产宣传教育培训，宣传资料印刷、展牌和条幅制作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农机安全生产检查和农机事故处理经费。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通过农机安全生产宣传、农机购置补贴政策宣传等，提高了辖区农机手的安全生产意识，同时也大大提高了农机户办理农机购置补贴政策知晓率，确保了农机补贴真人、真机，没有骗取、套取补贴的情况发生。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  <w:t>4)耕地地力保护补贴项目。2022年中央提前下达我区耕地地力保护补贴资金592万元，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已完成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</w:rPr>
        <w:t>支出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  <w:t>591.9972万元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</w:rPr>
        <w:t>，预算执行率为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  <w:t>99.99%。联合财政局印发《高新区2022年耕地地力保护补贴工作实施方案》，协调组织推进，确保耕地地力保护补贴资金准确、及时、安全发放。经各镇办、村统计核实我区符合耕地地力保护补贴标准的土地面积6.1232万亩，涉及农户1.349万户。通过各镇办村公示无异议后，经财政局综合测算2022年</w:t>
      </w:r>
      <w:bookmarkStart w:id="0" w:name="_GoBack"/>
      <w:bookmarkEnd w:id="0"/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  <w:t>耕地地力保护补贴标准为96.68元/亩，实际发放补贴资金总额为591.9972万元，此项补贴已于6月底通过一卡（折）通方式直接发放给农户。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4" w:firstLineChars="200"/>
        <w:textAlignment w:val="auto"/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  <w:t>(5)种粮农民一次性补贴项目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</w:rPr>
        <w:t>目标完成情况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  <w:t>。2022年中央分三批下达我区实际种粮农民一次性补贴，我们联合财政局分别印发工作实施方案，三批种粮农民一次性补贴资金分别为第一批98万、第二批43万、第三批50万，合计金额为191万元，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已完成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</w:rPr>
        <w:t>支出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  <w:t>190.996万元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</w:rPr>
        <w:t>，预算执行率为</w:t>
      </w:r>
      <w:r>
        <w:rPr>
          <w:rFonts w:hint="eastAsia" w:ascii="仿宋_GB2312" w:hAnsi="仿宋" w:eastAsia="仿宋_GB2312"/>
          <w:color w:val="333333"/>
          <w:spacing w:val="1"/>
          <w:sz w:val="32"/>
          <w:szCs w:val="32"/>
          <w:highlight w:val="none"/>
          <w:lang w:val="en-US" w:eastAsia="zh-CN"/>
        </w:rPr>
        <w:t>99.99%。经过各村申报，镇办审核、公示，区级汇总、测算，2022年实际种粮补贴第一批涉及2.4264万亩，农户3720户，补贴金额97.9810万元。第二批涉及4.1154亩，农户7576户，补贴金额42.9650万元。第三批涉及4.6129万亩，农户8950户，补贴资金50.0503万元（503.77元为耕地地力保护补贴和第一、二批实际种粮补贴结余资金）。以上三批种粮补贴已按照要求通过一卡（折）通方式直接发放给农户。通过对实际种粮农民一次性补贴的发放，尤其今年进行了三次补贴资金的发放，大大提高了辖区农民种粮的积极性，今年我区冬小麦播种面积较去年有大幅提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、重大动物疫情防控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严格执行性控冻精、农产品疫病防治病死猪无害化处理工作。全区56个生猪养殖场户，引进优质奶牛性控冻精，同时通过微信群、包联责任人和不定期巡检进行排查，做到排查情况每日专人汇总，第一时间发现、第一时间报告、第一时间处置，严防疫情发生和蔓延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  <w:lang w:val="zh-CN"/>
        </w:rPr>
      </w:pPr>
      <w:r>
        <w:rPr>
          <w:rFonts w:hint="eastAsia" w:ascii="黑体" w:hAnsi="黑体" w:eastAsia="黑体" w:cs="黑体"/>
          <w:sz w:val="32"/>
          <w:szCs w:val="32"/>
        </w:rPr>
        <w:t>6</w:t>
      </w:r>
      <w:r>
        <w:rPr>
          <w:rFonts w:hint="eastAsia" w:ascii="黑体" w:hAnsi="黑体" w:eastAsia="黑体" w:cs="黑体"/>
          <w:sz w:val="32"/>
          <w:szCs w:val="32"/>
          <w:lang w:val="zh-CN"/>
        </w:rPr>
        <w:t>、农产品质量安全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>通过项目实施 ，强力提升农产品质量安全水平，执法及检测人员的专业技能，通过培训满足岗位要求，监管能力显著提高，努力确保不发生重大农产品质量安全事件。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  <w:lang w:val="zh-CN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sz w:val="32"/>
          <w:szCs w:val="32"/>
          <w:lang w:val="zh-CN"/>
        </w:rPr>
        <w:t>农业农村生态环保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粮改饲”项目:建立秸秆收储运体系，推进秸秆肥料化、饲料化利用。因地制宜推广玉米秸秆粉碎直接还田、小麦粉碎灭茬（旋耕）还田、生物菌剂快速腐熟还田和秸秆堆沤等肥料化利用技术，着力提高耕地地力。发挥我区奶牛、绵羊养殖存栏量大的优势，把推进秸秆饲料化与调整畜禽养殖结构结合起来，结合“粮改饲”项目，大力推广全株玉米青贮、秸秆青贮和微贮等秸秆饲料化利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zh-CN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 w:cs="黑体"/>
          <w:color w:val="000000"/>
          <w:sz w:val="32"/>
          <w:szCs w:val="32"/>
          <w:lang w:val="zh-CN" w:eastAsia="zh-CN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32"/>
          <w:lang w:val="zh-CN" w:eastAsia="zh-CN"/>
        </w:rPr>
        <w:t>林业工作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年度预算安排资金总量为550万元，全部为区级资金，资金用于2018年市级下达我区造林任务2018年市级下达全区“一环四线” 通道绿化造林任务土地流转，按照每亩1200元的标准已经全部补贴到农户，资金发放率达100%，共支出资金507.570888万元，支出第三方劳务费用34万元，包括林地保护规划、上图上表、林地督查、外来入侵物种调查等相关费用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eastAsia="楷体_GB2312"/>
          <w:b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（一）前期准备</w:t>
      </w: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1.加强组织领导。按照区财政局安排部署，我单位近期开展绩效评价工作，明确由财务主管领导专门负责此项工作。具体工作由财务处牵头，组织、协调和监督落实此项工作。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2.制定实施方案。为推进绩效管理工作有效开展，根据上级有关规定和要求，由相关处室沟通、对接，制定绩效管理工作实施方案，对本部门项目进行简要介绍并自评，确保绩效评价工作有章可循，有序开展。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（二）组织实施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position w:val="14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通过组成专项督查组，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按照唐高财【2023】4号《关于做好2022年部门整体支出绩效自评工作的通知</w:t>
      </w:r>
      <w:r>
        <w:rPr>
          <w:rFonts w:hint="eastAsia" w:ascii="仿宋" w:hAnsi="仿宋" w:eastAsia="仿宋" w:cs="仿宋"/>
          <w:kern w:val="15"/>
          <w:sz w:val="32"/>
          <w:szCs w:val="32"/>
          <w:lang w:val="en-US" w:eastAsia="zh-CN"/>
        </w:rPr>
        <w:t>》文件，</w:t>
      </w:r>
      <w:r>
        <w:rPr>
          <w:rFonts w:hint="eastAsia" w:ascii="仿宋" w:hAnsi="仿宋" w:eastAsia="仿宋" w:cs="仿宋"/>
          <w:kern w:val="15"/>
          <w:sz w:val="32"/>
          <w:szCs w:val="32"/>
          <w:highlight w:val="none"/>
          <w:lang w:val="en-US" w:eastAsia="zh-CN"/>
        </w:rPr>
        <w:t>2022年计划评价项目</w:t>
      </w:r>
      <w:r>
        <w:rPr>
          <w:rFonts w:hint="eastAsia" w:ascii="仿宋" w:hAnsi="仿宋" w:eastAsia="仿宋" w:cs="仿宋"/>
          <w:color w:val="000000" w:themeColor="text1"/>
          <w:kern w:val="15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" w:hAnsi="仿宋" w:eastAsia="仿宋" w:cs="仿宋"/>
          <w:kern w:val="15"/>
          <w:sz w:val="32"/>
          <w:szCs w:val="32"/>
          <w:highlight w:val="none"/>
          <w:lang w:val="en-US" w:eastAsia="zh-CN"/>
        </w:rPr>
        <w:t>个，共计金额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3706.17</w:t>
      </w:r>
      <w:r>
        <w:rPr>
          <w:rFonts w:hint="eastAsia" w:ascii="仿宋" w:hAnsi="仿宋" w:eastAsia="仿宋" w:cs="仿宋"/>
          <w:kern w:val="15"/>
          <w:sz w:val="32"/>
          <w:szCs w:val="32"/>
          <w:highlight w:val="none"/>
          <w:lang w:val="en-US" w:eastAsia="zh-CN"/>
        </w:rPr>
        <w:t>万元，实际完成绩效评价项目</w:t>
      </w:r>
      <w:r>
        <w:rPr>
          <w:rFonts w:hint="eastAsia" w:ascii="仿宋" w:hAnsi="仿宋" w:eastAsia="仿宋" w:cs="仿宋"/>
          <w:color w:val="000000" w:themeColor="text1"/>
          <w:kern w:val="15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" w:hAnsi="仿宋" w:eastAsia="仿宋" w:cs="仿宋"/>
          <w:kern w:val="15"/>
          <w:sz w:val="32"/>
          <w:szCs w:val="32"/>
          <w:highlight w:val="none"/>
          <w:lang w:val="en-US" w:eastAsia="zh-CN"/>
        </w:rPr>
        <w:t>个，经过汇审，将部门整体绩效评价报告上报区财政局。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eastAsia="楷体_GB2312"/>
          <w:b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/>
          <w:b/>
          <w:sz w:val="32"/>
          <w:szCs w:val="32"/>
        </w:rPr>
        <w:t>分析评价</w:t>
      </w: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76" w:beforeAutospacing="0" w:after="180" w:afterAutospacing="0" w:line="560" w:lineRule="exact"/>
        <w:ind w:left="0" w:right="0" w:firstLine="640"/>
        <w:textAlignment w:val="auto"/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预算绩效管理工作领导小组开展自评工作，核查2022年财政预算批复执行及部门整体支出情况。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从产出指标、效益指标、满意度指标、执行率4大方面制定了绩效评价指标体系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涵盖共性指标与个性指标。遵循客观公正、尊重客观实际的原则，对内设机构及下属预算单位，根部部门职能和年初制定的绩效考核目标进行绩效自评。对项目目标、工作流程、支出进度、支出范围、服务对象等多个方面进行深入探查，梳理整合。对考评过程中收集的资料进行归纳，汇总分析，依据设定的单位整体支出绩效评价指标体系进行评分，形成综合性书面评价报告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三、综合评价结论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color w:val="FF000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（一）部门全部评价项目优良率</w:t>
      </w:r>
      <w:r>
        <w:rPr>
          <w:rFonts w:hint="eastAsia" w:ascii="楷体_GB2312" w:hAnsi="宋体" w:eastAsia="楷体_GB2312"/>
          <w:b/>
          <w:color w:val="FF000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_GB2312" w:hAnsi="宋体" w:eastAsia="楷体_GB2312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本部门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全部项目评价总数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22个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项目评价指标数均为优，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评优率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100%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、评良率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0%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、评中率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0%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、评差率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0%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overflowPunct/>
        <w:topLinePunct w:val="0"/>
        <w:autoSpaceDE/>
        <w:autoSpaceDN/>
        <w:bidi w:val="0"/>
        <w:adjustRightInd/>
        <w:snapToGrid/>
        <w:spacing w:beforeLines="50" w:line="560" w:lineRule="exact"/>
        <w:ind w:firstLine="643" w:firstLineChars="200"/>
        <w:textAlignment w:val="auto"/>
        <w:rPr>
          <w:rFonts w:ascii="楷体_GB2312" w:hAnsi="宋体" w:eastAsia="楷体_GB2312"/>
          <w:b/>
          <w:color w:val="auto"/>
          <w:sz w:val="32"/>
          <w:szCs w:val="32"/>
        </w:rPr>
      </w:pPr>
      <w:r>
        <w:rPr>
          <w:rFonts w:hint="eastAsia" w:ascii="楷体_GB2312" w:hAnsi="宋体" w:eastAsia="楷体_GB2312"/>
          <w:b/>
          <w:color w:val="auto"/>
          <w:sz w:val="32"/>
          <w:szCs w:val="32"/>
        </w:rPr>
        <w:t>部门整体绩效目标的完成情况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beforeLines="50" w:line="560" w:lineRule="exact"/>
        <w:textAlignment w:val="auto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区财政局的正确领导下，按照年初签订的绩效考核指标任务，充分调动和发挥领导班子和全体工作人员的积极性，认真履行相关职责，细化任务明确责任，依据指标抓进度，对照目标抓落实，全面完成了今年各项绩效考核指标任务，对于促进全区经济发展、维护社会稳定等方面发挥了重要的积极作用，取得了明显成效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四、绩效</w:t>
      </w:r>
      <w:r>
        <w:rPr>
          <w:rFonts w:hint="eastAsia" w:ascii="黑体" w:hAnsi="宋体" w:eastAsia="黑体"/>
          <w:sz w:val="32"/>
          <w:szCs w:val="32"/>
          <w:lang w:eastAsia="zh-CN"/>
        </w:rPr>
        <w:t>项目</w:t>
      </w:r>
      <w:r>
        <w:rPr>
          <w:rFonts w:hint="eastAsia" w:ascii="黑体" w:hAnsi="宋体" w:eastAsia="黑体"/>
          <w:sz w:val="32"/>
          <w:szCs w:val="32"/>
        </w:rPr>
        <w:t>完成情况分析及下一步改进措施。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76" w:beforeAutospacing="0" w:after="180" w:afterAutospacing="0" w:line="56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我部门预算项目评优率较高，总体上较好的完成了本年度预期目标。对于评良等级的项目我们认为有提升空间，可在预算编制方面做得更细，缩小执行与预算间的差距，项项有规划、笔笔有落实。对于工程项目的前期准备、开展过程较复杂，我部门会克服困难、积极协作，尽全力推动项目的实施，加快资金支出进度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76" w:beforeAutospacing="0" w:after="180" w:afterAutospacing="0" w:line="56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根据绩效评价结果，我部门总结了经验，并继续在以下方面严格要求自己：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76" w:beforeAutospacing="0" w:after="180" w:afterAutospacing="0" w:line="56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1、按节点监控资金支出情况，加快支出进度。根据项目特点，设定符合其特征支出进度，并严格按设定目标执行，保证财政资金的拨付率，提高工作效率。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76" w:beforeAutospacing="0" w:after="180" w:afterAutospacing="0" w:line="560" w:lineRule="exact"/>
        <w:ind w:left="0" w:right="0" w:firstLine="640" w:firstLineChars="200"/>
        <w:textAlignment w:val="auto"/>
        <w:rPr>
          <w:rFonts w:hint="eastAsia" w:ascii="仿宋_GB2312" w:hAnsi="仿宋" w:eastAsia="仿宋_GB2312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2、细化预算编制工作，认真做好预算的编制。要进一步加强预算管理意识，严格按照预算编制的相关制度和要求，编制范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围尽可能的全面，支出分类尽可能细化、具体，进一步提高预算编制的完整性、科学性、合理性。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560" w:lineRule="exact"/>
        <w:ind w:left="0" w:right="0" w:firstLine="640" w:firstLineChars="200"/>
        <w:textAlignment w:val="auto"/>
        <w:rPr>
          <w:rFonts w:hint="eastAsia" w:ascii="仿宋_GB2312" w:hAnsi="宋体" w:eastAsia="仿宋_GB2312"/>
          <w:color w:val="0000FF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3、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增强资金支出责任意识和绩效观念，提高财政资金的使用效益，与预算资金安排相结合，在预算额度内促进财政资金的合理分配与有效使用。另外，要加强资金的管理，注重支出的经济性、效益性，充分利用绩效评价结果，将结果作为改进预算管理和安排以后年度预算的重要依据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五、绩效评价结果拟应用情况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绩效理念逐步树立。通过绩效评价，各处室逐步树立了绩效理念。对绩效评价工作的态度逐渐由“被动接受”变为“主动实施”。通过设定绩效目标，部门清楚地了解实施项目索要取得社会效益和经济效益，其职能和目标得到了进一步明确，部门自我约束意识及责任意识明显提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支出结构得到优化。项目开展与绩效评价相结合，一方面有利于财政部门优化财政支出结构，合理分配资金，使有限的财政资金发展更大的效益。另一方面，通过开展绩效评价，为项目单位找出项目管理中存在的问题及其原因，促使预算部门和单位积极采取措施，加强项目的规划与科学论证，健全项目资金的核算与科学论证，健全项目资金的核算与管理制度，改进资金使用管理方法，逐步形成自我约束、内部规范的良性机制，提高了管理水平和资金使用效益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1910" w:leftChars="300" w:hanging="1280" w:hangingChars="4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附件：1.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高新区</w:t>
      </w:r>
      <w:r>
        <w:rPr>
          <w:rFonts w:hint="eastAsia" w:ascii="仿宋" w:hAnsi="仿宋" w:eastAsia="仿宋" w:cs="仿宋"/>
          <w:sz w:val="32"/>
          <w:szCs w:val="32"/>
        </w:rPr>
        <w:t>部门绩效自评情况统计表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1910" w:leftChars="300" w:hanging="1280" w:hangingChars="4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2.部门预算项目绩效自评表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41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3F58EA"/>
    <w:multiLevelType w:val="singleLevel"/>
    <w:tmpl w:val="F83F58EA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F8C54ECD"/>
    <w:multiLevelType w:val="singleLevel"/>
    <w:tmpl w:val="F8C54ECD"/>
    <w:lvl w:ilvl="0" w:tentative="0">
      <w:start w:val="4"/>
      <w:numFmt w:val="decimal"/>
      <w:suff w:val="nothing"/>
      <w:lvlText w:val="（%1）"/>
      <w:lvlJc w:val="left"/>
    </w:lvl>
  </w:abstractNum>
  <w:abstractNum w:abstractNumId="2">
    <w:nsid w:val="0CDE4EF4"/>
    <w:multiLevelType w:val="singleLevel"/>
    <w:tmpl w:val="0CDE4EF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149D3FF5"/>
    <w:multiLevelType w:val="singleLevel"/>
    <w:tmpl w:val="149D3FF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CB74B90"/>
    <w:multiLevelType w:val="singleLevel"/>
    <w:tmpl w:val="5CB74B9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08"/>
    <w:rsid w:val="00013BCD"/>
    <w:rsid w:val="00027602"/>
    <w:rsid w:val="000614E0"/>
    <w:rsid w:val="000D4C09"/>
    <w:rsid w:val="000F27BE"/>
    <w:rsid w:val="00144D33"/>
    <w:rsid w:val="00194022"/>
    <w:rsid w:val="001A72EC"/>
    <w:rsid w:val="001D409C"/>
    <w:rsid w:val="00262DA7"/>
    <w:rsid w:val="002C7E8C"/>
    <w:rsid w:val="003515DB"/>
    <w:rsid w:val="0039153A"/>
    <w:rsid w:val="00397E5A"/>
    <w:rsid w:val="003A7EF0"/>
    <w:rsid w:val="003C49FB"/>
    <w:rsid w:val="003D4665"/>
    <w:rsid w:val="00467548"/>
    <w:rsid w:val="004739F8"/>
    <w:rsid w:val="004967A4"/>
    <w:rsid w:val="004A2A09"/>
    <w:rsid w:val="004F0CC9"/>
    <w:rsid w:val="005656A7"/>
    <w:rsid w:val="005E5369"/>
    <w:rsid w:val="006377E6"/>
    <w:rsid w:val="00671415"/>
    <w:rsid w:val="006F4C2C"/>
    <w:rsid w:val="007A5273"/>
    <w:rsid w:val="007D04FC"/>
    <w:rsid w:val="007D5BD8"/>
    <w:rsid w:val="007F2CE5"/>
    <w:rsid w:val="0086193F"/>
    <w:rsid w:val="00873C29"/>
    <w:rsid w:val="00883B3F"/>
    <w:rsid w:val="00996253"/>
    <w:rsid w:val="00A52608"/>
    <w:rsid w:val="00AB5E10"/>
    <w:rsid w:val="00AC4691"/>
    <w:rsid w:val="00AD40CE"/>
    <w:rsid w:val="00BB6E9C"/>
    <w:rsid w:val="00BE03EA"/>
    <w:rsid w:val="00BE0760"/>
    <w:rsid w:val="00C051CC"/>
    <w:rsid w:val="00C174A3"/>
    <w:rsid w:val="00C208E5"/>
    <w:rsid w:val="00C40C33"/>
    <w:rsid w:val="00C85848"/>
    <w:rsid w:val="00C95C20"/>
    <w:rsid w:val="00D62B9E"/>
    <w:rsid w:val="00D91BAB"/>
    <w:rsid w:val="00DA09C8"/>
    <w:rsid w:val="00DA32EE"/>
    <w:rsid w:val="00DB370F"/>
    <w:rsid w:val="00DC0BCF"/>
    <w:rsid w:val="00DD22CB"/>
    <w:rsid w:val="00E00507"/>
    <w:rsid w:val="00E01723"/>
    <w:rsid w:val="00EA30AC"/>
    <w:rsid w:val="00F45A68"/>
    <w:rsid w:val="01026D1C"/>
    <w:rsid w:val="01901526"/>
    <w:rsid w:val="020F082C"/>
    <w:rsid w:val="028F57FB"/>
    <w:rsid w:val="03F76A88"/>
    <w:rsid w:val="04984DFB"/>
    <w:rsid w:val="04C34200"/>
    <w:rsid w:val="057B1BAC"/>
    <w:rsid w:val="05E54B82"/>
    <w:rsid w:val="066C43BC"/>
    <w:rsid w:val="08080E08"/>
    <w:rsid w:val="08A531D4"/>
    <w:rsid w:val="08BE46F6"/>
    <w:rsid w:val="08D93EE0"/>
    <w:rsid w:val="097C4499"/>
    <w:rsid w:val="0A4B5082"/>
    <w:rsid w:val="0A703958"/>
    <w:rsid w:val="0ADF3037"/>
    <w:rsid w:val="0C1B4CBD"/>
    <w:rsid w:val="0D7C5883"/>
    <w:rsid w:val="0E014782"/>
    <w:rsid w:val="0EFC4D0C"/>
    <w:rsid w:val="0F784992"/>
    <w:rsid w:val="0FC9166D"/>
    <w:rsid w:val="0FC92421"/>
    <w:rsid w:val="10115FFE"/>
    <w:rsid w:val="10EB0F35"/>
    <w:rsid w:val="10EF7984"/>
    <w:rsid w:val="12423638"/>
    <w:rsid w:val="12E71AAC"/>
    <w:rsid w:val="13D72D62"/>
    <w:rsid w:val="13E955FF"/>
    <w:rsid w:val="14F94B83"/>
    <w:rsid w:val="167E063D"/>
    <w:rsid w:val="17A86965"/>
    <w:rsid w:val="17C70826"/>
    <w:rsid w:val="18BE28E8"/>
    <w:rsid w:val="19BA154A"/>
    <w:rsid w:val="19BE5900"/>
    <w:rsid w:val="19CA3197"/>
    <w:rsid w:val="19ED5D37"/>
    <w:rsid w:val="1A4F6947"/>
    <w:rsid w:val="1BFB2CBF"/>
    <w:rsid w:val="1CB44A7B"/>
    <w:rsid w:val="1ECA4514"/>
    <w:rsid w:val="1EE10273"/>
    <w:rsid w:val="20537B03"/>
    <w:rsid w:val="20643A10"/>
    <w:rsid w:val="20FC02A2"/>
    <w:rsid w:val="211A4978"/>
    <w:rsid w:val="21437017"/>
    <w:rsid w:val="214E0FEC"/>
    <w:rsid w:val="218C6000"/>
    <w:rsid w:val="21B37309"/>
    <w:rsid w:val="22C7187F"/>
    <w:rsid w:val="23893744"/>
    <w:rsid w:val="23F832F2"/>
    <w:rsid w:val="2509637F"/>
    <w:rsid w:val="274D0591"/>
    <w:rsid w:val="279872E9"/>
    <w:rsid w:val="27CD40B5"/>
    <w:rsid w:val="27DA7323"/>
    <w:rsid w:val="281C0041"/>
    <w:rsid w:val="2865510E"/>
    <w:rsid w:val="28683726"/>
    <w:rsid w:val="28D23CCB"/>
    <w:rsid w:val="29145AAA"/>
    <w:rsid w:val="296141E3"/>
    <w:rsid w:val="2A955040"/>
    <w:rsid w:val="2AB37A38"/>
    <w:rsid w:val="2B353E05"/>
    <w:rsid w:val="2B7676A9"/>
    <w:rsid w:val="2B7E7EEA"/>
    <w:rsid w:val="2BB37CD2"/>
    <w:rsid w:val="2D2E45CC"/>
    <w:rsid w:val="2FEE4A7A"/>
    <w:rsid w:val="3034604E"/>
    <w:rsid w:val="3044202A"/>
    <w:rsid w:val="30DE68CF"/>
    <w:rsid w:val="30E215A3"/>
    <w:rsid w:val="31DE2CD1"/>
    <w:rsid w:val="32B8586B"/>
    <w:rsid w:val="335E4633"/>
    <w:rsid w:val="341F5B0A"/>
    <w:rsid w:val="34834543"/>
    <w:rsid w:val="34F05540"/>
    <w:rsid w:val="355F1F91"/>
    <w:rsid w:val="35EB2155"/>
    <w:rsid w:val="364533CB"/>
    <w:rsid w:val="36F82C3B"/>
    <w:rsid w:val="37534264"/>
    <w:rsid w:val="37A02C91"/>
    <w:rsid w:val="39075E01"/>
    <w:rsid w:val="3BCC428F"/>
    <w:rsid w:val="3BCD5198"/>
    <w:rsid w:val="3C540A92"/>
    <w:rsid w:val="3CAE70EB"/>
    <w:rsid w:val="3D5E0BBA"/>
    <w:rsid w:val="3D793CEF"/>
    <w:rsid w:val="3D934C8C"/>
    <w:rsid w:val="3E8D5E15"/>
    <w:rsid w:val="3F4223AD"/>
    <w:rsid w:val="3F461A3E"/>
    <w:rsid w:val="3FB27B54"/>
    <w:rsid w:val="3FC206B6"/>
    <w:rsid w:val="3FC409EF"/>
    <w:rsid w:val="3FEE5DA9"/>
    <w:rsid w:val="40CA7AA7"/>
    <w:rsid w:val="40DB47C4"/>
    <w:rsid w:val="41DD7750"/>
    <w:rsid w:val="4224142B"/>
    <w:rsid w:val="42773EAF"/>
    <w:rsid w:val="42A310F9"/>
    <w:rsid w:val="42C87776"/>
    <w:rsid w:val="43723A8C"/>
    <w:rsid w:val="43A02D84"/>
    <w:rsid w:val="45BE17E2"/>
    <w:rsid w:val="46750C7A"/>
    <w:rsid w:val="47876F23"/>
    <w:rsid w:val="48446669"/>
    <w:rsid w:val="48583ECA"/>
    <w:rsid w:val="48805FFB"/>
    <w:rsid w:val="49757A3C"/>
    <w:rsid w:val="499A4985"/>
    <w:rsid w:val="49B65DCE"/>
    <w:rsid w:val="4A28501B"/>
    <w:rsid w:val="4A4C164A"/>
    <w:rsid w:val="4A8F6020"/>
    <w:rsid w:val="4AF2140F"/>
    <w:rsid w:val="4B221BFE"/>
    <w:rsid w:val="4CCB527A"/>
    <w:rsid w:val="4DAD2B0E"/>
    <w:rsid w:val="4EBA24D8"/>
    <w:rsid w:val="4ECD63C5"/>
    <w:rsid w:val="4F0A4B4D"/>
    <w:rsid w:val="4FEA3202"/>
    <w:rsid w:val="50276F60"/>
    <w:rsid w:val="506F7A72"/>
    <w:rsid w:val="50A73930"/>
    <w:rsid w:val="514B7DCC"/>
    <w:rsid w:val="525742EC"/>
    <w:rsid w:val="529E6A97"/>
    <w:rsid w:val="52D3302D"/>
    <w:rsid w:val="5357201E"/>
    <w:rsid w:val="53941F2D"/>
    <w:rsid w:val="5394794C"/>
    <w:rsid w:val="54A446FE"/>
    <w:rsid w:val="54FB6780"/>
    <w:rsid w:val="55F85370"/>
    <w:rsid w:val="5621358C"/>
    <w:rsid w:val="56BE501D"/>
    <w:rsid w:val="576C75AD"/>
    <w:rsid w:val="587C2633"/>
    <w:rsid w:val="58963753"/>
    <w:rsid w:val="58F16737"/>
    <w:rsid w:val="58FA52AA"/>
    <w:rsid w:val="5A092DA7"/>
    <w:rsid w:val="5A3F6E96"/>
    <w:rsid w:val="5AD935A8"/>
    <w:rsid w:val="5B0C5EBE"/>
    <w:rsid w:val="5E3172D4"/>
    <w:rsid w:val="5ECB3E66"/>
    <w:rsid w:val="5ED676EC"/>
    <w:rsid w:val="5EE2630B"/>
    <w:rsid w:val="60C1089A"/>
    <w:rsid w:val="610B3168"/>
    <w:rsid w:val="619E386B"/>
    <w:rsid w:val="62241BE6"/>
    <w:rsid w:val="63030446"/>
    <w:rsid w:val="63957C73"/>
    <w:rsid w:val="63EA7426"/>
    <w:rsid w:val="64A46F55"/>
    <w:rsid w:val="64C450EF"/>
    <w:rsid w:val="65B56516"/>
    <w:rsid w:val="66255F79"/>
    <w:rsid w:val="668C6B95"/>
    <w:rsid w:val="676B1CE5"/>
    <w:rsid w:val="67F16D76"/>
    <w:rsid w:val="696912DE"/>
    <w:rsid w:val="697F42E0"/>
    <w:rsid w:val="6A0B7F41"/>
    <w:rsid w:val="6A5116B4"/>
    <w:rsid w:val="6ADC6E2A"/>
    <w:rsid w:val="6B3B2BE8"/>
    <w:rsid w:val="6BDB6D76"/>
    <w:rsid w:val="6C155899"/>
    <w:rsid w:val="6C1F3D17"/>
    <w:rsid w:val="6D0F235F"/>
    <w:rsid w:val="6D5F316B"/>
    <w:rsid w:val="6D993DD3"/>
    <w:rsid w:val="6DCB729C"/>
    <w:rsid w:val="6EF42662"/>
    <w:rsid w:val="6FB43DE7"/>
    <w:rsid w:val="70020A83"/>
    <w:rsid w:val="701E7E0D"/>
    <w:rsid w:val="70FB63E1"/>
    <w:rsid w:val="710D70E5"/>
    <w:rsid w:val="71483944"/>
    <w:rsid w:val="715B438F"/>
    <w:rsid w:val="717D5CA8"/>
    <w:rsid w:val="722C10B2"/>
    <w:rsid w:val="72D65545"/>
    <w:rsid w:val="72DE0C60"/>
    <w:rsid w:val="7311662D"/>
    <w:rsid w:val="737C3636"/>
    <w:rsid w:val="73BA311A"/>
    <w:rsid w:val="745662F8"/>
    <w:rsid w:val="758B3273"/>
    <w:rsid w:val="7673690F"/>
    <w:rsid w:val="76F572E7"/>
    <w:rsid w:val="77DC7C6D"/>
    <w:rsid w:val="788448DD"/>
    <w:rsid w:val="78EA2ADE"/>
    <w:rsid w:val="793948D7"/>
    <w:rsid w:val="7993380D"/>
    <w:rsid w:val="7A4C4A30"/>
    <w:rsid w:val="7B7A3928"/>
    <w:rsid w:val="7CCE73FB"/>
    <w:rsid w:val="7CED5AB3"/>
    <w:rsid w:val="7D254254"/>
    <w:rsid w:val="7D311D1E"/>
    <w:rsid w:val="7D672EA1"/>
    <w:rsid w:val="7D8E2EA1"/>
    <w:rsid w:val="7DA30A51"/>
    <w:rsid w:val="7DCE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</w:style>
  <w:style w:type="paragraph" w:styleId="3">
    <w:name w:val="Body Text Indent"/>
    <w:basedOn w:val="1"/>
    <w:qFormat/>
    <w:uiPriority w:val="0"/>
    <w:pPr>
      <w:ind w:firstLine="640" w:firstLine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Body Text First Indent 2"/>
    <w:basedOn w:val="3"/>
    <w:qFormat/>
    <w:uiPriority w:val="0"/>
    <w:pPr>
      <w:ind w:firstLine="420" w:firstLineChars="200"/>
    </w:p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106</Words>
  <Characters>608</Characters>
  <Lines>5</Lines>
  <Paragraphs>1</Paragraphs>
  <TotalTime>29</TotalTime>
  <ScaleCrop>false</ScaleCrop>
  <LinksUpToDate>false</LinksUpToDate>
  <CharactersWithSpaces>713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2019-12-27T07:58:00Z</dcterms:created>
  <dc:creator>靳翰博</dc:creator>
  <cp:lastModifiedBy>WPS_1497621080</cp:lastModifiedBy>
  <cp:lastPrinted>2023-01-16T08:59:16Z</cp:lastPrinted>
  <dcterms:modified xsi:type="dcterms:W3CDTF">2023-01-16T09:24:51Z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