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880" w:firstLineChars="200"/>
        <w:jc w:val="both"/>
        <w:outlineLvl w:val="0"/>
        <w:rPr>
          <w:rFonts w:hint="eastAsia" w:ascii="方正小标宋_GBK" w:hAnsi="宋体" w:eastAsia="方正小标宋_GBK"/>
          <w:sz w:val="44"/>
          <w:szCs w:val="44"/>
        </w:rPr>
      </w:pPr>
      <w:r>
        <w:rPr>
          <w:rFonts w:hint="eastAsia" w:ascii="方正小标宋_GBK" w:hAnsi="宋体" w:eastAsia="方正小标宋_GBK" w:cs="Tahoma"/>
          <w:kern w:val="0"/>
          <w:sz w:val="44"/>
          <w:szCs w:val="44"/>
          <w:lang w:eastAsia="zh-CN"/>
        </w:rPr>
        <w:t>群众工作中心</w:t>
      </w:r>
      <w:r>
        <w:rPr>
          <w:rFonts w:hint="eastAsia" w:ascii="方正小标宋_GBK" w:hAnsi="宋体" w:eastAsia="方正小标宋_GBK"/>
          <w:sz w:val="44"/>
          <w:szCs w:val="44"/>
        </w:rPr>
        <w:t>20</w:t>
      </w:r>
      <w:r>
        <w:rPr>
          <w:rFonts w:hint="eastAsia" w:ascii="方正小标宋_GBK" w:hAnsi="宋体" w:eastAsia="方正小标宋_GBK"/>
          <w:sz w:val="44"/>
          <w:szCs w:val="44"/>
          <w:lang w:val="en-US" w:eastAsia="zh-CN"/>
        </w:rPr>
        <w:t>21</w:t>
      </w:r>
      <w:r>
        <w:rPr>
          <w:rFonts w:hint="eastAsia" w:ascii="方正小标宋_GBK" w:hAnsi="宋体" w:eastAsia="方正小标宋_GBK"/>
          <w:sz w:val="44"/>
          <w:szCs w:val="44"/>
        </w:rPr>
        <w:t>年度财政专项资金</w:t>
      </w:r>
    </w:p>
    <w:p>
      <w:pPr>
        <w:spacing w:line="580" w:lineRule="exact"/>
        <w:jc w:val="center"/>
        <w:outlineLvl w:val="0"/>
        <w:rPr>
          <w:rFonts w:hint="eastAsia" w:ascii="方正小标宋_GBK" w:hAnsi="宋体" w:eastAsia="方正小标宋_GBK"/>
          <w:sz w:val="44"/>
          <w:szCs w:val="44"/>
        </w:rPr>
      </w:pPr>
      <w:r>
        <w:rPr>
          <w:rFonts w:hint="eastAsia" w:ascii="方正小标宋_GBK" w:hAnsi="宋体" w:eastAsia="方正小标宋_GBK"/>
          <w:sz w:val="44"/>
          <w:szCs w:val="44"/>
        </w:rPr>
        <w:t>绩效自评报告</w:t>
      </w:r>
    </w:p>
    <w:p>
      <w:pPr>
        <w:spacing w:line="580" w:lineRule="exact"/>
        <w:ind w:firstLine="640" w:firstLineChars="200"/>
        <w:outlineLvl w:val="0"/>
        <w:rPr>
          <w:rFonts w:hint="eastAsia" w:ascii="黑体" w:hAnsi="宋体" w:eastAsia="黑体"/>
          <w:sz w:val="32"/>
          <w:szCs w:val="32"/>
        </w:rPr>
      </w:pPr>
      <w:r>
        <w:rPr>
          <w:rFonts w:hint="eastAsia" w:ascii="黑体" w:hAnsi="宋体" w:eastAsia="黑体"/>
          <w:sz w:val="32"/>
          <w:szCs w:val="32"/>
        </w:rPr>
        <w:t>一、基本情况</w:t>
      </w:r>
    </w:p>
    <w:p>
      <w:pPr>
        <w:spacing w:line="580" w:lineRule="exact"/>
        <w:ind w:firstLine="643" w:firstLineChars="200"/>
        <w:rPr>
          <w:rFonts w:hint="eastAsia" w:ascii="仿宋" w:hAnsi="仿宋" w:eastAsia="仿宋" w:cs="仿宋"/>
          <w:color w:val="000000"/>
          <w:kern w:val="0"/>
          <w:sz w:val="32"/>
          <w:szCs w:val="32"/>
        </w:rPr>
      </w:pPr>
      <w:r>
        <w:rPr>
          <w:rFonts w:hint="eastAsia" w:ascii="楷体_GB2312" w:hAnsi="宋体" w:eastAsia="楷体_GB2312"/>
          <w:b/>
          <w:sz w:val="32"/>
          <w:szCs w:val="32"/>
        </w:rPr>
        <w:t>（一）总体情况。</w:t>
      </w:r>
      <w:r>
        <w:rPr>
          <w:rFonts w:hint="eastAsia" w:ascii="仿宋" w:hAnsi="仿宋" w:eastAsia="仿宋" w:cs="仿宋"/>
          <w:sz w:val="32"/>
          <w:szCs w:val="32"/>
        </w:rPr>
        <w:t>唐山高新区</w:t>
      </w:r>
      <w:r>
        <w:rPr>
          <w:rFonts w:hint="eastAsia" w:ascii="仿宋" w:hAnsi="仿宋" w:eastAsia="仿宋" w:cs="仿宋"/>
          <w:sz w:val="32"/>
          <w:szCs w:val="32"/>
          <w:lang w:eastAsia="zh-CN"/>
        </w:rPr>
        <w:t>群众工作中心为正科级单位</w:t>
      </w:r>
      <w:r>
        <w:rPr>
          <w:rFonts w:hint="eastAsia" w:ascii="仿宋" w:hAnsi="仿宋" w:eastAsia="仿宋" w:cs="仿宋"/>
          <w:sz w:val="32"/>
          <w:szCs w:val="32"/>
        </w:rPr>
        <w:t>，性质是</w:t>
      </w:r>
      <w:r>
        <w:rPr>
          <w:rFonts w:hint="eastAsia" w:ascii="仿宋" w:hAnsi="仿宋" w:eastAsia="仿宋" w:cs="仿宋"/>
          <w:sz w:val="32"/>
          <w:szCs w:val="32"/>
          <w:lang w:eastAsia="zh-CN"/>
        </w:rPr>
        <w:t>事业</w:t>
      </w:r>
      <w:r>
        <w:rPr>
          <w:rFonts w:hint="eastAsia" w:ascii="仿宋" w:hAnsi="仿宋" w:eastAsia="仿宋" w:cs="仿宋"/>
          <w:sz w:val="32"/>
          <w:szCs w:val="32"/>
        </w:rPr>
        <w:t>单位，经费形式为财政拨款。按照法律规定和业务分工设立</w:t>
      </w:r>
      <w:r>
        <w:rPr>
          <w:rFonts w:hint="eastAsia" w:ascii="仿宋" w:hAnsi="仿宋" w:eastAsia="仿宋" w:cs="仿宋"/>
          <w:sz w:val="32"/>
          <w:szCs w:val="32"/>
          <w:lang w:val="en-US" w:eastAsia="zh-CN"/>
        </w:rPr>
        <w:t>3</w:t>
      </w:r>
      <w:r>
        <w:rPr>
          <w:rFonts w:hint="eastAsia" w:ascii="仿宋" w:hAnsi="仿宋" w:eastAsia="仿宋" w:cs="仿宋"/>
          <w:sz w:val="32"/>
          <w:szCs w:val="32"/>
        </w:rPr>
        <w:t>个内设机构，</w:t>
      </w:r>
      <w:r>
        <w:rPr>
          <w:rFonts w:hint="eastAsia" w:ascii="仿宋" w:hAnsi="仿宋" w:eastAsia="仿宋" w:cs="仿宋"/>
          <w:sz w:val="32"/>
          <w:szCs w:val="32"/>
          <w:lang w:eastAsia="zh-CN"/>
        </w:rPr>
        <w:t>综合处</w:t>
      </w:r>
      <w:r>
        <w:rPr>
          <w:rFonts w:hint="eastAsia" w:ascii="仿宋" w:hAnsi="仿宋" w:eastAsia="仿宋" w:cs="仿宋"/>
          <w:sz w:val="32"/>
          <w:szCs w:val="32"/>
        </w:rPr>
        <w:t>、</w:t>
      </w:r>
      <w:r>
        <w:rPr>
          <w:rFonts w:hint="eastAsia" w:ascii="仿宋" w:hAnsi="仿宋" w:eastAsia="仿宋" w:cs="仿宋"/>
          <w:sz w:val="32"/>
          <w:szCs w:val="32"/>
          <w:lang w:eastAsia="zh-CN"/>
        </w:rPr>
        <w:t>信息督察处、接待处，</w:t>
      </w:r>
      <w:r>
        <w:rPr>
          <w:rFonts w:hint="eastAsia" w:ascii="仿宋" w:hAnsi="仿宋" w:eastAsia="仿宋" w:cs="仿宋"/>
          <w:color w:val="000000"/>
          <w:kern w:val="0"/>
          <w:sz w:val="32"/>
          <w:szCs w:val="32"/>
        </w:rPr>
        <w:t>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年预算批复项目经费</w:t>
      </w:r>
      <w:r>
        <w:rPr>
          <w:rFonts w:hint="eastAsia" w:ascii="仿宋" w:hAnsi="仿宋" w:eastAsia="仿宋" w:cs="仿宋"/>
          <w:color w:val="000000"/>
          <w:kern w:val="0"/>
          <w:sz w:val="32"/>
          <w:szCs w:val="32"/>
          <w:lang w:val="en-US" w:eastAsia="zh-CN"/>
        </w:rPr>
        <w:t>80</w:t>
      </w:r>
      <w:r>
        <w:rPr>
          <w:rFonts w:hint="eastAsia" w:ascii="仿宋" w:hAnsi="仿宋" w:eastAsia="仿宋" w:cs="仿宋"/>
          <w:color w:val="000000"/>
          <w:kern w:val="0"/>
          <w:sz w:val="32"/>
          <w:szCs w:val="32"/>
        </w:rPr>
        <w:t>万元。</w:t>
      </w:r>
    </w:p>
    <w:p>
      <w:pPr>
        <w:spacing w:line="580" w:lineRule="exact"/>
        <w:ind w:firstLine="643" w:firstLineChars="200"/>
        <w:rPr>
          <w:rFonts w:hint="eastAsia" w:ascii="仿宋" w:hAnsi="仿宋" w:eastAsia="仿宋" w:cs="仿宋"/>
          <w:sz w:val="32"/>
          <w:szCs w:val="32"/>
        </w:rPr>
      </w:pPr>
      <w:r>
        <w:rPr>
          <w:rFonts w:hint="eastAsia" w:ascii="楷体_GB2312" w:hAnsi="宋体" w:eastAsia="楷体_GB2312"/>
          <w:b/>
          <w:sz w:val="32"/>
          <w:szCs w:val="32"/>
        </w:rPr>
        <w:t>（二）具体情况。</w:t>
      </w:r>
      <w:r>
        <w:rPr>
          <w:rFonts w:hint="eastAsia" w:ascii="仿宋" w:hAnsi="仿宋" w:eastAsia="仿宋" w:cs="仿宋"/>
          <w:sz w:val="32"/>
          <w:szCs w:val="32"/>
        </w:rPr>
        <w:t>社会治安综合治理和信访工作，处理中央和省、市转来的信访事项以及人民群众给党工委、管委会来信、来访、来电、电子邮件的接待处理工作，组织、协调基层单位和区直各部门妥善处理群众集体上访和突发性信访事件，同时，做好县处级领导公开接访活动的相关工作；参与协调和调查处理重要信访事项；承办信访事项的复查受理工作，必要时举行信访听证会；组织、协调重要政治敏感时期的信访稳定工作。</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年经费形式为</w:t>
      </w:r>
      <w:bookmarkStart w:id="0" w:name="_GoBack"/>
      <w:bookmarkEnd w:id="0"/>
      <w:r>
        <w:rPr>
          <w:rFonts w:hint="eastAsia" w:ascii="仿宋" w:hAnsi="仿宋" w:eastAsia="仿宋" w:cs="仿宋"/>
          <w:sz w:val="32"/>
          <w:szCs w:val="32"/>
        </w:rPr>
        <w:t>财政拨款。</w:t>
      </w:r>
    </w:p>
    <w:p>
      <w:pPr>
        <w:spacing w:line="580" w:lineRule="exact"/>
        <w:ind w:firstLine="640" w:firstLineChars="200"/>
        <w:outlineLvl w:val="0"/>
        <w:rPr>
          <w:rFonts w:hint="eastAsia" w:ascii="黑体" w:hAnsi="宋体" w:eastAsia="黑体"/>
          <w:sz w:val="32"/>
          <w:szCs w:val="32"/>
        </w:rPr>
      </w:pPr>
      <w:r>
        <w:rPr>
          <w:rFonts w:hint="eastAsia" w:ascii="黑体" w:hAnsi="宋体" w:eastAsia="黑体"/>
          <w:sz w:val="32"/>
          <w:szCs w:val="32"/>
        </w:rPr>
        <w:t>二、绩效自评工作开展情况</w:t>
      </w:r>
    </w:p>
    <w:p>
      <w:pPr>
        <w:spacing w:line="580" w:lineRule="exact"/>
        <w:ind w:firstLine="640" w:firstLineChars="200"/>
        <w:rPr>
          <w:rFonts w:hint="eastAsia" w:ascii="楷体_GB2312" w:hAnsi="宋体" w:eastAsia="楷体_GB2312"/>
          <w:b/>
          <w:sz w:val="32"/>
          <w:szCs w:val="32"/>
        </w:rPr>
      </w:pPr>
      <w:r>
        <w:rPr>
          <w:rFonts w:hint="eastAsia" w:ascii="仿宋" w:hAnsi="仿宋" w:eastAsia="仿宋" w:cs="仿宋"/>
          <w:sz w:val="32"/>
          <w:szCs w:val="32"/>
          <w:lang w:val="en-US" w:eastAsia="zh-CN"/>
        </w:rPr>
        <w:t>领导高度重视，重点部署。积极协调各部门，明确职责，真抓实干，根据上级要求，严格按照绩效评价标准，缕清思路，认真填写，达到绩效工作规范化，合理化，科学化。先由各科室逐项填写“部门预算项目绩效自评表”，对我单位项目进行全方位自查和自评打分，并认真对照审查，积极推进，最后经领导审核后报送财政局相关处室审核。着力用于信访积案化解、对未息诉罢访的信访案件进行梳理等相关工作。分类建立台账，明确领导包案，落实化解责任,加强协调调度,实行挂账督办,着力清除老案，努力减少信访存量。推进我区领导干部包案督访常态化,确保每个信访事项做到“三个一”(一个办结时限、一套办理纪要、一个办结报告)。坚持公开接访、重点约访、带案下访相结合,及时解决各类信访问题;做到信访苗头及隐患排查调处工作,排查率100%。</w:t>
      </w:r>
    </w:p>
    <w:p>
      <w:pPr>
        <w:spacing w:line="580" w:lineRule="exact"/>
        <w:ind w:firstLine="640" w:firstLineChars="200"/>
        <w:outlineLvl w:val="0"/>
        <w:rPr>
          <w:rFonts w:hint="eastAsia" w:ascii="黑体" w:hAnsi="宋体" w:eastAsia="黑体"/>
          <w:sz w:val="32"/>
          <w:szCs w:val="32"/>
        </w:rPr>
      </w:pPr>
      <w:r>
        <w:rPr>
          <w:rFonts w:hint="eastAsia" w:ascii="黑体" w:hAnsi="宋体" w:eastAsia="黑体"/>
          <w:sz w:val="32"/>
          <w:szCs w:val="32"/>
        </w:rPr>
        <w:t>三、综合评价结论</w:t>
      </w:r>
    </w:p>
    <w:p>
      <w:pPr>
        <w:spacing w:line="580" w:lineRule="exact"/>
        <w:ind w:firstLine="643" w:firstLineChars="200"/>
        <w:outlineLvl w:val="1"/>
        <w:rPr>
          <w:rFonts w:hint="eastAsia" w:ascii="楷体_GB2312" w:hAnsi="宋体" w:eastAsia="楷体_GB2312"/>
          <w:b/>
          <w:sz w:val="32"/>
          <w:szCs w:val="32"/>
        </w:rPr>
      </w:pPr>
      <w:r>
        <w:rPr>
          <w:rFonts w:hint="eastAsia" w:ascii="楷体_GB2312" w:hAnsi="宋体" w:eastAsia="楷体_GB2312"/>
          <w:b/>
          <w:sz w:val="32"/>
          <w:szCs w:val="32"/>
        </w:rPr>
        <w:t>（一）部门全部评价项目优良率</w:t>
      </w:r>
    </w:p>
    <w:p>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我部门共计一个信访维稳项目，评价等级为优。</w:t>
      </w:r>
    </w:p>
    <w:p>
      <w:pPr>
        <w:numPr>
          <w:ilvl w:val="0"/>
          <w:numId w:val="1"/>
        </w:numPr>
        <w:spacing w:before="156" w:beforeLines="50" w:line="580" w:lineRule="exact"/>
        <w:ind w:firstLine="643" w:firstLineChars="200"/>
        <w:outlineLvl w:val="1"/>
        <w:rPr>
          <w:rFonts w:hint="eastAsia" w:ascii="楷体_GB2312" w:hAnsi="宋体" w:eastAsia="楷体_GB2312"/>
          <w:b/>
          <w:sz w:val="32"/>
          <w:szCs w:val="32"/>
        </w:rPr>
      </w:pPr>
      <w:r>
        <w:rPr>
          <w:rFonts w:hint="eastAsia" w:ascii="楷体_GB2312" w:hAnsi="宋体" w:eastAsia="楷体_GB2312"/>
          <w:b/>
          <w:sz w:val="32"/>
          <w:szCs w:val="32"/>
        </w:rPr>
        <w:t>部门整体绩效目标的完成情况</w:t>
      </w:r>
      <w:r>
        <w:rPr>
          <w:rFonts w:hint="eastAsia" w:ascii="仿宋_GB2312" w:hAnsi="仿宋" w:eastAsia="仿宋_GB2312"/>
          <w:sz w:val="32"/>
          <w:szCs w:val="32"/>
        </w:rPr>
        <w:t>。</w:t>
      </w:r>
    </w:p>
    <w:p>
      <w:pPr>
        <w:spacing w:line="580" w:lineRule="exact"/>
        <w:ind w:firstLine="640" w:firstLineChars="200"/>
        <w:rPr>
          <w:rFonts w:hint="eastAsia" w:ascii="楷体_GB2312" w:hAnsi="宋体" w:eastAsia="楷体_GB2312"/>
          <w:b/>
          <w:sz w:val="32"/>
          <w:szCs w:val="32"/>
        </w:rPr>
      </w:pPr>
      <w:r>
        <w:rPr>
          <w:rFonts w:hint="eastAsia" w:ascii="仿宋" w:hAnsi="仿宋" w:eastAsia="仿宋" w:cs="仿宋"/>
          <w:sz w:val="32"/>
          <w:szCs w:val="32"/>
          <w:lang w:val="en-US" w:eastAsia="zh-CN"/>
        </w:rPr>
        <w:t>信访事项受理率达到100%、信访事项结案率达到100%、解决信访事项达到90%、信访业务化应用水平是否提高达到100%，圆满完成全年信访工作。</w:t>
      </w:r>
    </w:p>
    <w:p>
      <w:pPr>
        <w:spacing w:line="580" w:lineRule="exact"/>
        <w:ind w:firstLine="640" w:firstLineChars="200"/>
        <w:outlineLvl w:val="0"/>
        <w:rPr>
          <w:rFonts w:hint="eastAsia" w:ascii="黑体" w:hAnsi="宋体" w:eastAsia="黑体"/>
          <w:sz w:val="32"/>
          <w:szCs w:val="32"/>
        </w:rPr>
      </w:pPr>
      <w:r>
        <w:rPr>
          <w:rFonts w:hint="eastAsia" w:ascii="黑体" w:hAnsi="宋体" w:eastAsia="黑体"/>
          <w:sz w:val="32"/>
          <w:szCs w:val="32"/>
        </w:rPr>
        <w:t>四、绩效</w:t>
      </w:r>
      <w:r>
        <w:rPr>
          <w:rFonts w:hint="eastAsia" w:ascii="黑体" w:hAnsi="宋体" w:eastAsia="黑体"/>
          <w:sz w:val="32"/>
          <w:szCs w:val="32"/>
          <w:lang w:eastAsia="zh-CN"/>
        </w:rPr>
        <w:t>项目</w:t>
      </w:r>
      <w:r>
        <w:rPr>
          <w:rFonts w:hint="eastAsia" w:ascii="黑体" w:hAnsi="宋体" w:eastAsia="黑体"/>
          <w:sz w:val="32"/>
          <w:szCs w:val="32"/>
        </w:rPr>
        <w:t>完成情况分析及下一步改进措施。</w:t>
      </w:r>
    </w:p>
    <w:p>
      <w:pPr>
        <w:spacing w:line="580" w:lineRule="exact"/>
        <w:ind w:firstLine="640" w:firstLineChars="200"/>
        <w:rPr>
          <w:rFonts w:hint="eastAsia" w:ascii="仿宋" w:hAnsi="仿宋" w:eastAsia="仿宋" w:cs="仿宋"/>
          <w:sz w:val="32"/>
          <w:szCs w:val="32"/>
          <w:lang w:val="en-US" w:eastAsia="zh-CN"/>
        </w:rPr>
      </w:pPr>
      <w:r>
        <w:rPr>
          <w:rFonts w:hint="eastAsia" w:ascii="宋体" w:hAnsi="宋体" w:eastAsia="宋体" w:cs="宋体"/>
          <w:sz w:val="32"/>
          <w:szCs w:val="32"/>
          <w:lang w:val="en-US" w:eastAsia="zh-CN"/>
        </w:rPr>
        <w:t>一是加强重视。</w:t>
      </w:r>
      <w:r>
        <w:rPr>
          <w:rFonts w:hint="eastAsia" w:ascii="仿宋" w:hAnsi="仿宋" w:eastAsia="仿宋" w:cs="仿宋"/>
          <w:sz w:val="32"/>
          <w:szCs w:val="32"/>
          <w:lang w:val="en-US" w:eastAsia="zh-CN"/>
        </w:rPr>
        <w:t>充分认识项目专项资金绩效评价工作的重要意义，把此项工作放在工作的首位。扎实做好预算、组织、协调和控制的每一个环节，确保该项工作落实到位。</w:t>
      </w:r>
    </w:p>
    <w:p>
      <w:pPr>
        <w:spacing w:line="580" w:lineRule="exact"/>
        <w:ind w:firstLine="640" w:firstLineChars="200"/>
        <w:rPr>
          <w:rFonts w:hint="eastAsia" w:ascii="仿宋" w:hAnsi="仿宋" w:eastAsia="仿宋" w:cs="仿宋"/>
          <w:sz w:val="32"/>
          <w:szCs w:val="32"/>
          <w:lang w:val="en-US" w:eastAsia="zh-CN"/>
        </w:rPr>
      </w:pPr>
      <w:r>
        <w:rPr>
          <w:rFonts w:hint="eastAsia" w:ascii="宋体" w:hAnsi="宋体" w:eastAsia="宋体" w:cs="宋体"/>
          <w:sz w:val="32"/>
          <w:szCs w:val="32"/>
          <w:lang w:val="en-US" w:eastAsia="zh-CN"/>
        </w:rPr>
        <w:t>二是强化组织。</w:t>
      </w:r>
      <w:r>
        <w:rPr>
          <w:rFonts w:hint="eastAsia" w:ascii="仿宋" w:hAnsi="仿宋" w:eastAsia="仿宋" w:cs="仿宋"/>
          <w:sz w:val="32"/>
          <w:szCs w:val="32"/>
          <w:lang w:val="en-US" w:eastAsia="zh-CN"/>
        </w:rPr>
        <w:t>财务部门要加强与业务处室之间的沟通协调，早谋划，早布置，严格按照规范流程确保每一笔资金的使用都有的方式，真正实现人尽其才、物尽其用。</w:t>
      </w:r>
    </w:p>
    <w:p>
      <w:pPr>
        <w:spacing w:line="580" w:lineRule="exact"/>
        <w:ind w:firstLine="640" w:firstLineChars="200"/>
        <w:rPr>
          <w:rFonts w:hint="eastAsia" w:ascii="仿宋" w:hAnsi="仿宋" w:eastAsia="仿宋" w:cs="仿宋"/>
          <w:sz w:val="32"/>
          <w:szCs w:val="32"/>
          <w:lang w:val="en-US" w:eastAsia="zh-CN"/>
        </w:rPr>
      </w:pPr>
      <w:r>
        <w:rPr>
          <w:rFonts w:hint="eastAsia" w:ascii="宋体" w:hAnsi="宋体" w:eastAsia="宋体" w:cs="宋体"/>
          <w:sz w:val="32"/>
          <w:szCs w:val="32"/>
          <w:lang w:val="en-US" w:eastAsia="zh-CN"/>
        </w:rPr>
        <w:t>三是注重细节。</w:t>
      </w:r>
      <w:r>
        <w:rPr>
          <w:rFonts w:hint="eastAsia" w:ascii="仿宋" w:hAnsi="仿宋" w:eastAsia="仿宋" w:cs="仿宋"/>
          <w:sz w:val="32"/>
          <w:szCs w:val="32"/>
          <w:lang w:val="en-US" w:eastAsia="zh-CN"/>
        </w:rPr>
        <w:t>进一步落实财务制度管理办法，确实强化项目管理，进一步细化指标，量化考核，做好财务预算，切实提高资金的使用效率。</w:t>
      </w:r>
    </w:p>
    <w:p>
      <w:pPr>
        <w:snapToGrid w:val="0"/>
        <w:spacing w:line="580" w:lineRule="exact"/>
        <w:ind w:firstLine="640" w:firstLineChars="200"/>
        <w:rPr>
          <w:rFonts w:hint="eastAsia" w:ascii="仿宋_GB2312" w:hAnsi="宋体" w:eastAsia="仿宋_GB2312"/>
          <w:sz w:val="32"/>
          <w:szCs w:val="32"/>
        </w:rPr>
      </w:pPr>
    </w:p>
    <w:p>
      <w:pPr>
        <w:spacing w:line="580" w:lineRule="exact"/>
        <w:ind w:firstLine="640" w:firstLineChars="200"/>
        <w:outlineLvl w:val="0"/>
        <w:rPr>
          <w:rFonts w:hint="eastAsia" w:ascii="黑体" w:hAnsi="宋体" w:eastAsia="黑体"/>
          <w:sz w:val="32"/>
          <w:szCs w:val="32"/>
        </w:rPr>
      </w:pPr>
      <w:r>
        <w:rPr>
          <w:rFonts w:hint="eastAsia" w:ascii="黑体" w:hAnsi="宋体" w:eastAsia="黑体"/>
          <w:sz w:val="32"/>
          <w:szCs w:val="32"/>
        </w:rPr>
        <w:t>五、绩效评价结果拟应用情况</w:t>
      </w:r>
    </w:p>
    <w:p>
      <w:p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在确定的百分制绩效评价指标体系考核中，唐山高新区群众工作中心项目结果绩效评价得分99分，结果评价结果为优秀。</w:t>
      </w:r>
    </w:p>
    <w:p>
      <w:pPr>
        <w:spacing w:line="580" w:lineRule="exact"/>
        <w:ind w:firstLine="640" w:firstLineChars="200"/>
        <w:rPr>
          <w:rFonts w:hint="eastAsia" w:ascii="仿宋" w:hAnsi="仿宋" w:eastAsia="仿宋" w:cs="仿宋"/>
          <w:sz w:val="32"/>
          <w:szCs w:val="32"/>
          <w:lang w:val="en-US" w:eastAsia="zh-CN"/>
        </w:rPr>
      </w:pPr>
    </w:p>
    <w:p/>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B74B90"/>
    <w:multiLevelType w:val="singleLevel"/>
    <w:tmpl w:val="5CB74B9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27602"/>
    <w:rsid w:val="000614E0"/>
    <w:rsid w:val="000D4C09"/>
    <w:rsid w:val="000F27BE"/>
    <w:rsid w:val="00144D33"/>
    <w:rsid w:val="00194022"/>
    <w:rsid w:val="001A72EC"/>
    <w:rsid w:val="001D409C"/>
    <w:rsid w:val="00262DA7"/>
    <w:rsid w:val="002C7E8C"/>
    <w:rsid w:val="003515DB"/>
    <w:rsid w:val="0039153A"/>
    <w:rsid w:val="00397E5A"/>
    <w:rsid w:val="003A7EF0"/>
    <w:rsid w:val="003C49FB"/>
    <w:rsid w:val="003D4665"/>
    <w:rsid w:val="00467548"/>
    <w:rsid w:val="004739F8"/>
    <w:rsid w:val="004967A4"/>
    <w:rsid w:val="004A2A09"/>
    <w:rsid w:val="005656A7"/>
    <w:rsid w:val="005E5369"/>
    <w:rsid w:val="006377E6"/>
    <w:rsid w:val="00671415"/>
    <w:rsid w:val="006F4C2C"/>
    <w:rsid w:val="007A5273"/>
    <w:rsid w:val="007D04FC"/>
    <w:rsid w:val="007D5BD8"/>
    <w:rsid w:val="007F2CE5"/>
    <w:rsid w:val="0086193F"/>
    <w:rsid w:val="00873C29"/>
    <w:rsid w:val="00883B3F"/>
    <w:rsid w:val="00996253"/>
    <w:rsid w:val="00A52608"/>
    <w:rsid w:val="00AB5E10"/>
    <w:rsid w:val="00AC4691"/>
    <w:rsid w:val="00AD40CE"/>
    <w:rsid w:val="00BB6E9C"/>
    <w:rsid w:val="00BE03EA"/>
    <w:rsid w:val="00BE0760"/>
    <w:rsid w:val="00C051CC"/>
    <w:rsid w:val="00C174A3"/>
    <w:rsid w:val="00C208E5"/>
    <w:rsid w:val="00C40C33"/>
    <w:rsid w:val="00C85848"/>
    <w:rsid w:val="00C95C20"/>
    <w:rsid w:val="00D62B9E"/>
    <w:rsid w:val="00D91BAB"/>
    <w:rsid w:val="00DA09C8"/>
    <w:rsid w:val="00DA32EE"/>
    <w:rsid w:val="00DB370F"/>
    <w:rsid w:val="00DC0BCF"/>
    <w:rsid w:val="00DD22CB"/>
    <w:rsid w:val="00E00507"/>
    <w:rsid w:val="00E01723"/>
    <w:rsid w:val="00EA30AC"/>
    <w:rsid w:val="00F45A68"/>
    <w:rsid w:val="058E6D9E"/>
    <w:rsid w:val="096154C3"/>
    <w:rsid w:val="1BE9744C"/>
    <w:rsid w:val="281C0041"/>
    <w:rsid w:val="28255A18"/>
    <w:rsid w:val="2BA42CAB"/>
    <w:rsid w:val="2EF47DF5"/>
    <w:rsid w:val="2F0D1FAA"/>
    <w:rsid w:val="32676B0A"/>
    <w:rsid w:val="32B8586B"/>
    <w:rsid w:val="32BE6CF1"/>
    <w:rsid w:val="3CC818B2"/>
    <w:rsid w:val="3FC206B6"/>
    <w:rsid w:val="417F5E89"/>
    <w:rsid w:val="46750C7A"/>
    <w:rsid w:val="506F7A72"/>
    <w:rsid w:val="52324323"/>
    <w:rsid w:val="52A0588D"/>
    <w:rsid w:val="532302B8"/>
    <w:rsid w:val="55077F83"/>
    <w:rsid w:val="7E325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106</Words>
  <Characters>608</Characters>
  <Lines>5</Lines>
  <Paragraphs>1</Paragraphs>
  <TotalTime>280</TotalTime>
  <ScaleCrop>false</ScaleCrop>
  <LinksUpToDate>false</LinksUpToDate>
  <CharactersWithSpaces>713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Master</cp:lastModifiedBy>
  <cp:lastPrinted>2020-06-02T07:03:00Z</cp:lastPrinted>
  <dcterms:modified xsi:type="dcterms:W3CDTF">2022-07-25T06:28:27Z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