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utoSpaceDE w:val="0"/>
        <w:autoSpaceDN w:val="0"/>
        <w:adjustRightInd w:val="0"/>
        <w:snapToGrid w:val="0"/>
        <w:ind w:left="2644" w:right="2646"/>
        <w:jc w:val="center"/>
        <w:rPr>
          <w:rFonts w:ascii="方正小标宋简体" w:eastAsia="方正小标宋简体"/>
          <w:sz w:val="52"/>
          <w:szCs w:val="52"/>
        </w:rPr>
      </w:pPr>
    </w:p>
    <w:p>
      <w:pPr>
        <w:keepNext w:val="0"/>
        <w:keepLines w:val="0"/>
        <w:pageBreakBefore w:val="0"/>
        <w:widowControl w:val="0"/>
        <w:kinsoku/>
        <w:wordWrap/>
        <w:overflowPunct w:val="0"/>
        <w:topLinePunct w:val="0"/>
        <w:autoSpaceDE w:val="0"/>
        <w:autoSpaceDN w:val="0"/>
        <w:bidi w:val="0"/>
        <w:adjustRightInd w:val="0"/>
        <w:snapToGrid w:val="0"/>
        <w:spacing w:line="560" w:lineRule="exact"/>
        <w:ind w:right="142"/>
        <w:jc w:val="center"/>
        <w:textAlignment w:val="auto"/>
        <w:rPr>
          <w:rFonts w:hint="eastAsia" w:ascii="方正小标宋简体" w:hAnsi="方正小标宋简体" w:eastAsia="方正小标宋简体" w:cs="方正小标宋简体"/>
          <w:sz w:val="40"/>
          <w:szCs w:val="40"/>
        </w:rPr>
      </w:pPr>
      <w:r>
        <w:rPr>
          <w:rFonts w:hint="eastAsia" w:ascii="方正小标宋简体" w:eastAsia="方正小标宋简体"/>
          <w:sz w:val="52"/>
          <w:szCs w:val="52"/>
          <w:lang w:val="en-US" w:eastAsia="zh-CN"/>
        </w:rPr>
        <w:t xml:space="preserve"> </w:t>
      </w:r>
      <w:r>
        <w:rPr>
          <w:rFonts w:hint="eastAsia" w:ascii="方正小标宋简体" w:hAnsi="方正小标宋简体" w:eastAsia="方正小标宋简体" w:cs="方正小标宋简体"/>
          <w:sz w:val="40"/>
          <w:szCs w:val="40"/>
        </w:rPr>
        <w:t>人力资源和社会保障局</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right="142"/>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2021年</w:t>
      </w:r>
      <w:r>
        <w:rPr>
          <w:rFonts w:hint="eastAsia" w:ascii="方正小标宋简体" w:hAnsi="方正小标宋简体" w:eastAsia="方正小标宋简体" w:cs="方正小标宋简体"/>
          <w:sz w:val="40"/>
          <w:szCs w:val="40"/>
          <w:lang w:eastAsia="zh-CN"/>
        </w:rPr>
        <w:t>整体支出绩效自评</w:t>
      </w:r>
      <w:r>
        <w:rPr>
          <w:rFonts w:hint="eastAsia" w:ascii="方正小标宋简体" w:hAnsi="方正小标宋简体" w:eastAsia="方正小标宋简体" w:cs="方正小标宋简体"/>
          <w:sz w:val="40"/>
          <w:szCs w:val="40"/>
        </w:rPr>
        <w:t>报告</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right="142"/>
        <w:jc w:val="center"/>
        <w:textAlignment w:val="auto"/>
        <w:rPr>
          <w:rFonts w:hint="eastAsia" w:ascii="方正小标宋简体" w:hAnsi="方正小标宋简体" w:eastAsia="方正小标宋简体" w:cs="方正小标宋简体"/>
          <w:sz w:val="40"/>
          <w:szCs w:val="40"/>
          <w:lang w:eastAsia="zh-CN"/>
        </w:rPr>
      </w:pPr>
      <w:r>
        <w:rPr>
          <w:rFonts w:hint="eastAsia" w:ascii="方正小标宋简体" w:hAnsi="方正小标宋简体" w:eastAsia="方正小标宋简体" w:cs="方正小标宋简体"/>
          <w:sz w:val="40"/>
          <w:szCs w:val="40"/>
          <w:lang w:eastAsia="zh-CN"/>
        </w:rPr>
        <w:tab/>
      </w:r>
    </w:p>
    <w:p>
      <w:pPr>
        <w:jc w:val="center"/>
        <w:rPr>
          <w:rFonts w:ascii="方正小标宋简体" w:eastAsia="方正小标宋简体"/>
          <w:sz w:val="52"/>
          <w:szCs w:val="52"/>
        </w:rPr>
      </w:pPr>
    </w:p>
    <w:p>
      <w:pPr>
        <w:jc w:val="center"/>
        <w:rPr>
          <w:rFonts w:ascii="方正小标宋简体" w:eastAsia="方正小标宋简体"/>
          <w:sz w:val="52"/>
          <w:szCs w:val="52"/>
        </w:rPr>
      </w:pPr>
    </w:p>
    <w:p>
      <w:pPr>
        <w:jc w:val="center"/>
        <w:rPr>
          <w:rFonts w:ascii="方正小标宋简体" w:eastAsia="方正小标宋简体"/>
          <w:sz w:val="52"/>
          <w:szCs w:val="52"/>
        </w:rPr>
      </w:pPr>
    </w:p>
    <w:p>
      <w:pPr>
        <w:jc w:val="center"/>
        <w:rPr>
          <w:rFonts w:ascii="方正小标宋简体" w:eastAsia="方正小标宋简体"/>
          <w:sz w:val="52"/>
          <w:szCs w:val="52"/>
        </w:rPr>
      </w:pPr>
    </w:p>
    <w:p>
      <w:pPr>
        <w:jc w:val="center"/>
        <w:rPr>
          <w:rFonts w:ascii="方正小标宋简体" w:eastAsia="方正小标宋简体"/>
          <w:sz w:val="52"/>
          <w:szCs w:val="52"/>
        </w:rPr>
      </w:pPr>
    </w:p>
    <w:p>
      <w:pPr>
        <w:jc w:val="center"/>
        <w:rPr>
          <w:rFonts w:ascii="方正小标宋简体" w:eastAsia="方正小标宋简体"/>
          <w:sz w:val="52"/>
          <w:szCs w:val="52"/>
        </w:rPr>
      </w:pPr>
    </w:p>
    <w:p>
      <w:pPr>
        <w:jc w:val="center"/>
        <w:rPr>
          <w:rFonts w:ascii="方正小标宋简体" w:eastAsia="方正小标宋简体"/>
          <w:sz w:val="52"/>
          <w:szCs w:val="52"/>
        </w:rPr>
      </w:pPr>
    </w:p>
    <w:p>
      <w:pPr>
        <w:jc w:val="center"/>
        <w:rPr>
          <w:rFonts w:ascii="方正小标宋简体" w:eastAsia="方正小标宋简体"/>
          <w:sz w:val="52"/>
          <w:szCs w:val="52"/>
        </w:rPr>
      </w:pPr>
    </w:p>
    <w:p>
      <w:pPr>
        <w:jc w:val="center"/>
        <w:rPr>
          <w:rFonts w:ascii="方正小标宋简体" w:eastAsia="方正小标宋简体"/>
          <w:sz w:val="52"/>
          <w:szCs w:val="52"/>
        </w:rPr>
      </w:pPr>
    </w:p>
    <w:p>
      <w:pPr>
        <w:keepNext w:val="0"/>
        <w:keepLines w:val="0"/>
        <w:pageBreakBefore w:val="0"/>
        <w:widowControl w:val="0"/>
        <w:kinsoku/>
        <w:wordWrap/>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人力资源和社会保障局编制（盖章）</w:t>
      </w:r>
    </w:p>
    <w:p>
      <w:pPr>
        <w:keepNext w:val="0"/>
        <w:keepLines w:val="0"/>
        <w:pageBreakBefore w:val="0"/>
        <w:widowControl w:val="0"/>
        <w:kinsoku/>
        <w:wordWrap/>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w:t>
      </w:r>
      <w:r>
        <w:rPr>
          <w:rFonts w:hint="eastAsia" w:ascii="仿宋" w:hAnsi="仿宋" w:eastAsia="仿宋" w:cs="仿宋"/>
          <w:sz w:val="32"/>
          <w:szCs w:val="32"/>
          <w:lang w:val="en-US" w:eastAsia="zh-CN"/>
        </w:rPr>
        <w:t>1</w:t>
      </w:r>
      <w:r>
        <w:rPr>
          <w:rFonts w:hint="eastAsia" w:ascii="仿宋" w:hAnsi="仿宋" w:eastAsia="仿宋" w:cs="仿宋"/>
          <w:sz w:val="32"/>
          <w:szCs w:val="32"/>
        </w:rPr>
        <w:t>月</w:t>
      </w:r>
      <w:r>
        <w:rPr>
          <w:rFonts w:hint="eastAsia" w:ascii="仿宋" w:hAnsi="仿宋" w:eastAsia="仿宋" w:cs="仿宋"/>
          <w:sz w:val="32"/>
          <w:szCs w:val="32"/>
          <w:lang w:val="en-US" w:eastAsia="zh-CN"/>
        </w:rPr>
        <w:t>10</w:t>
      </w:r>
      <w:r>
        <w:rPr>
          <w:rFonts w:hint="eastAsia" w:ascii="仿宋" w:hAnsi="仿宋" w:eastAsia="仿宋" w:cs="仿宋"/>
          <w:sz w:val="32"/>
          <w:szCs w:val="32"/>
        </w:rPr>
        <w:t>日</w:t>
      </w:r>
    </w:p>
    <w:p>
      <w:pPr>
        <w:keepNext w:val="0"/>
        <w:keepLines w:val="0"/>
        <w:pageBreakBefore w:val="0"/>
        <w:widowControl w:val="0"/>
        <w:kinsoku/>
        <w:wordWrap/>
        <w:topLinePunct w:val="0"/>
        <w:bidi w:val="0"/>
        <w:spacing w:line="560" w:lineRule="exact"/>
        <w:jc w:val="center"/>
        <w:textAlignment w:val="auto"/>
        <w:rPr>
          <w:rFonts w:hint="eastAsia" w:ascii="方正小标宋简体" w:hAnsi="方正小标宋简体" w:eastAsia="方正小标宋简体" w:cs="方正小标宋简体"/>
          <w:sz w:val="40"/>
          <w:szCs w:val="40"/>
        </w:rPr>
      </w:pPr>
    </w:p>
    <w:p>
      <w:pPr>
        <w:jc w:val="center"/>
        <w:rPr>
          <w:rFonts w:ascii="黑体" w:hAnsi="黑体" w:eastAsia="黑体"/>
          <w:sz w:val="32"/>
          <w:szCs w:val="32"/>
        </w:rPr>
      </w:pPr>
    </w:p>
    <w:p>
      <w:pPr>
        <w:keepNext w:val="0"/>
        <w:keepLines w:val="0"/>
        <w:pageBreakBefore w:val="0"/>
        <w:widowControl w:val="0"/>
        <w:kinsoku/>
        <w:wordWrap/>
        <w:overflowPunct w:val="0"/>
        <w:topLinePunct w:val="0"/>
        <w:autoSpaceDE w:val="0"/>
        <w:autoSpaceDN w:val="0"/>
        <w:bidi w:val="0"/>
        <w:adjustRightInd w:val="0"/>
        <w:snapToGrid w:val="0"/>
        <w:spacing w:line="560" w:lineRule="exact"/>
        <w:ind w:right="142"/>
        <w:jc w:val="center"/>
        <w:textAlignment w:val="auto"/>
        <w:rPr>
          <w:rFonts w:hint="eastAsia" w:ascii="方正小标宋简体" w:hAnsi="方正小标宋简体" w:eastAsia="方正小标宋简体" w:cs="方正小标宋简体"/>
          <w:sz w:val="40"/>
          <w:szCs w:val="40"/>
        </w:rPr>
      </w:pPr>
    </w:p>
    <w:p>
      <w:pPr>
        <w:jc w:val="center"/>
        <w:rPr>
          <w:rFonts w:hint="eastAsia" w:asciiTheme="majorEastAsia" w:hAnsiTheme="majorEastAsia" w:eastAsiaTheme="majorEastAsia"/>
          <w:b/>
          <w:color w:val="auto"/>
          <w:sz w:val="44"/>
        </w:rPr>
      </w:pPr>
    </w:p>
    <w:p>
      <w:pPr>
        <w:jc w:val="center"/>
        <w:rPr>
          <w:rFonts w:asciiTheme="majorEastAsia" w:hAnsiTheme="majorEastAsia" w:eastAsiaTheme="majorEastAsia"/>
          <w:b/>
          <w:color w:val="auto"/>
          <w:sz w:val="44"/>
        </w:rPr>
      </w:pPr>
      <w:r>
        <w:rPr>
          <w:rFonts w:hint="eastAsia" w:asciiTheme="majorEastAsia" w:hAnsiTheme="majorEastAsia" w:eastAsiaTheme="majorEastAsia"/>
          <w:b/>
          <w:color w:val="auto"/>
          <w:sz w:val="44"/>
          <w:lang w:eastAsia="zh-CN"/>
        </w:rPr>
        <w:t>高新区人社局</w:t>
      </w:r>
      <w:r>
        <w:rPr>
          <w:rFonts w:asciiTheme="majorEastAsia" w:hAnsiTheme="majorEastAsia" w:eastAsiaTheme="majorEastAsia"/>
          <w:b/>
          <w:color w:val="auto"/>
          <w:sz w:val="44"/>
        </w:rPr>
        <w:t>整体支出绩效自评报告</w:t>
      </w:r>
    </w:p>
    <w:p>
      <w:pPr>
        <w:ind w:firstLine="938" w:firstLineChars="200"/>
        <w:rPr>
          <w:rFonts w:ascii="黑体" w:hAnsi="宋体" w:eastAsia="黑体"/>
          <w:color w:val="auto"/>
          <w:sz w:val="44"/>
        </w:rPr>
      </w:pPr>
    </w:p>
    <w:p>
      <w:pPr>
        <w:pStyle w:val="7"/>
        <w:keepNext w:val="0"/>
        <w:keepLines w:val="0"/>
        <w:pageBreakBefore w:val="0"/>
        <w:widowControl w:val="0"/>
        <w:numPr>
          <w:ilvl w:val="0"/>
          <w:numId w:val="1"/>
        </w:numPr>
        <w:kinsoku/>
        <w:wordWrap/>
        <w:overflowPunct/>
        <w:topLinePunct w:val="0"/>
        <w:bidi w:val="0"/>
        <w:spacing w:line="560" w:lineRule="exact"/>
        <w:ind w:firstLineChars="0"/>
        <w:textAlignment w:val="auto"/>
        <w:rPr>
          <w:rFonts w:ascii="黑体" w:hAnsi="黑体" w:eastAsia="黑体"/>
          <w:color w:val="auto"/>
          <w:szCs w:val="32"/>
        </w:rPr>
      </w:pPr>
      <w:r>
        <w:rPr>
          <w:rFonts w:hint="eastAsia" w:ascii="黑体" w:hAnsi="黑体" w:eastAsia="黑体"/>
          <w:color w:val="auto"/>
          <w:szCs w:val="32"/>
        </w:rPr>
        <w:t>基本情况</w:t>
      </w:r>
    </w:p>
    <w:p>
      <w:pPr>
        <w:keepNext w:val="0"/>
        <w:keepLines w:val="0"/>
        <w:pageBreakBefore w:val="0"/>
        <w:widowControl w:val="0"/>
        <w:kinsoku/>
        <w:wordWrap/>
        <w:overflowPunct/>
        <w:topLinePunct w:val="0"/>
        <w:bidi w:val="0"/>
        <w:spacing w:line="560" w:lineRule="exact"/>
        <w:ind w:left="665"/>
        <w:textAlignment w:val="auto"/>
        <w:rPr>
          <w:rFonts w:asciiTheme="majorEastAsia" w:hAnsiTheme="majorEastAsia" w:eastAsiaTheme="majorEastAsia"/>
          <w:b/>
          <w:color w:val="auto"/>
          <w:szCs w:val="32"/>
        </w:rPr>
      </w:pPr>
      <w:r>
        <w:rPr>
          <w:rFonts w:hint="eastAsia" w:asciiTheme="majorEastAsia" w:hAnsiTheme="majorEastAsia" w:eastAsiaTheme="majorEastAsia"/>
          <w:b/>
          <w:color w:val="auto"/>
          <w:szCs w:val="32"/>
        </w:rPr>
        <w:t>（一）总体情况</w:t>
      </w:r>
    </w:p>
    <w:p>
      <w:pPr>
        <w:keepNext w:val="0"/>
        <w:keepLines w:val="0"/>
        <w:pageBreakBefore w:val="0"/>
        <w:widowControl w:val="0"/>
        <w:kinsoku/>
        <w:wordWrap/>
        <w:overflowPunct/>
        <w:topLinePunct w:val="0"/>
        <w:autoSpaceDE w:val="0"/>
        <w:autoSpaceDN w:val="0"/>
        <w:bidi w:val="0"/>
        <w:adjustRightInd w:val="0"/>
        <w:spacing w:line="560" w:lineRule="exact"/>
        <w:ind w:firstLine="698" w:firstLineChars="200"/>
        <w:jc w:val="left"/>
        <w:textAlignment w:val="auto"/>
        <w:rPr>
          <w:rFonts w:ascii="仿宋" w:hAnsi="仿宋" w:eastAsia="仿宋" w:cs="仿宋_GB2312"/>
          <w:b/>
          <w:color w:val="auto"/>
          <w:kern w:val="0"/>
          <w:szCs w:val="32"/>
        </w:rPr>
      </w:pPr>
      <w:r>
        <w:rPr>
          <w:rFonts w:hint="eastAsia" w:ascii="仿宋" w:hAnsi="仿宋" w:eastAsia="仿宋" w:cs="仿宋_GB2312"/>
          <w:b/>
          <w:color w:val="auto"/>
          <w:kern w:val="0"/>
          <w:szCs w:val="32"/>
        </w:rPr>
        <w:t>1、项目资金情况。</w:t>
      </w:r>
    </w:p>
    <w:p>
      <w:pPr>
        <w:keepNext w:val="0"/>
        <w:keepLines w:val="0"/>
        <w:pageBreakBefore w:val="0"/>
        <w:widowControl w:val="0"/>
        <w:kinsoku/>
        <w:wordWrap/>
        <w:overflowPunct/>
        <w:topLinePunct w:val="0"/>
        <w:autoSpaceDE w:val="0"/>
        <w:autoSpaceDN w:val="0"/>
        <w:bidi w:val="0"/>
        <w:adjustRightInd w:val="0"/>
        <w:spacing w:line="560" w:lineRule="exact"/>
        <w:ind w:firstLine="698" w:firstLineChars="200"/>
        <w:jc w:val="left"/>
        <w:textAlignment w:val="auto"/>
        <w:rPr>
          <w:rFonts w:ascii="仿宋" w:hAnsi="仿宋" w:eastAsia="仿宋" w:cs="仿宋_GB2312"/>
          <w:color w:val="auto"/>
          <w:kern w:val="0"/>
          <w:szCs w:val="32"/>
        </w:rPr>
      </w:pPr>
      <w:r>
        <w:rPr>
          <w:rFonts w:hint="eastAsia" w:ascii="仿宋" w:hAnsi="仿宋" w:eastAsia="仿宋" w:cs="仿宋_GB2312"/>
          <w:color w:val="auto"/>
          <w:kern w:val="0"/>
          <w:szCs w:val="32"/>
        </w:rPr>
        <w:t>2021年我</w:t>
      </w:r>
      <w:r>
        <w:rPr>
          <w:rFonts w:hint="eastAsia" w:ascii="仿宋" w:hAnsi="仿宋" w:eastAsia="仿宋" w:cs="仿宋_GB2312"/>
          <w:color w:val="auto"/>
          <w:kern w:val="0"/>
          <w:szCs w:val="32"/>
          <w:lang w:eastAsia="zh-CN"/>
        </w:rPr>
        <w:t>局</w:t>
      </w:r>
      <w:r>
        <w:rPr>
          <w:rFonts w:hint="eastAsia" w:ascii="仿宋" w:hAnsi="仿宋" w:eastAsia="仿宋" w:cs="仿宋_GB2312"/>
          <w:color w:val="auto"/>
          <w:kern w:val="0"/>
          <w:szCs w:val="32"/>
        </w:rPr>
        <w:t>狠抓重点工作，按期完成了各项目标任务，取得了较好的社会效益。根据我</w:t>
      </w:r>
      <w:r>
        <w:rPr>
          <w:rFonts w:hint="eastAsia" w:ascii="仿宋" w:hAnsi="仿宋" w:eastAsia="仿宋" w:cs="仿宋_GB2312"/>
          <w:color w:val="auto"/>
          <w:kern w:val="0"/>
          <w:szCs w:val="32"/>
          <w:lang w:eastAsia="zh-CN"/>
        </w:rPr>
        <w:t>局</w:t>
      </w:r>
      <w:r>
        <w:rPr>
          <w:rFonts w:hint="eastAsia" w:ascii="仿宋" w:hAnsi="仿宋" w:eastAsia="仿宋" w:cs="仿宋_GB2312"/>
          <w:color w:val="auto"/>
          <w:kern w:val="0"/>
          <w:szCs w:val="32"/>
        </w:rPr>
        <w:t>的工作职能和职责、按照项目资金的使用内容和用途，</w:t>
      </w:r>
      <w:r>
        <w:rPr>
          <w:rFonts w:hint="eastAsia" w:ascii="仿宋" w:hAnsi="仿宋" w:eastAsia="仿宋" w:cs="仿宋_GB2312"/>
          <w:color w:val="auto"/>
          <w:kern w:val="0"/>
          <w:szCs w:val="32"/>
          <w:lang w:eastAsia="zh-CN"/>
        </w:rPr>
        <w:t>局</w:t>
      </w:r>
      <w:r>
        <w:rPr>
          <w:rFonts w:hint="eastAsia" w:ascii="仿宋" w:hAnsi="仿宋" w:eastAsia="仿宋" w:cs="仿宋_GB2312"/>
          <w:color w:val="auto"/>
          <w:kern w:val="0"/>
          <w:szCs w:val="32"/>
        </w:rPr>
        <w:t>预算安排资金共</w:t>
      </w:r>
      <w:r>
        <w:rPr>
          <w:rFonts w:hint="eastAsia" w:ascii="仿宋" w:hAnsi="仿宋" w:eastAsia="仿宋" w:cs="仿宋_GB2312"/>
          <w:color w:val="auto"/>
          <w:kern w:val="0"/>
          <w:szCs w:val="32"/>
          <w:lang w:val="en-US" w:eastAsia="zh-CN"/>
        </w:rPr>
        <w:t>15716.19</w:t>
      </w:r>
      <w:r>
        <w:rPr>
          <w:rFonts w:hint="eastAsia" w:ascii="仿宋" w:hAnsi="仿宋" w:eastAsia="仿宋" w:cs="仿宋_GB2312"/>
          <w:color w:val="auto"/>
          <w:kern w:val="0"/>
          <w:szCs w:val="32"/>
        </w:rPr>
        <w:t>万元，实际支出</w:t>
      </w:r>
      <w:r>
        <w:rPr>
          <w:rFonts w:hint="eastAsia" w:ascii="仿宋" w:hAnsi="仿宋" w:eastAsia="仿宋" w:cs="仿宋_GB2312"/>
          <w:color w:val="auto"/>
          <w:kern w:val="0"/>
          <w:szCs w:val="32"/>
          <w:lang w:val="en-US" w:eastAsia="zh-CN"/>
        </w:rPr>
        <w:t>15251.09</w:t>
      </w:r>
      <w:r>
        <w:rPr>
          <w:rFonts w:hint="eastAsia" w:ascii="仿宋" w:hAnsi="仿宋" w:eastAsia="仿宋" w:cs="仿宋_GB2312"/>
          <w:color w:val="auto"/>
          <w:kern w:val="0"/>
          <w:szCs w:val="32"/>
        </w:rPr>
        <w:t>万元。其中：人员经费预算安排</w:t>
      </w:r>
      <w:r>
        <w:rPr>
          <w:rFonts w:hint="eastAsia" w:ascii="仿宋" w:hAnsi="仿宋" w:eastAsia="仿宋" w:cs="仿宋_GB2312"/>
          <w:color w:val="auto"/>
          <w:kern w:val="0"/>
          <w:szCs w:val="32"/>
          <w:lang w:val="en-US" w:eastAsia="zh-CN"/>
        </w:rPr>
        <w:t>1399.85</w:t>
      </w:r>
      <w:r>
        <w:rPr>
          <w:rFonts w:hint="eastAsia" w:ascii="仿宋" w:hAnsi="仿宋" w:eastAsia="仿宋" w:cs="仿宋_GB2312"/>
          <w:color w:val="auto"/>
          <w:kern w:val="0"/>
          <w:szCs w:val="32"/>
        </w:rPr>
        <w:t>万元，实际支出</w:t>
      </w:r>
      <w:r>
        <w:rPr>
          <w:rFonts w:hint="eastAsia" w:ascii="仿宋" w:hAnsi="仿宋" w:eastAsia="仿宋" w:cs="仿宋_GB2312"/>
          <w:color w:val="auto"/>
          <w:kern w:val="0"/>
          <w:szCs w:val="32"/>
          <w:lang w:val="en-US" w:eastAsia="zh-CN"/>
        </w:rPr>
        <w:t>1223.14</w:t>
      </w:r>
      <w:r>
        <w:rPr>
          <w:rFonts w:hint="eastAsia" w:ascii="仿宋" w:hAnsi="仿宋" w:eastAsia="仿宋" w:cs="仿宋_GB2312"/>
          <w:color w:val="auto"/>
          <w:kern w:val="0"/>
          <w:szCs w:val="32"/>
        </w:rPr>
        <w:t>万元；正常经费预算安排</w:t>
      </w:r>
      <w:r>
        <w:rPr>
          <w:rFonts w:hint="eastAsia" w:ascii="仿宋" w:hAnsi="仿宋" w:eastAsia="仿宋" w:cs="仿宋_GB2312"/>
          <w:color w:val="auto"/>
          <w:kern w:val="0"/>
          <w:szCs w:val="32"/>
          <w:lang w:val="en-US" w:eastAsia="zh-CN"/>
        </w:rPr>
        <w:t>45.11</w:t>
      </w:r>
      <w:r>
        <w:rPr>
          <w:rFonts w:hint="eastAsia" w:ascii="仿宋" w:hAnsi="仿宋" w:eastAsia="仿宋" w:cs="仿宋_GB2312"/>
          <w:color w:val="auto"/>
          <w:kern w:val="0"/>
          <w:szCs w:val="32"/>
        </w:rPr>
        <w:t>万元，实际支出</w:t>
      </w:r>
      <w:r>
        <w:rPr>
          <w:rFonts w:hint="eastAsia" w:ascii="仿宋" w:hAnsi="仿宋" w:eastAsia="仿宋" w:cs="仿宋_GB2312"/>
          <w:color w:val="auto"/>
          <w:kern w:val="0"/>
          <w:szCs w:val="32"/>
          <w:lang w:val="en-US" w:eastAsia="zh-CN"/>
        </w:rPr>
        <w:t>33.20</w:t>
      </w:r>
      <w:r>
        <w:rPr>
          <w:rFonts w:hint="eastAsia" w:ascii="仿宋" w:hAnsi="仿宋" w:eastAsia="仿宋" w:cs="仿宋_GB2312"/>
          <w:color w:val="auto"/>
          <w:kern w:val="0"/>
          <w:szCs w:val="32"/>
        </w:rPr>
        <w:t>万元；项目资金安排</w:t>
      </w:r>
      <w:r>
        <w:rPr>
          <w:rFonts w:hint="eastAsia" w:ascii="仿宋" w:hAnsi="仿宋" w:eastAsia="仿宋" w:cs="仿宋_GB2312"/>
          <w:color w:val="auto"/>
          <w:kern w:val="0"/>
          <w:szCs w:val="32"/>
          <w:lang w:val="en-US" w:eastAsia="zh-CN"/>
        </w:rPr>
        <w:t>14271.23</w:t>
      </w:r>
      <w:r>
        <w:rPr>
          <w:rFonts w:hint="eastAsia" w:ascii="仿宋" w:hAnsi="仿宋" w:eastAsia="仿宋" w:cs="仿宋_GB2312"/>
          <w:color w:val="auto"/>
          <w:kern w:val="0"/>
          <w:szCs w:val="32"/>
        </w:rPr>
        <w:t>万元，实际支出</w:t>
      </w:r>
      <w:r>
        <w:rPr>
          <w:rFonts w:hint="eastAsia" w:ascii="仿宋" w:hAnsi="仿宋" w:eastAsia="仿宋" w:cs="仿宋_GB2312"/>
          <w:color w:val="auto"/>
          <w:kern w:val="0"/>
          <w:szCs w:val="32"/>
          <w:lang w:val="en-US" w:eastAsia="zh-CN"/>
        </w:rPr>
        <w:t>13994.75</w:t>
      </w:r>
      <w:r>
        <w:rPr>
          <w:rFonts w:hint="eastAsia" w:ascii="仿宋" w:hAnsi="仿宋" w:eastAsia="仿宋" w:cs="仿宋_GB2312"/>
          <w:color w:val="auto"/>
          <w:kern w:val="0"/>
          <w:szCs w:val="32"/>
        </w:rPr>
        <w:t>万元。</w:t>
      </w:r>
    </w:p>
    <w:p>
      <w:pPr>
        <w:keepNext w:val="0"/>
        <w:keepLines w:val="0"/>
        <w:pageBreakBefore w:val="0"/>
        <w:widowControl w:val="0"/>
        <w:kinsoku/>
        <w:wordWrap/>
        <w:overflowPunct/>
        <w:topLinePunct w:val="0"/>
        <w:autoSpaceDE w:val="0"/>
        <w:autoSpaceDN w:val="0"/>
        <w:bidi w:val="0"/>
        <w:adjustRightInd w:val="0"/>
        <w:spacing w:line="560" w:lineRule="exact"/>
        <w:ind w:firstLine="698" w:firstLineChars="200"/>
        <w:jc w:val="left"/>
        <w:textAlignment w:val="auto"/>
        <w:rPr>
          <w:rFonts w:ascii="仿宋" w:hAnsi="仿宋" w:eastAsia="仿宋" w:cs="仿宋_GB2312"/>
          <w:b/>
          <w:color w:val="auto"/>
          <w:kern w:val="0"/>
          <w:szCs w:val="32"/>
        </w:rPr>
      </w:pPr>
      <w:r>
        <w:rPr>
          <w:rFonts w:hint="eastAsia" w:ascii="仿宋" w:hAnsi="仿宋" w:eastAsia="仿宋" w:cs="仿宋_GB2312"/>
          <w:b/>
          <w:color w:val="auto"/>
          <w:kern w:val="0"/>
          <w:szCs w:val="32"/>
        </w:rPr>
        <w:t>2、项目绩效目标设定情况。</w:t>
      </w:r>
    </w:p>
    <w:p>
      <w:pPr>
        <w:keepNext w:val="0"/>
        <w:keepLines w:val="0"/>
        <w:pageBreakBefore w:val="0"/>
        <w:widowControl w:val="0"/>
        <w:kinsoku/>
        <w:wordWrap/>
        <w:overflowPunct/>
        <w:topLinePunct w:val="0"/>
        <w:autoSpaceDE w:val="0"/>
        <w:autoSpaceDN w:val="0"/>
        <w:bidi w:val="0"/>
        <w:adjustRightInd w:val="0"/>
        <w:spacing w:line="560" w:lineRule="exact"/>
        <w:ind w:firstLine="698" w:firstLineChars="200"/>
        <w:jc w:val="left"/>
        <w:textAlignment w:val="auto"/>
        <w:rPr>
          <w:rFonts w:ascii="仿宋" w:hAnsi="仿宋" w:eastAsia="仿宋"/>
          <w:color w:val="auto"/>
          <w:kern w:val="0"/>
          <w:szCs w:val="32"/>
        </w:rPr>
      </w:pPr>
      <w:r>
        <w:rPr>
          <w:rFonts w:hint="eastAsia" w:ascii="仿宋" w:hAnsi="仿宋" w:eastAsia="仿宋" w:cs="仿宋_GB2312"/>
          <w:color w:val="auto"/>
          <w:kern w:val="0"/>
          <w:szCs w:val="32"/>
        </w:rPr>
        <w:t>根据高新区预算绩效</w:t>
      </w:r>
      <w:bookmarkStart w:id="0" w:name="_GoBack"/>
      <w:bookmarkEnd w:id="0"/>
      <w:r>
        <w:rPr>
          <w:rFonts w:hint="eastAsia" w:ascii="仿宋" w:hAnsi="仿宋" w:eastAsia="仿宋" w:cs="仿宋_GB2312"/>
          <w:color w:val="auto"/>
          <w:kern w:val="0"/>
          <w:szCs w:val="32"/>
        </w:rPr>
        <w:t>管理要求，</w:t>
      </w:r>
      <w:r>
        <w:rPr>
          <w:rFonts w:hint="eastAsia" w:ascii="仿宋" w:hAnsi="仿宋" w:eastAsia="仿宋" w:cs="仿宋_GB2312"/>
          <w:color w:val="auto"/>
          <w:kern w:val="0"/>
          <w:szCs w:val="32"/>
          <w:lang w:eastAsia="zh-CN"/>
        </w:rPr>
        <w:t>我局</w:t>
      </w:r>
      <w:r>
        <w:rPr>
          <w:rFonts w:hint="eastAsia" w:ascii="仿宋" w:hAnsi="仿宋" w:eastAsia="仿宋" w:cs="仿宋_GB2312"/>
          <w:color w:val="auto"/>
          <w:kern w:val="0"/>
          <w:szCs w:val="32"/>
        </w:rPr>
        <w:t>以“部门职责</w:t>
      </w:r>
      <w:r>
        <w:rPr>
          <w:rFonts w:ascii="仿宋" w:hAnsi="仿宋" w:eastAsia="仿宋" w:cs="仿宋_GB2312"/>
          <w:color w:val="auto"/>
          <w:kern w:val="0"/>
          <w:szCs w:val="32"/>
        </w:rPr>
        <w:t>—</w:t>
      </w:r>
      <w:r>
        <w:rPr>
          <w:rFonts w:hint="eastAsia" w:ascii="仿宋" w:hAnsi="仿宋" w:eastAsia="仿宋" w:cs="仿宋_GB2312"/>
          <w:color w:val="auto"/>
          <w:kern w:val="0"/>
          <w:szCs w:val="32"/>
        </w:rPr>
        <w:t>工作活动”为依据，确定部门预算项目和预算额度，清晰描述预算项目开支范围和内容，确定预算项目的绩效目标、绩效指标和评价标准。通过项目实施，</w:t>
      </w:r>
      <w:r>
        <w:rPr>
          <w:rFonts w:hint="eastAsia" w:ascii="仿宋" w:hAnsi="仿宋" w:eastAsia="仿宋" w:cs="仿宋_GB2312"/>
          <w:color w:val="auto"/>
          <w:szCs w:val="32"/>
        </w:rPr>
        <w:t>较好地</w:t>
      </w:r>
      <w:r>
        <w:rPr>
          <w:rFonts w:hint="eastAsia" w:ascii="仿宋" w:hAnsi="仿宋" w:eastAsia="仿宋" w:cs="仿宋_GB2312"/>
          <w:color w:val="auto"/>
          <w:kern w:val="0"/>
          <w:szCs w:val="32"/>
        </w:rPr>
        <w:t>实现了预算项目绩效目标。</w:t>
      </w:r>
    </w:p>
    <w:p>
      <w:pPr>
        <w:keepNext w:val="0"/>
        <w:keepLines w:val="0"/>
        <w:pageBreakBefore w:val="0"/>
        <w:widowControl w:val="0"/>
        <w:kinsoku/>
        <w:wordWrap/>
        <w:overflowPunct/>
        <w:topLinePunct w:val="0"/>
        <w:bidi w:val="0"/>
        <w:spacing w:line="560" w:lineRule="exact"/>
        <w:ind w:firstLine="698" w:firstLineChars="200"/>
        <w:textAlignment w:val="auto"/>
        <w:rPr>
          <w:rFonts w:asciiTheme="majorEastAsia" w:hAnsiTheme="majorEastAsia" w:eastAsiaTheme="majorEastAsia"/>
          <w:b/>
          <w:color w:val="auto"/>
          <w:szCs w:val="32"/>
        </w:rPr>
      </w:pPr>
      <w:r>
        <w:rPr>
          <w:rFonts w:hint="eastAsia" w:asciiTheme="majorEastAsia" w:hAnsiTheme="majorEastAsia" w:eastAsiaTheme="majorEastAsia"/>
          <w:b/>
          <w:color w:val="auto"/>
          <w:szCs w:val="32"/>
        </w:rPr>
        <w:t>（二）具体情况</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cs="仿宋_GB2312"/>
          <w:color w:val="auto"/>
          <w:szCs w:val="32"/>
        </w:rPr>
      </w:pPr>
      <w:r>
        <w:rPr>
          <w:rFonts w:hint="eastAsia" w:ascii="仿宋" w:hAnsi="仿宋" w:eastAsia="仿宋" w:cs="仿宋_GB2312"/>
          <w:b/>
          <w:color w:val="auto"/>
          <w:szCs w:val="32"/>
          <w:lang w:val="en-US" w:eastAsia="zh-CN"/>
        </w:rPr>
        <w:t>1</w:t>
      </w:r>
      <w:r>
        <w:rPr>
          <w:rFonts w:hint="eastAsia" w:ascii="仿宋" w:hAnsi="仿宋" w:eastAsia="仿宋" w:cs="仿宋_GB2312"/>
          <w:b/>
          <w:color w:val="auto"/>
          <w:szCs w:val="32"/>
        </w:rPr>
        <w:t>、资金来源</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color w:val="auto"/>
          <w:szCs w:val="32"/>
        </w:rPr>
      </w:pPr>
      <w:r>
        <w:rPr>
          <w:rFonts w:hint="eastAsia" w:ascii="仿宋" w:hAnsi="仿宋" w:eastAsia="仿宋" w:cs="仿宋_GB2312"/>
          <w:color w:val="auto"/>
          <w:szCs w:val="32"/>
          <w:lang w:eastAsia="zh-CN"/>
        </w:rPr>
        <w:t>我局</w:t>
      </w:r>
      <w:r>
        <w:rPr>
          <w:rFonts w:hint="eastAsia" w:ascii="仿宋" w:hAnsi="仿宋" w:eastAsia="仿宋" w:cs="仿宋_GB2312"/>
          <w:color w:val="auto"/>
          <w:szCs w:val="32"/>
        </w:rPr>
        <w:t>项目资金来源为年初财政预算或年中财政预算追加。</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b/>
          <w:color w:val="auto"/>
          <w:szCs w:val="32"/>
        </w:rPr>
      </w:pPr>
      <w:r>
        <w:rPr>
          <w:rFonts w:hint="eastAsia" w:ascii="仿宋" w:hAnsi="仿宋" w:eastAsia="仿宋" w:cs="仿宋_GB2312"/>
          <w:b/>
          <w:color w:val="auto"/>
          <w:szCs w:val="32"/>
          <w:lang w:val="en-US" w:eastAsia="zh-CN"/>
        </w:rPr>
        <w:t>2</w:t>
      </w:r>
      <w:r>
        <w:rPr>
          <w:rFonts w:hint="eastAsia" w:ascii="仿宋" w:hAnsi="仿宋" w:eastAsia="仿宋" w:cs="仿宋_GB2312"/>
          <w:b/>
          <w:color w:val="auto"/>
          <w:szCs w:val="32"/>
        </w:rPr>
        <w:t>、预算安排、产出指标和效果指标设定情况及设定依据</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color w:val="auto"/>
          <w:szCs w:val="32"/>
        </w:rPr>
      </w:pPr>
      <w:r>
        <w:rPr>
          <w:rFonts w:hint="eastAsia" w:ascii="仿宋" w:hAnsi="仿宋" w:eastAsia="仿宋" w:cs="仿宋_GB2312"/>
          <w:color w:val="auto"/>
          <w:szCs w:val="32"/>
        </w:rPr>
        <w:t>2021年财政预算专项拨付</w:t>
      </w:r>
      <w:r>
        <w:rPr>
          <w:rFonts w:hint="eastAsia" w:ascii="仿宋" w:hAnsi="仿宋" w:eastAsia="仿宋" w:cs="仿宋_GB2312"/>
          <w:color w:val="auto"/>
          <w:kern w:val="0"/>
          <w:szCs w:val="32"/>
          <w:lang w:val="en-US" w:eastAsia="zh-CN"/>
        </w:rPr>
        <w:t>16654.50</w:t>
      </w:r>
      <w:r>
        <w:rPr>
          <w:rFonts w:hint="eastAsia" w:ascii="仿宋" w:hAnsi="仿宋" w:eastAsia="仿宋" w:cs="仿宋_GB2312"/>
          <w:color w:val="auto"/>
          <w:szCs w:val="32"/>
        </w:rPr>
        <w:t>万元，</w:t>
      </w:r>
      <w:r>
        <w:rPr>
          <w:rFonts w:hint="eastAsia" w:ascii="仿宋" w:hAnsi="仿宋" w:eastAsia="仿宋" w:cs="仿宋_GB2312"/>
          <w:color w:val="auto"/>
          <w:szCs w:val="32"/>
          <w:lang w:eastAsia="zh-CN"/>
        </w:rPr>
        <w:t>我局</w:t>
      </w:r>
      <w:r>
        <w:rPr>
          <w:rFonts w:hint="eastAsia" w:ascii="仿宋" w:hAnsi="仿宋" w:eastAsia="仿宋" w:cs="仿宋_GB2312"/>
          <w:color w:val="auto"/>
          <w:szCs w:val="32"/>
        </w:rPr>
        <w:t>严格专款专用，专帐核算，严格监察，依据日常工作完成情况和上级领导要求设定预算产出指标和效果指标完成标准。</w:t>
      </w:r>
    </w:p>
    <w:p>
      <w:pPr>
        <w:keepNext w:val="0"/>
        <w:keepLines w:val="0"/>
        <w:pageBreakBefore w:val="0"/>
        <w:widowControl w:val="0"/>
        <w:kinsoku/>
        <w:wordWrap/>
        <w:overflowPunct/>
        <w:topLinePunct w:val="0"/>
        <w:bidi w:val="0"/>
        <w:spacing w:line="560" w:lineRule="exact"/>
        <w:ind w:firstLine="698" w:firstLineChars="200"/>
        <w:textAlignment w:val="auto"/>
        <w:rPr>
          <w:rFonts w:ascii="黑体" w:hAnsi="黑体" w:eastAsia="黑体"/>
          <w:color w:val="auto"/>
          <w:szCs w:val="32"/>
        </w:rPr>
      </w:pPr>
      <w:r>
        <w:rPr>
          <w:rFonts w:hint="eastAsia" w:ascii="黑体" w:hAnsi="黑体" w:eastAsia="黑体"/>
          <w:color w:val="auto"/>
          <w:szCs w:val="32"/>
        </w:rPr>
        <w:t>二、绩效自评工作开展情况</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b/>
          <w:bCs w:val="0"/>
          <w:color w:val="auto"/>
          <w:szCs w:val="32"/>
        </w:rPr>
      </w:pPr>
      <w:r>
        <w:rPr>
          <w:rFonts w:hint="eastAsia" w:ascii="仿宋" w:hAnsi="仿宋" w:eastAsia="仿宋" w:cs="楷体_GB2312"/>
          <w:b/>
          <w:bCs w:val="0"/>
          <w:color w:val="auto"/>
          <w:szCs w:val="32"/>
        </w:rPr>
        <w:t>（一）前期准备</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cs="仿宋_GB2312"/>
          <w:color w:val="auto"/>
          <w:szCs w:val="32"/>
        </w:rPr>
      </w:pPr>
      <w:r>
        <w:rPr>
          <w:rFonts w:hint="eastAsia" w:ascii="仿宋" w:hAnsi="仿宋" w:eastAsia="仿宋" w:cs="仿宋_GB2312"/>
          <w:color w:val="auto"/>
          <w:szCs w:val="32"/>
          <w:lang w:eastAsia="zh-CN"/>
        </w:rPr>
        <w:t>我局</w:t>
      </w:r>
      <w:r>
        <w:rPr>
          <w:rFonts w:hint="eastAsia" w:ascii="仿宋" w:hAnsi="仿宋" w:eastAsia="仿宋" w:cs="仿宋_GB2312"/>
          <w:color w:val="auto"/>
          <w:szCs w:val="32"/>
        </w:rPr>
        <w:t>各项目支出均按要求提前向财政申请资金，与发生资金往来的单位事前签订合同、协议，严格按预算安排计划合理调配经费支出。</w:t>
      </w:r>
      <w:r>
        <w:rPr>
          <w:rFonts w:ascii="仿宋" w:hAnsi="仿宋" w:eastAsia="仿宋" w:cs="仿宋_GB2312"/>
          <w:color w:val="auto"/>
          <w:szCs w:val="32"/>
        </w:rPr>
        <w:t xml:space="preserve"> </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b/>
          <w:bCs w:val="0"/>
          <w:color w:val="auto"/>
          <w:szCs w:val="32"/>
        </w:rPr>
      </w:pPr>
      <w:r>
        <w:rPr>
          <w:rFonts w:hint="eastAsia" w:ascii="仿宋" w:hAnsi="仿宋" w:eastAsia="仿宋" w:cs="楷体_GB2312"/>
          <w:b/>
          <w:bCs w:val="0"/>
          <w:color w:val="auto"/>
          <w:szCs w:val="32"/>
        </w:rPr>
        <w:t>（二）组织实施</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cs="仿宋_GB2312"/>
          <w:color w:val="auto"/>
          <w:szCs w:val="32"/>
        </w:rPr>
      </w:pPr>
      <w:r>
        <w:rPr>
          <w:rFonts w:hint="eastAsia" w:ascii="仿宋" w:hAnsi="仿宋" w:eastAsia="仿宋" w:cs="仿宋_GB2312"/>
          <w:color w:val="auto"/>
          <w:szCs w:val="32"/>
          <w:lang w:eastAsia="zh-CN"/>
        </w:rPr>
        <w:t>我局</w:t>
      </w:r>
      <w:r>
        <w:rPr>
          <w:rFonts w:hint="eastAsia" w:ascii="仿宋" w:hAnsi="仿宋" w:eastAsia="仿宋" w:cs="仿宋_GB2312"/>
          <w:color w:val="auto"/>
          <w:szCs w:val="32"/>
        </w:rPr>
        <w:t>项目支出，全部完成当年计划，并完成年度项目绩效目标。所有项目的日常管理工作均按照本单位相关管理制度执行，工作取得了较好的成效。</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b/>
          <w:bCs w:val="0"/>
          <w:color w:val="auto"/>
          <w:szCs w:val="32"/>
        </w:rPr>
      </w:pPr>
      <w:r>
        <w:rPr>
          <w:rFonts w:hint="eastAsia" w:ascii="仿宋" w:hAnsi="仿宋" w:eastAsia="仿宋" w:cs="楷体_GB2312"/>
          <w:b/>
          <w:bCs w:val="0"/>
          <w:color w:val="auto"/>
          <w:szCs w:val="32"/>
        </w:rPr>
        <w:t>（三）分析评价</w:t>
      </w:r>
    </w:p>
    <w:p>
      <w:pPr>
        <w:keepNext w:val="0"/>
        <w:keepLines w:val="0"/>
        <w:pageBreakBefore w:val="0"/>
        <w:widowControl w:val="0"/>
        <w:kinsoku/>
        <w:wordWrap/>
        <w:overflowPunct/>
        <w:topLinePunct w:val="0"/>
        <w:bidi w:val="0"/>
        <w:spacing w:line="560" w:lineRule="exact"/>
        <w:ind w:firstLine="698" w:firstLineChars="200"/>
        <w:textAlignment w:val="auto"/>
        <w:rPr>
          <w:rFonts w:hint="eastAsia" w:ascii="仿宋" w:hAnsi="仿宋" w:eastAsia="仿宋" w:cs="仿宋_GB2312"/>
          <w:color w:val="auto"/>
          <w:szCs w:val="32"/>
          <w:lang w:eastAsia="zh-CN"/>
        </w:rPr>
      </w:pPr>
      <w:r>
        <w:rPr>
          <w:rFonts w:hint="eastAsia" w:ascii="仿宋" w:hAnsi="仿宋" w:eastAsia="仿宋" w:cs="仿宋_GB2312"/>
          <w:color w:val="auto"/>
          <w:szCs w:val="32"/>
        </w:rPr>
        <w:t>2021年</w:t>
      </w:r>
      <w:r>
        <w:rPr>
          <w:rFonts w:hint="eastAsia" w:ascii="仿宋" w:hAnsi="仿宋" w:eastAsia="仿宋" w:cs="仿宋_GB2312"/>
          <w:color w:val="auto"/>
          <w:szCs w:val="32"/>
          <w:lang w:eastAsia="zh-CN"/>
        </w:rPr>
        <w:t>我局</w:t>
      </w:r>
      <w:r>
        <w:rPr>
          <w:rFonts w:hint="eastAsia" w:ascii="仿宋" w:hAnsi="仿宋" w:eastAsia="仿宋" w:cs="仿宋_GB2312"/>
          <w:color w:val="auto"/>
          <w:szCs w:val="32"/>
        </w:rPr>
        <w:t>项目指标完成</w:t>
      </w:r>
      <w:r>
        <w:rPr>
          <w:rFonts w:hint="eastAsia" w:ascii="仿宋" w:hAnsi="仿宋" w:eastAsia="仿宋" w:cs="仿宋_GB2312"/>
          <w:color w:val="auto"/>
          <w:szCs w:val="32"/>
          <w:lang w:eastAsia="zh-CN"/>
        </w:rPr>
        <w:t>较好。</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cs="仿宋_GB2312"/>
          <w:color w:val="auto"/>
          <w:szCs w:val="32"/>
        </w:rPr>
      </w:pPr>
      <w:r>
        <w:rPr>
          <w:rFonts w:ascii="仿宋" w:hAnsi="仿宋" w:eastAsia="仿宋" w:cs="仿宋_GB2312"/>
          <w:color w:val="auto"/>
          <w:szCs w:val="32"/>
        </w:rPr>
        <w:t>1</w:t>
      </w:r>
      <w:r>
        <w:rPr>
          <w:rFonts w:hint="eastAsia" w:ascii="仿宋" w:hAnsi="仿宋" w:eastAsia="仿宋" w:cs="仿宋_GB2312"/>
          <w:color w:val="auto"/>
          <w:szCs w:val="32"/>
        </w:rPr>
        <w:t>、项目立项：项目的申请、设立过程符合相关要求，设定的绩效目标合理，绩效指标细化、明确、清晰、可衡量。</w:t>
      </w:r>
    </w:p>
    <w:p>
      <w:pPr>
        <w:keepNext w:val="0"/>
        <w:keepLines w:val="0"/>
        <w:pageBreakBefore w:val="0"/>
        <w:widowControl w:val="0"/>
        <w:kinsoku/>
        <w:wordWrap/>
        <w:overflowPunct/>
        <w:topLinePunct w:val="0"/>
        <w:bidi w:val="0"/>
        <w:spacing w:line="560" w:lineRule="exact"/>
        <w:ind w:firstLine="698" w:firstLineChars="200"/>
        <w:textAlignment w:val="auto"/>
        <w:rPr>
          <w:rFonts w:hint="eastAsia" w:ascii="仿宋" w:hAnsi="仿宋" w:eastAsia="仿宋" w:cs="仿宋_GB2312"/>
          <w:color w:val="auto"/>
          <w:szCs w:val="32"/>
          <w:lang w:eastAsia="zh-CN"/>
        </w:rPr>
      </w:pPr>
      <w:r>
        <w:rPr>
          <w:rFonts w:ascii="仿宋" w:hAnsi="仿宋" w:eastAsia="仿宋" w:cs="仿宋_GB2312"/>
          <w:color w:val="auto"/>
          <w:szCs w:val="32"/>
        </w:rPr>
        <w:t>2</w:t>
      </w:r>
      <w:r>
        <w:rPr>
          <w:rFonts w:hint="eastAsia" w:ascii="仿宋" w:hAnsi="仿宋" w:eastAsia="仿宋" w:cs="仿宋_GB2312"/>
          <w:color w:val="auto"/>
          <w:szCs w:val="32"/>
        </w:rPr>
        <w:t>、资金落实：资金落实到位情况良好</w:t>
      </w:r>
      <w:r>
        <w:rPr>
          <w:rFonts w:hint="eastAsia" w:ascii="仿宋" w:hAnsi="仿宋" w:eastAsia="仿宋" w:cs="仿宋_GB2312"/>
          <w:color w:val="auto"/>
          <w:szCs w:val="32"/>
          <w:lang w:eastAsia="zh-CN"/>
        </w:rPr>
        <w:t>。</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cs="仿宋_GB2312"/>
          <w:color w:val="auto"/>
          <w:szCs w:val="32"/>
        </w:rPr>
      </w:pPr>
      <w:r>
        <w:rPr>
          <w:rFonts w:ascii="仿宋" w:hAnsi="仿宋" w:eastAsia="仿宋" w:cs="仿宋_GB2312"/>
          <w:color w:val="auto"/>
          <w:szCs w:val="32"/>
        </w:rPr>
        <w:t>3</w:t>
      </w:r>
      <w:r>
        <w:rPr>
          <w:rFonts w:hint="eastAsia" w:ascii="仿宋" w:hAnsi="仿宋" w:eastAsia="仿宋" w:cs="仿宋_GB2312"/>
          <w:color w:val="auto"/>
          <w:szCs w:val="32"/>
        </w:rPr>
        <w:t>、业务管理：管理制度健全、制度执行有效、项目质量可控。</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cs="仿宋_GB2312"/>
          <w:color w:val="auto"/>
          <w:szCs w:val="32"/>
        </w:rPr>
      </w:pPr>
      <w:r>
        <w:rPr>
          <w:rFonts w:ascii="仿宋" w:hAnsi="仿宋" w:eastAsia="仿宋" w:cs="仿宋_GB2312"/>
          <w:color w:val="auto"/>
          <w:szCs w:val="32"/>
        </w:rPr>
        <w:t>4</w:t>
      </w:r>
      <w:r>
        <w:rPr>
          <w:rFonts w:hint="eastAsia" w:ascii="仿宋" w:hAnsi="仿宋" w:eastAsia="仿宋" w:cs="仿宋_GB2312"/>
          <w:color w:val="auto"/>
          <w:szCs w:val="32"/>
        </w:rPr>
        <w:t>、财务管理：管理制度健全、资金使用合规、财务监控有效。</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cs="仿宋_GB2312"/>
          <w:color w:val="auto"/>
          <w:szCs w:val="32"/>
        </w:rPr>
      </w:pPr>
      <w:r>
        <w:rPr>
          <w:rFonts w:ascii="仿宋" w:hAnsi="仿宋" w:eastAsia="仿宋" w:cs="仿宋_GB2312"/>
          <w:color w:val="auto"/>
          <w:szCs w:val="32"/>
        </w:rPr>
        <w:t>5</w:t>
      </w:r>
      <w:r>
        <w:rPr>
          <w:rFonts w:hint="eastAsia" w:ascii="仿宋" w:hAnsi="仿宋" w:eastAsia="仿宋" w:cs="仿宋_GB2312"/>
          <w:color w:val="auto"/>
          <w:szCs w:val="32"/>
        </w:rPr>
        <w:t>、项目效益：项目实施对经济效益、社会效益好，是发展民生、改善民生需要，使得高新区境内环境卫生水平明显提升，创造了良好的人居生态环境，社会公众的满意度非常高。</w:t>
      </w:r>
    </w:p>
    <w:p>
      <w:pPr>
        <w:keepNext w:val="0"/>
        <w:keepLines w:val="0"/>
        <w:pageBreakBefore w:val="0"/>
        <w:widowControl w:val="0"/>
        <w:kinsoku/>
        <w:wordWrap/>
        <w:overflowPunct/>
        <w:topLinePunct w:val="0"/>
        <w:bidi w:val="0"/>
        <w:spacing w:line="560" w:lineRule="exact"/>
        <w:ind w:firstLine="698" w:firstLineChars="200"/>
        <w:textAlignment w:val="auto"/>
        <w:rPr>
          <w:rFonts w:ascii="黑体" w:hAnsi="黑体" w:eastAsia="黑体" w:cs="仿宋_GB2312"/>
          <w:color w:val="auto"/>
          <w:szCs w:val="32"/>
        </w:rPr>
      </w:pPr>
      <w:r>
        <w:rPr>
          <w:rFonts w:hint="eastAsia" w:ascii="黑体" w:hAnsi="黑体" w:eastAsia="黑体" w:cs="仿宋_GB2312"/>
          <w:color w:val="auto"/>
          <w:szCs w:val="32"/>
        </w:rPr>
        <w:t>三、综合评价结论</w:t>
      </w:r>
    </w:p>
    <w:p>
      <w:pPr>
        <w:keepNext w:val="0"/>
        <w:keepLines w:val="0"/>
        <w:pageBreakBefore w:val="0"/>
        <w:widowControl w:val="0"/>
        <w:kinsoku/>
        <w:wordWrap/>
        <w:overflowPunct/>
        <w:topLinePunct w:val="0"/>
        <w:bidi w:val="0"/>
        <w:spacing w:line="560" w:lineRule="exact"/>
        <w:ind w:firstLine="698" w:firstLineChars="200"/>
        <w:textAlignment w:val="auto"/>
        <w:rPr>
          <w:rFonts w:ascii="黑体" w:hAnsi="黑体" w:eastAsia="黑体" w:cs="仿宋_GB2312"/>
          <w:color w:val="auto"/>
          <w:szCs w:val="32"/>
        </w:rPr>
      </w:pPr>
      <w:r>
        <w:rPr>
          <w:rFonts w:hint="eastAsia" w:asciiTheme="majorEastAsia" w:hAnsiTheme="majorEastAsia" w:eastAsiaTheme="majorEastAsia"/>
          <w:b/>
          <w:color w:val="auto"/>
          <w:szCs w:val="32"/>
        </w:rPr>
        <w:t>（一）部门全部评价项目优良率</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b/>
          <w:bCs w:val="0"/>
          <w:color w:val="auto"/>
          <w:szCs w:val="32"/>
        </w:rPr>
      </w:pPr>
      <w:r>
        <w:rPr>
          <w:rFonts w:hint="eastAsia" w:ascii="仿宋" w:hAnsi="仿宋" w:eastAsia="仿宋" w:cs="仿宋_GB2312"/>
          <w:color w:val="auto"/>
          <w:szCs w:val="32"/>
          <w:lang w:eastAsia="zh-CN"/>
        </w:rPr>
        <w:t>我局</w:t>
      </w:r>
      <w:r>
        <w:rPr>
          <w:rFonts w:hint="eastAsia" w:ascii="仿宋" w:hAnsi="仿宋" w:eastAsia="仿宋" w:cs="仿宋_GB2312"/>
          <w:color w:val="auto"/>
          <w:szCs w:val="32"/>
        </w:rPr>
        <w:t>项目评价数</w:t>
      </w:r>
      <w:r>
        <w:rPr>
          <w:rFonts w:hint="eastAsia" w:ascii="仿宋" w:hAnsi="仿宋" w:eastAsia="仿宋" w:cs="仿宋_GB2312"/>
          <w:color w:val="auto"/>
          <w:szCs w:val="32"/>
          <w:lang w:val="en-US" w:eastAsia="zh-CN"/>
        </w:rPr>
        <w:t>20</w:t>
      </w:r>
      <w:r>
        <w:rPr>
          <w:rFonts w:hint="eastAsia" w:ascii="仿宋" w:hAnsi="仿宋" w:eastAsia="仿宋" w:cs="仿宋_GB2312"/>
          <w:color w:val="auto"/>
          <w:szCs w:val="32"/>
        </w:rPr>
        <w:t>个，评价指标均为优。</w:t>
      </w:r>
    </w:p>
    <w:p>
      <w:pPr>
        <w:keepNext w:val="0"/>
        <w:keepLines w:val="0"/>
        <w:pageBreakBefore w:val="0"/>
        <w:widowControl w:val="0"/>
        <w:kinsoku/>
        <w:wordWrap/>
        <w:overflowPunct/>
        <w:topLinePunct w:val="0"/>
        <w:bidi w:val="0"/>
        <w:spacing w:line="560" w:lineRule="exact"/>
        <w:ind w:firstLine="523" w:firstLineChars="150"/>
        <w:textAlignment w:val="auto"/>
        <w:rPr>
          <w:rFonts w:cs="楷体_GB2312" w:asciiTheme="majorEastAsia" w:hAnsiTheme="majorEastAsia" w:eastAsiaTheme="majorEastAsia"/>
          <w:b/>
          <w:color w:val="auto"/>
          <w:szCs w:val="32"/>
        </w:rPr>
      </w:pPr>
      <w:r>
        <w:rPr>
          <w:rFonts w:hint="eastAsia" w:cs="楷体_GB2312" w:asciiTheme="majorEastAsia" w:hAnsiTheme="majorEastAsia" w:eastAsiaTheme="majorEastAsia"/>
          <w:b/>
          <w:color w:val="auto"/>
          <w:szCs w:val="32"/>
        </w:rPr>
        <w:t>（二）部门整体绩效目标的完成情况</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cs="仿宋_GB2312"/>
          <w:color w:val="auto"/>
          <w:szCs w:val="32"/>
        </w:rPr>
      </w:pPr>
      <w:r>
        <w:rPr>
          <w:rFonts w:hint="eastAsia" w:ascii="仿宋" w:hAnsi="仿宋" w:eastAsia="仿宋" w:cs="仿宋_GB2312"/>
          <w:color w:val="auto"/>
          <w:szCs w:val="32"/>
        </w:rPr>
        <w:t>2021年</w:t>
      </w:r>
      <w:r>
        <w:rPr>
          <w:rFonts w:hint="eastAsia" w:ascii="仿宋" w:hAnsi="仿宋" w:eastAsia="仿宋" w:cs="仿宋_GB2312"/>
          <w:color w:val="auto"/>
          <w:szCs w:val="32"/>
          <w:lang w:eastAsia="zh-CN"/>
        </w:rPr>
        <w:t>我局</w:t>
      </w:r>
      <w:r>
        <w:rPr>
          <w:rFonts w:hint="eastAsia" w:ascii="仿宋" w:hAnsi="仿宋" w:eastAsia="仿宋" w:cs="仿宋_GB2312"/>
          <w:color w:val="auto"/>
          <w:szCs w:val="32"/>
        </w:rPr>
        <w:t>支付完成的各个项目从项目立项、资金落实、业务管理到财务管理、项目产出、项目效益，产出指标和效益指标实际完成值得分都很高，项目绩效目标完成情况良好。</w:t>
      </w:r>
    </w:p>
    <w:p>
      <w:pPr>
        <w:keepNext w:val="0"/>
        <w:keepLines w:val="0"/>
        <w:pageBreakBefore w:val="0"/>
        <w:widowControl w:val="0"/>
        <w:kinsoku/>
        <w:wordWrap/>
        <w:overflowPunct/>
        <w:topLinePunct w:val="0"/>
        <w:bidi w:val="0"/>
        <w:spacing w:line="560" w:lineRule="exact"/>
        <w:ind w:firstLine="698" w:firstLineChars="200"/>
        <w:textAlignment w:val="auto"/>
        <w:rPr>
          <w:rFonts w:ascii="黑体" w:hAnsi="黑体" w:eastAsia="黑体"/>
          <w:color w:val="auto"/>
          <w:szCs w:val="32"/>
        </w:rPr>
      </w:pPr>
      <w:r>
        <w:rPr>
          <w:rFonts w:hint="eastAsia" w:ascii="黑体" w:hAnsi="黑体" w:eastAsia="黑体"/>
          <w:color w:val="auto"/>
          <w:szCs w:val="32"/>
        </w:rPr>
        <w:t>四、绩效项目完成情况分析及下一步改进措施</w:t>
      </w:r>
    </w:p>
    <w:p>
      <w:pPr>
        <w:keepNext w:val="0"/>
        <w:keepLines w:val="0"/>
        <w:pageBreakBefore w:val="0"/>
        <w:widowControl w:val="0"/>
        <w:kinsoku/>
        <w:wordWrap/>
        <w:overflowPunct/>
        <w:topLinePunct w:val="0"/>
        <w:bidi w:val="0"/>
        <w:snapToGrid w:val="0"/>
        <w:spacing w:line="560" w:lineRule="exact"/>
        <w:ind w:firstLine="698" w:firstLineChars="200"/>
        <w:textAlignment w:val="auto"/>
        <w:rPr>
          <w:rFonts w:hint="default" w:ascii="仿宋" w:hAnsi="仿宋" w:eastAsia="仿宋" w:cs="仿宋_GB2312"/>
          <w:color w:val="auto"/>
          <w:szCs w:val="32"/>
          <w:lang w:val="en-US" w:eastAsia="zh-CN"/>
        </w:rPr>
      </w:pPr>
      <w:r>
        <w:rPr>
          <w:rFonts w:hint="eastAsia" w:ascii="仿宋" w:hAnsi="仿宋" w:eastAsia="仿宋" w:cs="仿宋_GB2312"/>
          <w:color w:val="auto"/>
          <w:szCs w:val="32"/>
          <w:lang w:eastAsia="zh-CN"/>
        </w:rPr>
        <w:t>我局</w:t>
      </w:r>
      <w:r>
        <w:rPr>
          <w:rFonts w:hint="eastAsia" w:ascii="仿宋" w:hAnsi="仿宋" w:eastAsia="仿宋" w:cs="仿宋_GB2312"/>
          <w:color w:val="auto"/>
          <w:szCs w:val="32"/>
        </w:rPr>
        <w:t>全部项目</w:t>
      </w:r>
      <w:r>
        <w:rPr>
          <w:rFonts w:hint="eastAsia" w:ascii="仿宋" w:hAnsi="仿宋" w:eastAsia="仿宋" w:cs="仿宋_GB2312"/>
          <w:color w:val="auto"/>
          <w:szCs w:val="32"/>
          <w:lang w:eastAsia="zh-CN"/>
        </w:rPr>
        <w:t>完成较好，</w:t>
      </w:r>
      <w:r>
        <w:rPr>
          <w:rFonts w:hint="eastAsia" w:ascii="仿宋" w:hAnsi="仿宋" w:eastAsia="仿宋" w:cs="仿宋_GB2312"/>
          <w:color w:val="auto"/>
          <w:szCs w:val="32"/>
        </w:rPr>
        <w:t>严格按照全年预算支出进度加强预算资金支付，均按时间节点完成指标任务，达到预定绩效目标。</w:t>
      </w:r>
      <w:r>
        <w:rPr>
          <w:rFonts w:hint="eastAsia" w:ascii="仿宋" w:hAnsi="仿宋" w:eastAsia="仿宋" w:cs="仿宋_GB2312"/>
          <w:color w:val="auto"/>
          <w:szCs w:val="32"/>
          <w:lang w:eastAsia="zh-CN"/>
        </w:rPr>
        <w:t>因人才中心档案信息化管理公开招标中标价较预算数差距较大，且只支付了部分预付款，导致我局一般公共预算支出比例没有达到预期目标。</w:t>
      </w:r>
    </w:p>
    <w:p>
      <w:pPr>
        <w:keepNext w:val="0"/>
        <w:keepLines w:val="0"/>
        <w:pageBreakBefore w:val="0"/>
        <w:widowControl w:val="0"/>
        <w:kinsoku/>
        <w:wordWrap/>
        <w:overflowPunct/>
        <w:topLinePunct w:val="0"/>
        <w:bidi w:val="0"/>
        <w:snapToGrid w:val="0"/>
        <w:spacing w:line="560" w:lineRule="exact"/>
        <w:ind w:firstLine="698" w:firstLineChars="200"/>
        <w:textAlignment w:val="auto"/>
        <w:rPr>
          <w:rFonts w:ascii="仿宋" w:hAnsi="仿宋" w:eastAsia="仿宋" w:cs="仿宋_GB2312"/>
          <w:color w:val="auto"/>
          <w:szCs w:val="32"/>
        </w:rPr>
      </w:pPr>
      <w:r>
        <w:rPr>
          <w:rFonts w:hint="eastAsia" w:ascii="仿宋" w:hAnsi="仿宋" w:eastAsia="仿宋" w:cs="仿宋_GB2312"/>
          <w:color w:val="auto"/>
          <w:szCs w:val="32"/>
        </w:rPr>
        <w:t>在下一步工作中，通过对专项资金的使用情况进行绩效评价，衡量项目的投入、产出与绩效，分析、检验项目是否达到预期目标，资金使用是否有效，为以后年度项目安排及资金管理提供重要依据。</w:t>
      </w:r>
    </w:p>
    <w:p>
      <w:pPr>
        <w:keepNext w:val="0"/>
        <w:keepLines w:val="0"/>
        <w:pageBreakBefore w:val="0"/>
        <w:widowControl w:val="0"/>
        <w:kinsoku/>
        <w:wordWrap/>
        <w:overflowPunct/>
        <w:topLinePunct w:val="0"/>
        <w:bidi w:val="0"/>
        <w:spacing w:line="560" w:lineRule="exact"/>
        <w:ind w:firstLine="698" w:firstLineChars="200"/>
        <w:textAlignment w:val="auto"/>
        <w:rPr>
          <w:rFonts w:ascii="黑体" w:hAnsi="黑体" w:eastAsia="黑体"/>
          <w:color w:val="auto"/>
          <w:szCs w:val="32"/>
        </w:rPr>
      </w:pPr>
      <w:r>
        <w:rPr>
          <w:rFonts w:hint="eastAsia" w:ascii="黑体" w:hAnsi="黑体" w:eastAsia="黑体"/>
          <w:color w:val="auto"/>
          <w:szCs w:val="32"/>
        </w:rPr>
        <w:t>五、绩效评价结果拟应用情况</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cs="仿宋_GB2312"/>
          <w:color w:val="auto"/>
          <w:szCs w:val="32"/>
        </w:rPr>
      </w:pPr>
      <w:r>
        <w:rPr>
          <w:rFonts w:hint="eastAsia" w:ascii="仿宋" w:hAnsi="仿宋" w:eastAsia="仿宋" w:cs="仿宋_GB2312"/>
          <w:color w:val="auto"/>
          <w:szCs w:val="32"/>
        </w:rPr>
        <w:t>通过开展绩效评价工作，及时发现项目申报审批、项目实施管理、项目资金管理等环节中的薄弱环节，总结和推广好的经验和做法，进一步规范项目管理、改进财政支出管理。</w:t>
      </w:r>
    </w:p>
    <w:p>
      <w:pPr>
        <w:keepNext w:val="0"/>
        <w:keepLines w:val="0"/>
        <w:pageBreakBefore w:val="0"/>
        <w:widowControl w:val="0"/>
        <w:kinsoku/>
        <w:wordWrap/>
        <w:overflowPunct/>
        <w:topLinePunct w:val="0"/>
        <w:bidi w:val="0"/>
        <w:spacing w:line="560" w:lineRule="exact"/>
        <w:ind w:firstLine="698" w:firstLineChars="200"/>
        <w:textAlignment w:val="auto"/>
        <w:rPr>
          <w:rFonts w:hint="eastAsia" w:ascii="仿宋" w:hAnsi="仿宋" w:eastAsia="仿宋" w:cs="仿宋_GB2312"/>
          <w:color w:val="auto"/>
          <w:szCs w:val="32"/>
        </w:rPr>
      </w:pPr>
      <w:r>
        <w:rPr>
          <w:rFonts w:hint="eastAsia" w:ascii="仿宋" w:hAnsi="仿宋" w:eastAsia="仿宋" w:cs="仿宋_GB2312"/>
          <w:color w:val="auto"/>
          <w:szCs w:val="32"/>
        </w:rPr>
        <w:t>进一步完善项目绩效考核标准和考核结果应用，做到钱随事走，工作数量、质量牢牢与经费挂钩，实行专款专用，奖罚兑现，建立</w:t>
      </w:r>
      <w:r>
        <w:rPr>
          <w:rFonts w:hint="eastAsia" w:ascii="仿宋" w:hAnsi="仿宋" w:eastAsia="仿宋" w:cs="仿宋_GB2312"/>
          <w:color w:val="auto"/>
          <w:szCs w:val="32"/>
          <w:lang w:eastAsia="zh-CN"/>
        </w:rPr>
        <w:t>财务</w:t>
      </w:r>
      <w:r>
        <w:rPr>
          <w:rFonts w:hint="eastAsia" w:ascii="仿宋" w:hAnsi="仿宋" w:eastAsia="仿宋" w:cs="仿宋_GB2312"/>
          <w:color w:val="auto"/>
          <w:szCs w:val="32"/>
        </w:rPr>
        <w:t>管理的长效机制。</w:t>
      </w:r>
    </w:p>
    <w:p>
      <w:pPr>
        <w:keepNext w:val="0"/>
        <w:keepLines w:val="0"/>
        <w:pageBreakBefore w:val="0"/>
        <w:widowControl w:val="0"/>
        <w:kinsoku/>
        <w:wordWrap/>
        <w:overflowPunct/>
        <w:topLinePunct w:val="0"/>
        <w:bidi w:val="0"/>
        <w:spacing w:line="560" w:lineRule="exact"/>
        <w:ind w:firstLine="698" w:firstLineChars="200"/>
        <w:textAlignment w:val="auto"/>
        <w:rPr>
          <w:rFonts w:hint="eastAsia" w:ascii="仿宋" w:hAnsi="仿宋" w:eastAsia="仿宋" w:cs="仿宋_GB2312"/>
          <w:color w:val="auto"/>
          <w:szCs w:val="32"/>
        </w:rPr>
      </w:pPr>
    </w:p>
    <w:p>
      <w:pPr>
        <w:keepNext w:val="0"/>
        <w:keepLines w:val="0"/>
        <w:pageBreakBefore w:val="0"/>
        <w:widowControl w:val="0"/>
        <w:kinsoku/>
        <w:wordWrap/>
        <w:overflowPunct/>
        <w:topLinePunct w:val="0"/>
        <w:bidi w:val="0"/>
        <w:spacing w:line="560" w:lineRule="exact"/>
        <w:ind w:firstLine="698" w:firstLineChars="200"/>
        <w:textAlignment w:val="auto"/>
        <w:rPr>
          <w:rFonts w:hint="eastAsia" w:ascii="仿宋" w:hAnsi="仿宋" w:eastAsia="仿宋" w:cs="仿宋_GB2312"/>
          <w:color w:val="auto"/>
          <w:szCs w:val="32"/>
        </w:rPr>
      </w:pPr>
    </w:p>
    <w:p>
      <w:pPr>
        <w:keepNext w:val="0"/>
        <w:keepLines w:val="0"/>
        <w:pageBreakBefore w:val="0"/>
        <w:widowControl w:val="0"/>
        <w:kinsoku/>
        <w:wordWrap/>
        <w:overflowPunct/>
        <w:topLinePunct w:val="0"/>
        <w:bidi w:val="0"/>
        <w:spacing w:line="560" w:lineRule="exact"/>
        <w:textAlignment w:val="auto"/>
        <w:rPr>
          <w:rFonts w:hint="eastAsia" w:ascii="仿宋" w:hAnsi="仿宋" w:eastAsia="仿宋" w:cs="仿宋_GB2312"/>
          <w:color w:val="auto"/>
          <w:szCs w:val="32"/>
        </w:rPr>
      </w:pPr>
    </w:p>
    <w:p>
      <w:pPr>
        <w:keepNext w:val="0"/>
        <w:keepLines w:val="0"/>
        <w:pageBreakBefore w:val="0"/>
        <w:widowControl w:val="0"/>
        <w:kinsoku/>
        <w:wordWrap/>
        <w:overflowPunct/>
        <w:topLinePunct w:val="0"/>
        <w:bidi w:val="0"/>
        <w:spacing w:line="560" w:lineRule="exact"/>
        <w:ind w:firstLine="3839" w:firstLineChars="1100"/>
        <w:textAlignment w:val="auto"/>
        <w:rPr>
          <w:rFonts w:hint="eastAsia" w:ascii="仿宋" w:hAnsi="仿宋" w:eastAsia="仿宋" w:cs="仿宋_GB2312"/>
          <w:color w:val="auto"/>
          <w:szCs w:val="32"/>
          <w:lang w:eastAsia="zh-CN"/>
        </w:rPr>
      </w:pPr>
      <w:r>
        <w:rPr>
          <w:rFonts w:hint="eastAsia" w:ascii="仿宋" w:hAnsi="仿宋" w:eastAsia="仿宋" w:cs="仿宋_GB2312"/>
          <w:color w:val="auto"/>
          <w:szCs w:val="32"/>
          <w:lang w:eastAsia="zh-CN"/>
        </w:rPr>
        <w:t>高新区人力资源和社会保障局</w:t>
      </w:r>
    </w:p>
    <w:p>
      <w:pPr>
        <w:keepNext w:val="0"/>
        <w:keepLines w:val="0"/>
        <w:pageBreakBefore w:val="0"/>
        <w:widowControl w:val="0"/>
        <w:kinsoku/>
        <w:wordWrap/>
        <w:overflowPunct/>
        <w:topLinePunct w:val="0"/>
        <w:bidi w:val="0"/>
        <w:spacing w:line="560" w:lineRule="exact"/>
        <w:ind w:firstLine="1745" w:firstLineChars="500"/>
        <w:textAlignment w:val="auto"/>
        <w:rPr>
          <w:rFonts w:ascii="仿宋" w:hAnsi="仿宋" w:eastAsia="仿宋" w:cs="仿宋_GB2312"/>
          <w:color w:val="auto"/>
          <w:szCs w:val="32"/>
        </w:rPr>
      </w:pPr>
      <w:r>
        <w:rPr>
          <w:rFonts w:hint="eastAsia" w:ascii="仿宋" w:hAnsi="仿宋" w:eastAsia="仿宋" w:cs="仿宋_GB2312"/>
          <w:color w:val="auto"/>
          <w:szCs w:val="32"/>
        </w:rPr>
        <w:t xml:space="preserve">                   </w:t>
      </w:r>
      <w:r>
        <w:rPr>
          <w:rFonts w:ascii="仿宋" w:hAnsi="仿宋" w:eastAsia="仿宋" w:cs="仿宋_GB2312"/>
          <w:color w:val="auto"/>
          <w:szCs w:val="32"/>
        </w:rPr>
        <w:t>2022年1月10日</w:t>
      </w:r>
    </w:p>
    <w:p>
      <w:pPr>
        <w:ind w:firstLine="698" w:firstLineChars="200"/>
        <w:rPr>
          <w:rFonts w:ascii="仿宋" w:hAnsi="仿宋" w:eastAsia="仿宋" w:cs="仿宋_GB2312"/>
          <w:szCs w:val="32"/>
        </w:rPr>
      </w:pPr>
    </w:p>
    <w:sectPr>
      <w:footerReference r:id="rId3" w:type="default"/>
      <w:pgSz w:w="11906" w:h="16838"/>
      <w:pgMar w:top="1440" w:right="1588" w:bottom="1440" w:left="1588" w:header="851" w:footer="992" w:gutter="0"/>
      <w:cols w:space="425" w:num="1"/>
      <w:docGrid w:type="linesAndChars" w:linePitch="436" w:charSpace="59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376865"/>
      <w:docPartObj>
        <w:docPartGallery w:val="autotext"/>
      </w:docPartObj>
    </w:sdtPr>
    <w:sdtContent>
      <w:p>
        <w:pPr>
          <w:pStyle w:val="2"/>
          <w:jc w:val="center"/>
        </w:pPr>
        <w:r>
          <w:fldChar w:fldCharType="begin"/>
        </w:r>
        <w:r>
          <w:instrText xml:space="preserve"> PAGE   \* MERGEFORMAT </w:instrText>
        </w:r>
        <w:r>
          <w:fldChar w:fldCharType="separate"/>
        </w:r>
        <w:r>
          <w:rPr>
            <w:lang w:val="zh-CN"/>
          </w:rPr>
          <w:t>3</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974ADA"/>
    <w:multiLevelType w:val="multilevel"/>
    <w:tmpl w:val="0B974ADA"/>
    <w:lvl w:ilvl="0" w:tentative="0">
      <w:start w:val="1"/>
      <w:numFmt w:val="japaneseCounting"/>
      <w:lvlText w:val="%1、"/>
      <w:lvlJc w:val="left"/>
      <w:pPr>
        <w:ind w:left="1385" w:hanging="720"/>
      </w:pPr>
      <w:rPr>
        <w:rFonts w:hint="default"/>
      </w:rPr>
    </w:lvl>
    <w:lvl w:ilvl="1" w:tentative="0">
      <w:start w:val="1"/>
      <w:numFmt w:val="lowerLetter"/>
      <w:lvlText w:val="%2)"/>
      <w:lvlJc w:val="left"/>
      <w:pPr>
        <w:ind w:left="1505" w:hanging="420"/>
      </w:pPr>
    </w:lvl>
    <w:lvl w:ilvl="2" w:tentative="0">
      <w:start w:val="1"/>
      <w:numFmt w:val="lowerRoman"/>
      <w:lvlText w:val="%3."/>
      <w:lvlJc w:val="right"/>
      <w:pPr>
        <w:ind w:left="1925" w:hanging="420"/>
      </w:pPr>
    </w:lvl>
    <w:lvl w:ilvl="3" w:tentative="0">
      <w:start w:val="1"/>
      <w:numFmt w:val="decimal"/>
      <w:lvlText w:val="%4."/>
      <w:lvlJc w:val="left"/>
      <w:pPr>
        <w:ind w:left="2345" w:hanging="420"/>
      </w:pPr>
    </w:lvl>
    <w:lvl w:ilvl="4" w:tentative="0">
      <w:start w:val="1"/>
      <w:numFmt w:val="lowerLetter"/>
      <w:lvlText w:val="%5)"/>
      <w:lvlJc w:val="left"/>
      <w:pPr>
        <w:ind w:left="2765" w:hanging="420"/>
      </w:pPr>
    </w:lvl>
    <w:lvl w:ilvl="5" w:tentative="0">
      <w:start w:val="1"/>
      <w:numFmt w:val="lowerRoman"/>
      <w:lvlText w:val="%6."/>
      <w:lvlJc w:val="right"/>
      <w:pPr>
        <w:ind w:left="3185" w:hanging="420"/>
      </w:pPr>
    </w:lvl>
    <w:lvl w:ilvl="6" w:tentative="0">
      <w:start w:val="1"/>
      <w:numFmt w:val="decimal"/>
      <w:lvlText w:val="%7."/>
      <w:lvlJc w:val="left"/>
      <w:pPr>
        <w:ind w:left="3605" w:hanging="420"/>
      </w:pPr>
    </w:lvl>
    <w:lvl w:ilvl="7" w:tentative="0">
      <w:start w:val="1"/>
      <w:numFmt w:val="lowerLetter"/>
      <w:lvlText w:val="%8)"/>
      <w:lvlJc w:val="left"/>
      <w:pPr>
        <w:ind w:left="4025" w:hanging="420"/>
      </w:pPr>
    </w:lvl>
    <w:lvl w:ilvl="8" w:tentative="0">
      <w:start w:val="1"/>
      <w:numFmt w:val="lowerRoman"/>
      <w:lvlText w:val="%9."/>
      <w:lvlJc w:val="right"/>
      <w:pPr>
        <w:ind w:left="444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349"/>
  <w:drawingGridVerticalSpacing w:val="21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B2B7C"/>
    <w:rsid w:val="00072461"/>
    <w:rsid w:val="002E17D0"/>
    <w:rsid w:val="00421752"/>
    <w:rsid w:val="004D2AD2"/>
    <w:rsid w:val="005D1C47"/>
    <w:rsid w:val="00635781"/>
    <w:rsid w:val="00640487"/>
    <w:rsid w:val="0069785F"/>
    <w:rsid w:val="007431FC"/>
    <w:rsid w:val="007B2B7C"/>
    <w:rsid w:val="009C4E8A"/>
    <w:rsid w:val="009F3281"/>
    <w:rsid w:val="00AF37FB"/>
    <w:rsid w:val="00B67C2C"/>
    <w:rsid w:val="00B95FEA"/>
    <w:rsid w:val="00BB073C"/>
    <w:rsid w:val="00CA07B9"/>
    <w:rsid w:val="00CB2A7B"/>
    <w:rsid w:val="00CD58EF"/>
    <w:rsid w:val="00D2318E"/>
    <w:rsid w:val="00D70C75"/>
    <w:rsid w:val="00F42EC7"/>
    <w:rsid w:val="00F845D3"/>
    <w:rsid w:val="025C7F87"/>
    <w:rsid w:val="0C77382C"/>
    <w:rsid w:val="10D205AE"/>
    <w:rsid w:val="12406147"/>
    <w:rsid w:val="1AAE2950"/>
    <w:rsid w:val="1E683002"/>
    <w:rsid w:val="23A00FDF"/>
    <w:rsid w:val="2FB65513"/>
    <w:rsid w:val="34023C47"/>
    <w:rsid w:val="36346003"/>
    <w:rsid w:val="36546CB0"/>
    <w:rsid w:val="3AF32852"/>
    <w:rsid w:val="4B550E0D"/>
    <w:rsid w:val="4CCE1357"/>
    <w:rsid w:val="4D3A3AE7"/>
    <w:rsid w:val="55674439"/>
    <w:rsid w:val="617020A2"/>
    <w:rsid w:val="62835CB5"/>
    <w:rsid w:val="63F112EA"/>
    <w:rsid w:val="6BF34456"/>
    <w:rsid w:val="7C7E0C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bCs/>
      <w:color w:val="000000"/>
      <w:kern w:val="2"/>
      <w:sz w:val="32"/>
      <w:szCs w:val="4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jc w:val="left"/>
    </w:pPr>
    <w:rPr>
      <w:rFonts w:ascii="宋体" w:hAnsi="宋体" w:eastAsia="宋体" w:cs="宋体"/>
      <w:bCs w:val="0"/>
      <w:color w:val="auto"/>
      <w:kern w:val="0"/>
      <w:sz w:val="24"/>
      <w:szCs w:val="24"/>
    </w:rPr>
  </w:style>
  <w:style w:type="paragraph" w:styleId="7">
    <w:name w:val="List Paragraph"/>
    <w:basedOn w:val="1"/>
    <w:qFormat/>
    <w:uiPriority w:val="34"/>
    <w:pPr>
      <w:ind w:firstLine="420" w:firstLineChars="200"/>
    </w:pPr>
  </w:style>
  <w:style w:type="character" w:customStyle="1" w:styleId="8">
    <w:name w:val="页眉 Char"/>
    <w:basedOn w:val="6"/>
    <w:link w:val="3"/>
    <w:semiHidden/>
    <w:uiPriority w:val="99"/>
    <w:rPr>
      <w:rFonts w:ascii="仿宋_GB2312" w:hAnsi="Times New Roman" w:eastAsia="仿宋_GB2312" w:cs="Times New Roman"/>
      <w:bCs/>
      <w:color w:val="000000"/>
      <w:sz w:val="18"/>
      <w:szCs w:val="18"/>
    </w:rPr>
  </w:style>
  <w:style w:type="character" w:customStyle="1" w:styleId="9">
    <w:name w:val="页脚 Char"/>
    <w:basedOn w:val="6"/>
    <w:link w:val="2"/>
    <w:uiPriority w:val="99"/>
    <w:rPr>
      <w:rFonts w:ascii="仿宋_GB2312" w:hAnsi="Times New Roman" w:eastAsia="仿宋_GB2312" w:cs="Times New Roman"/>
      <w:bCs/>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312</Words>
  <Characters>1782</Characters>
  <Lines>14</Lines>
  <Paragraphs>4</Paragraphs>
  <TotalTime>17</TotalTime>
  <ScaleCrop>false</ScaleCrop>
  <LinksUpToDate>false</LinksUpToDate>
  <CharactersWithSpaces>2090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2022-01-05T07:37:00Z</dcterms:created>
  <dc:creator>Administrator</dc:creator>
  <cp:lastModifiedBy>Master</cp:lastModifiedBy>
  <cp:lastPrinted>2022-01-20T06:44:00Z</cp:lastPrinted>
  <dcterms:modified xsi:type="dcterms:W3CDTF">2022-01-24T08:11:35Z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