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240" w:lineRule="atLeast"/>
        <w:ind w:firstLineChars="1500" w:firstLine="4738"/>
        <w:jc w:val="both"/>
        <w:rPr>
          <w:rFonts w:ascii="仿宋" w:eastAsia="仿宋" w:cs="仿宋" w:hAnsi="仿宋" w:hint="eastAsia"/>
          <w:bCs/>
          <w:sz w:val="32"/>
          <w:szCs w:val="32"/>
          <w:highlight w:val="cyan"/>
        </w:rPr>
      </w:pPr>
      <w:r>
        <w:rPr>
          <w:rFonts w:ascii="仿宋" w:eastAsia="仿宋" w:cs="仿宋" w:hAnsi="仿宋" w:hint="eastAsia"/>
          <w:bCs/>
          <w:sz w:val="32"/>
          <w:szCs w:val="32"/>
        </w:rPr>
        <w:t>唐高行审环表〔2025〕</w:t>
      </w:r>
      <w:r>
        <w:rPr>
          <w:rFonts w:ascii="仿宋" w:eastAsia="仿宋" w:cs="仿宋" w:hAnsi="仿宋"/>
          <w:bCs/>
          <w:sz w:val="32"/>
          <w:szCs w:val="32"/>
        </w:rPr>
        <w:t>2</w:t>
      </w:r>
      <w:r>
        <w:rPr>
          <w:rFonts w:ascii="仿宋" w:eastAsia="仿宋" w:cs="仿宋" w:hAnsi="仿宋" w:hint="eastAsia"/>
          <w:bCs/>
          <w:sz w:val="32"/>
          <w:szCs w:val="32"/>
        </w:rPr>
        <w:t>号</w:t>
      </w:r>
    </w:p>
    <w:p>
      <w:pPr>
        <w:pStyle w:val="18"/>
        <w:spacing w:line="240" w:lineRule="atLeast"/>
        <w:ind w:firstLineChars="1700" w:firstLine="5370"/>
        <w:jc w:val="both"/>
        <w:rPr>
          <w:rFonts w:ascii="仿宋" w:eastAsia="仿宋" w:cs="仿宋" w:hAnsi="仿宋" w:hint="eastAsia"/>
          <w:bCs/>
          <w:sz w:val="32"/>
          <w:szCs w:val="32"/>
          <w:highlight w:val="none"/>
        </w:rPr>
      </w:pPr>
    </w:p>
    <w:p>
      <w:pPr>
        <w:pStyle w:val="25"/>
        <w:spacing w:line="560" w:lineRule="exact"/>
        <w:jc w:val="center"/>
        <w:rPr>
          <w:rFonts w:ascii="黑体" w:eastAsia="黑体" w:cs="黑体" w:hAnsi="黑体"/>
          <w:color w:val="auto"/>
          <w:w w:val="97"/>
          <w:sz w:val="44"/>
          <w:szCs w:val="44"/>
          <w:highlight w:val="none"/>
        </w:rPr>
      </w:pPr>
      <w:r>
        <w:rPr>
          <w:rFonts w:ascii="黑体" w:eastAsia="黑体" w:cs="黑体" w:hAnsi="黑体" w:hint="eastAsia"/>
          <w:color w:val="auto"/>
          <w:w w:val="97"/>
          <w:sz w:val="44"/>
          <w:szCs w:val="44"/>
          <w:highlight w:val="none"/>
        </w:rPr>
        <w:t>唐山高新技术产业开发区行政审批局</w:t>
      </w:r>
    </w:p>
    <w:p>
      <w:pPr>
        <w:pStyle w:val="18"/>
        <w:spacing w:line="600" w:lineRule="exact"/>
        <w:jc w:val="center"/>
        <w:rPr>
          <w:rFonts w:ascii="黑体" w:eastAsia="黑体" w:cs="黑体" w:hAnsi="黑体" w:hint="eastAsia"/>
          <w:w w:val="97"/>
          <w:kern w:val="0"/>
          <w:sz w:val="44"/>
          <w:szCs w:val="44"/>
          <w:highlight w:val="none"/>
        </w:rPr>
      </w:pPr>
      <w:r>
        <w:rPr>
          <w:rFonts w:ascii="黑体" w:eastAsia="黑体" w:cs="黑体" w:hAnsi="黑体" w:hint="eastAsia"/>
          <w:color w:val="auto"/>
          <w:w w:val="97"/>
          <w:sz w:val="44"/>
          <w:szCs w:val="44"/>
          <w:highlight w:val="none"/>
        </w:rPr>
        <w:t>关</w:t>
      </w:r>
      <w:r>
        <w:rPr>
          <w:rFonts w:ascii="黑体" w:eastAsia="黑体" w:cs="黑体" w:hAnsi="黑体" w:hint="eastAsia"/>
          <w:color w:val="auto"/>
          <w:w w:val="97"/>
          <w:kern w:val="0"/>
          <w:sz w:val="44"/>
          <w:szCs w:val="44"/>
          <w:lang w:val="en-US" w:eastAsia="zh-CN" w:bidi="ar-SA"/>
          <w:highlight w:val="none"/>
        </w:rPr>
        <w:t>于</w:t>
      </w:r>
      <w:r>
        <w:rPr>
          <w:rFonts w:ascii="黑体" w:eastAsia="黑体" w:cs="黑体" w:hAnsi="黑体" w:hint="eastAsia"/>
          <w:w w:val="97"/>
          <w:kern w:val="0"/>
          <w:sz w:val="44"/>
          <w:szCs w:val="44"/>
          <w:lang w:val="en-US" w:eastAsia="zh-CN"/>
        </w:rPr>
        <w:t>金石钻探(唐山)科技有限公司高端地质钻探装备智能制造基地扩产升级技术改造项目</w:t>
      </w:r>
      <w:r>
        <w:rPr>
          <w:rFonts w:ascii="黑体" w:eastAsia="黑体" w:cs="黑体" w:hAnsi="黑体" w:hint="eastAsia"/>
          <w:w w:val="97"/>
          <w:kern w:val="0"/>
          <w:sz w:val="44"/>
          <w:szCs w:val="44"/>
          <w:highlight w:val="none"/>
        </w:rPr>
        <w:t>环境影响报告</w:t>
      </w:r>
      <w:r>
        <w:rPr>
          <w:rFonts w:ascii="黑体" w:eastAsia="黑体" w:cs="黑体" w:hAnsi="黑体" w:hint="eastAsia"/>
          <w:w w:val="97"/>
          <w:kern w:val="0"/>
          <w:sz w:val="44"/>
          <w:szCs w:val="44"/>
          <w:lang w:val="en-US" w:eastAsia="zh-CN"/>
          <w:highlight w:val="none"/>
        </w:rPr>
        <w:t>表</w:t>
      </w:r>
      <w:r>
        <w:rPr>
          <w:rFonts w:ascii="黑体" w:eastAsia="黑体" w:cs="黑体" w:hAnsi="黑体" w:hint="eastAsia"/>
          <w:w w:val="97"/>
          <w:kern w:val="0"/>
          <w:sz w:val="44"/>
          <w:szCs w:val="44"/>
          <w:highlight w:val="none"/>
        </w:rPr>
        <w:t>的批复</w:t>
      </w:r>
    </w:p>
    <w:p>
      <w:pPr>
        <w:jc w:val="center"/>
        <w:rPr>
          <w:rFonts w:ascii="黑体" w:eastAsia="黑体" w:cs="黑体" w:hAnsi="黑体" w:hint="eastAsia"/>
          <w:w w:val="97"/>
          <w:kern w:val="0"/>
          <w:sz w:val="44"/>
          <w:szCs w:val="44"/>
          <w:highlight w:val="none"/>
        </w:rPr>
      </w:pPr>
    </w:p>
    <w:p>
      <w:pPr>
        <w:spacing w:line="520" w:lineRule="exact"/>
        <w:rPr>
          <w:rFonts w:ascii="仿宋" w:eastAsia="仿宋" w:cs="仿宋" w:hAnsi="仿宋" w:hint="eastAsia"/>
          <w:b w:val="0"/>
          <w:bCs/>
          <w:color w:val="auto"/>
          <w:sz w:val="32"/>
          <w:szCs w:val="32"/>
          <w:lang w:val="en-US" w:eastAsia="zh-CN"/>
          <w:highlight w:val="none"/>
        </w:rPr>
      </w:pPr>
      <w:r>
        <w:rPr>
          <w:rFonts w:ascii="仿宋" w:eastAsia="仿宋" w:cs="仿宋" w:hAnsi="仿宋" w:hint="eastAsia"/>
          <w:bCs/>
          <w:sz w:val="32"/>
          <w:szCs w:val="32"/>
        </w:rPr>
        <w:t>金石钻探(唐山)科技有限公司</w:t>
      </w:r>
      <w:r>
        <w:rPr>
          <w:rFonts w:ascii="仿宋" w:eastAsia="仿宋" w:cs="仿宋" w:hAnsi="仿宋" w:hint="eastAsia"/>
          <w:b w:val="0"/>
          <w:bCs/>
          <w:color w:val="auto"/>
          <w:sz w:val="32"/>
          <w:szCs w:val="32"/>
          <w:lang w:val="en-US" w:eastAsia="zh-CN"/>
          <w:highlight w:val="none"/>
        </w:rPr>
        <w:t>：</w:t>
      </w:r>
    </w:p>
    <w:p>
      <w:pPr>
        <w:spacing w:line="520" w:lineRule="exact"/>
        <w:ind w:left="0" w:firstLineChars="200" w:firstLine="632"/>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val="en-US" w:eastAsia="zh-CN"/>
          <w:highlight w:val="none"/>
        </w:rPr>
        <w:t>你公司所报</w:t>
      </w:r>
      <w:r>
        <w:rPr>
          <w:rFonts w:ascii="仿宋" w:eastAsia="仿宋" w:cs="仿宋" w:hAnsi="仿宋" w:hint="eastAsia"/>
          <w:bCs/>
          <w:sz w:val="32"/>
          <w:szCs w:val="32"/>
          <w:lang w:val="en-US"/>
          <w:highlight w:val="none"/>
        </w:rPr>
        <w:t>《</w:t>
      </w:r>
      <w:r>
        <w:rPr>
          <w:rFonts w:ascii="仿宋" w:eastAsia="仿宋" w:cs="仿宋" w:hAnsi="仿宋" w:hint="eastAsia"/>
          <w:bCs/>
          <w:sz w:val="32"/>
          <w:szCs w:val="32"/>
          <w:lang w:val="en-US"/>
        </w:rPr>
        <w:t>金石钻探(唐山)科技有限公司高端地质钻探装备智能制造基地扩产升级技术改造项目</w:t>
      </w:r>
      <w:r>
        <w:rPr>
          <w:rFonts w:ascii="仿宋" w:eastAsia="仿宋" w:cs="仿宋" w:hAnsi="仿宋" w:hint="eastAsia"/>
          <w:b w:val="0"/>
          <w:bCs/>
          <w:color w:val="auto"/>
          <w:sz w:val="32"/>
          <w:szCs w:val="32"/>
          <w:lang w:val="en-US" w:eastAsia="zh-CN"/>
          <w:highlight w:val="none"/>
        </w:rPr>
        <w:t>》（</w:t>
      </w:r>
      <w:r>
        <w:rPr>
          <w:rFonts w:ascii="仿宋" w:eastAsia="仿宋" w:cs="仿宋" w:hAnsi="仿宋" w:hint="eastAsia"/>
          <w:b w:val="0"/>
          <w:bCs/>
          <w:color w:val="auto"/>
          <w:sz w:val="32"/>
          <w:szCs w:val="32"/>
          <w:lang w:eastAsia="zh-CN"/>
          <w:highlight w:val="none"/>
        </w:rPr>
        <w:t>以下简称《报告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lang w:val="en-US" w:eastAsia="zh-CN"/>
          <w:highlight w:val="none"/>
        </w:rPr>
        <w:t>及</w:t>
      </w:r>
      <w:r>
        <w:rPr>
          <w:rFonts w:ascii="仿宋" w:eastAsia="仿宋" w:cs="仿宋" w:hAnsi="仿宋" w:hint="eastAsia"/>
          <w:b w:val="0"/>
          <w:bCs/>
          <w:color w:val="auto"/>
          <w:sz w:val="32"/>
          <w:szCs w:val="32"/>
          <w:lang w:eastAsia="zh-CN"/>
          <w:highlight w:val="none"/>
        </w:rPr>
        <w:t>审批申请</w:t>
      </w:r>
      <w:r>
        <w:rPr>
          <w:rFonts w:ascii="仿宋" w:eastAsia="仿宋" w:cs="仿宋" w:hAnsi="仿宋" w:hint="eastAsia"/>
          <w:b w:val="0"/>
          <w:bCs/>
          <w:color w:val="auto"/>
          <w:sz w:val="32"/>
          <w:szCs w:val="32"/>
          <w:lang w:val="en-US" w:eastAsia="zh-CN"/>
          <w:highlight w:val="none"/>
        </w:rPr>
        <w:t>等</w:t>
      </w:r>
      <w:r>
        <w:rPr>
          <w:rFonts w:ascii="仿宋" w:eastAsia="仿宋" w:cs="仿宋" w:hAnsi="仿宋" w:hint="eastAsia"/>
          <w:b w:val="0"/>
          <w:bCs/>
          <w:color w:val="auto"/>
          <w:sz w:val="32"/>
          <w:szCs w:val="32"/>
          <w:lang w:eastAsia="zh-CN"/>
          <w:highlight w:val="none"/>
        </w:rPr>
        <w:t>相关材料</w:t>
      </w:r>
      <w:r>
        <w:rPr>
          <w:rFonts w:ascii="仿宋" w:eastAsia="仿宋" w:cs="仿宋" w:hAnsi="仿宋" w:hint="eastAsia"/>
          <w:b w:val="0"/>
          <w:bCs/>
          <w:color w:val="auto"/>
          <w:sz w:val="32"/>
          <w:szCs w:val="32"/>
          <w:lang w:val="en-US" w:eastAsia="zh-CN"/>
          <w:highlight w:val="none"/>
        </w:rPr>
        <w:t>我局已</w:t>
      </w:r>
      <w:r>
        <w:rPr>
          <w:rFonts w:ascii="仿宋" w:eastAsia="仿宋" w:cs="仿宋" w:hAnsi="仿宋" w:hint="eastAsia"/>
          <w:b w:val="0"/>
          <w:bCs/>
          <w:color w:val="auto"/>
          <w:sz w:val="32"/>
          <w:szCs w:val="32"/>
          <w:lang w:eastAsia="zh-CN"/>
          <w:highlight w:val="none"/>
        </w:rPr>
        <w:t>收悉。根据《报告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结论、专家评审意见，结合工程环境影响特点，经研究，现批复如下：</w:t>
      </w:r>
    </w:p>
    <w:p>
      <w:pPr>
        <w:spacing w:line="520" w:lineRule="exact"/>
        <w:ind w:left="0" w:firstLineChars="200" w:firstLine="632"/>
        <w:rPr>
          <w:rFonts w:ascii="仿宋" w:eastAsia="仿宋" w:cs="仿宋" w:hAnsi="仿宋" w:hint="eastAsia"/>
          <w:bCs/>
          <w:sz w:val="32"/>
          <w:szCs w:val="32"/>
          <w:lang w:eastAsia="zh-CN"/>
          <w:highlight w:val="none"/>
        </w:rPr>
      </w:pPr>
      <w:r>
        <w:rPr>
          <w:rFonts w:ascii="仿宋" w:eastAsia="仿宋" w:cs="仿宋" w:hAnsi="仿宋" w:hint="eastAsia"/>
          <w:bCs/>
          <w:sz w:val="32"/>
          <w:szCs w:val="32"/>
          <w:lang w:eastAsia="zh-CN"/>
        </w:rPr>
        <w:t>项目位于河北省唐山市高新区京唐智慧港纬二路南侧、经十五路东侧，项目总投资3000万元，其中环保投资150万元。项目完成后钻杆年产量可增加24万根</w:t>
      </w:r>
      <w:r>
        <w:rPr>
          <w:rFonts w:ascii="仿宋" w:eastAsia="仿宋" w:cs="仿宋" w:hAnsi="仿宋" w:hint="eastAsia"/>
          <w:bCs/>
          <w:sz w:val="32"/>
          <w:szCs w:val="32"/>
          <w:lang w:eastAsia="zh-CN"/>
          <w:highlight w:val="none"/>
        </w:rPr>
        <w:t>。</w:t>
      </w:r>
    </w:p>
    <w:p>
      <w:pPr>
        <w:spacing w:line="520" w:lineRule="exact"/>
        <w:ind w:left="0"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根据你公司所报《报告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》以及报告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Cs/>
          <w:color w:val="auto"/>
          <w:sz w:val="32"/>
          <w:szCs w:val="32"/>
          <w:lang w:val="en-US" w:eastAsia="zh-CN"/>
          <w:highlight w:val="none"/>
        </w:rPr>
        <w:t>技术评估</w:t>
      </w:r>
      <w:r>
        <w:rPr>
          <w:rFonts w:ascii="仿宋" w:eastAsia="仿宋" w:cs="仿宋" w:hAnsi="仿宋" w:hint="eastAsia"/>
          <w:bCs/>
          <w:color w:val="auto"/>
          <w:sz w:val="32"/>
          <w:szCs w:val="32"/>
          <w:highlight w:val="none"/>
        </w:rPr>
        <w:t>意见</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highlight w:val="none"/>
        </w:rPr>
        <w:t>从环境保护角度分析，我局原则</w:t>
      </w:r>
      <w:r>
        <w:rPr>
          <w:rFonts w:ascii="仿宋" w:eastAsia="仿宋" w:cs="仿宋" w:hAnsi="仿宋" w:hint="eastAsia"/>
          <w:b w:val="0"/>
          <w:bCs/>
          <w:color w:val="auto"/>
          <w:sz w:val="32"/>
          <w:szCs w:val="32"/>
          <w:lang w:val="en-US" w:eastAsia="zh-CN"/>
          <w:highlight w:val="none"/>
        </w:rPr>
        <w:t>上</w:t>
      </w:r>
      <w:r>
        <w:rPr>
          <w:rFonts w:ascii="仿宋" w:eastAsia="仿宋" w:cs="仿宋" w:hAnsi="仿宋" w:hint="eastAsia"/>
          <w:b w:val="0"/>
          <w:bCs/>
          <w:color w:val="auto"/>
          <w:sz w:val="32"/>
          <w:szCs w:val="32"/>
          <w:highlight w:val="none"/>
        </w:rPr>
        <w:t>同意《报告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》结论。</w:t>
      </w:r>
    </w:p>
    <w:p>
      <w:pPr>
        <w:spacing w:line="520" w:lineRule="exact"/>
        <w:ind w:left="0"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一、</w:t>
      </w:r>
      <w:r>
        <w:rPr>
          <w:rFonts w:ascii="仿宋" w:eastAsia="仿宋" w:cs="仿宋" w:hAnsi="仿宋" w:hint="eastAsia"/>
          <w:b w:val="0"/>
          <w:bCs/>
          <w:color w:val="auto"/>
          <w:sz w:val="32"/>
          <w:szCs w:val="32"/>
          <w:highlight w:val="none"/>
        </w:rPr>
        <w:t>你公司须严格按照《报告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》所列建设项目的性质、规模、地点、生产工艺、环保措施及要求实施项目建设。</w:t>
      </w:r>
    </w:p>
    <w:p>
      <w:pPr>
        <w:spacing w:line="520" w:lineRule="exact"/>
        <w:ind w:left="0" w:firstLineChars="200" w:firstLine="632"/>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二、项目建设和运行过程中要认真落实《报告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》及相关</w:t>
      </w:r>
    </w:p>
    <w:p>
      <w:pPr>
        <w:spacing w:line="520" w:lineRule="exact"/>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的各项污染防治措施，</w:t>
      </w:r>
      <w:r>
        <w:rPr>
          <w:rFonts w:ascii="仿宋" w:eastAsia="仿宋" w:cs="仿宋" w:hAnsi="仿宋" w:hint="eastAsia"/>
          <w:b w:val="0"/>
          <w:bCs/>
          <w:color w:val="auto"/>
          <w:sz w:val="32"/>
          <w:szCs w:val="32"/>
          <w:lang w:val="en-US" w:eastAsia="zh-CN"/>
          <w:highlight w:val="none"/>
        </w:rPr>
        <w:t>并</w:t>
      </w:r>
      <w:r>
        <w:rPr>
          <w:rFonts w:ascii="仿宋" w:eastAsia="仿宋" w:cs="仿宋" w:hAnsi="仿宋" w:hint="eastAsia"/>
          <w:b w:val="0"/>
          <w:bCs/>
          <w:color w:val="auto"/>
          <w:sz w:val="32"/>
          <w:szCs w:val="32"/>
          <w:lang w:eastAsia="zh-CN"/>
          <w:highlight w:val="none"/>
        </w:rPr>
        <w:t>重点做好以下工作：</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（一）加强施工期管理，严格按照《报告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》要求认真落实施工期各项污染防治措施，确保达到环保要求。</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二</w:t>
      </w:r>
      <w:r>
        <w:rPr>
          <w:rFonts w:ascii="仿宋" w:eastAsia="仿宋" w:cs="仿宋" w:hAnsi="仿宋" w:hint="eastAsia"/>
          <w:b w:val="0"/>
          <w:bCs/>
          <w:color w:val="auto"/>
          <w:sz w:val="32"/>
          <w:szCs w:val="32"/>
          <w:highlight w:val="none"/>
        </w:rPr>
        <w:t>）严格落实水环境保护措施。</w:t>
      </w:r>
    </w:p>
    <w:p>
      <w:pPr>
        <w:keepNext w:val="0"/>
        <w:keepLines w:val="0"/>
        <w:widowControl/>
        <w:suppressLineNumbers w:val="0"/>
        <w:ind w:firstLineChars="200" w:firstLine="632"/>
        <w:jc w:val="left"/>
        <w:rPr>
          <w:rFonts w:ascii="仿宋" w:eastAsia="仿宋" w:cs="仿宋" w:hAnsi="仿宋"/>
          <w:bCs/>
          <w:sz w:val="32"/>
          <w:szCs w:val="32"/>
        </w:rPr>
      </w:pPr>
      <w:r>
        <w:rPr>
          <w:rFonts w:ascii="仿宋" w:eastAsia="仿宋" w:cs="仿宋" w:hAnsi="仿宋" w:hint="eastAsia"/>
          <w:bCs/>
          <w:sz w:val="32"/>
          <w:szCs w:val="32"/>
        </w:rPr>
        <w:t>项目生产废水经污水处理站处理后与生活污水、锅炉定排水、软水制备系统浓水、反冲洗水共同经园区管网排入唐山空港城开发区污水处理厂处理。外排废水满足《污水综合排放标准》（GB8978-1996）中的三级标准、《钢铁工业水污染物排放标准》（GB13456-2012）表2间接排放标准限值要求，同时满足唐山空港城开发区污水处理厂进水水质要求</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）严格落实</w:t>
      </w:r>
      <w:r>
        <w:rPr>
          <w:rFonts w:ascii="仿宋" w:eastAsia="仿宋" w:cs="仿宋" w:hAnsi="仿宋" w:hint="eastAsia"/>
          <w:b w:val="0"/>
          <w:bCs/>
          <w:color w:val="auto"/>
          <w:sz w:val="32"/>
          <w:szCs w:val="32"/>
          <w:lang w:val="en-US" w:eastAsia="zh-CN"/>
          <w:highlight w:val="none"/>
        </w:rPr>
        <w:t>大气</w:t>
      </w:r>
      <w:r>
        <w:rPr>
          <w:rFonts w:ascii="仿宋" w:eastAsia="仿宋" w:cs="仿宋" w:hAnsi="仿宋" w:hint="eastAsia"/>
          <w:b w:val="0"/>
          <w:bCs/>
          <w:color w:val="auto"/>
          <w:sz w:val="32"/>
          <w:szCs w:val="32"/>
          <w:highlight w:val="none"/>
        </w:rPr>
        <w:t>环境保护措施。</w:t>
      </w:r>
    </w:p>
    <w:p>
      <w:pPr>
        <w:keepNext w:val="0"/>
        <w:keepLines w:val="0"/>
        <w:pageBreakBefore w:val="0"/>
        <w:widowControl w:val="0"/>
        <w:tabs>
          <w:tab w:val="left" w:pos="4425"/>
        </w:tabs>
        <w:kinsoku/>
        <w:wordWrap/>
        <w:overflowPunct/>
        <w:topLinePunct w:val="0"/>
        <w:autoSpaceDE/>
        <w:autoSpaceDN/>
        <w:adjustRightInd/>
        <w:snapToGrid/>
        <w:ind w:firstLineChars="200" w:firstLine="632"/>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抛丸工序废气通过管道引入1套脉冲布袋除尘器（处理能力20000m3/h）处理后引入15m排气筒排放，颗粒物排放浓度满足《钢铁工业大气污染物超低排放标准》（DB13/2169-2018）中表1限值要求；酸洗工序、酸罐大小呼吸废气通过管道引入1套酸雾吸收塔（处理能力17500m3/h）处理后引入15m排气筒排放，HCl排放浓度满足《钢铁工业大气污染物超低排放标准》（DB13/2169—2018）中表4限值要求。无组织废气中颗粒物、HCl无组织排放浓度满足《钢铁工业大气污染物超低排放标准》（DB13/2169-2018）中表5限值要求；污水处理站无组织NH3、H2S以及臭气浓度排放满足《恶臭污染物排放标准》（GB14554-93）中表1限值要求。</w:t>
      </w:r>
    </w:p>
    <w:p>
      <w:pPr>
        <w:keepNext w:val="0"/>
        <w:keepLines w:val="0"/>
        <w:pageBreakBefore w:val="0"/>
        <w:tabs>
          <w:tab w:val="left" w:pos="4589"/>
        </w:tabs>
        <w:kinsoku/>
        <w:wordWrap/>
        <w:overflowPunct/>
        <w:topLinePunct w:val="0"/>
        <w:autoSpaceDE/>
        <w:autoSpaceDN/>
        <w:bidi w:val="0"/>
        <w:adjustRightInd w:val="0"/>
        <w:snapToGrid w:val="0"/>
        <w:ind w:firstLineChars="200" w:firstLine="632"/>
        <w:jc w:val="both"/>
        <w:textAlignment w:val="auto"/>
        <w:rPr>
          <w:rFonts w:ascii="仿宋" w:eastAsia="仿宋" w:cs="仿宋" w:hAnsi="仿宋" w:hint="eastAsia"/>
          <w:b w:val="0"/>
          <w:bCs/>
          <w:color w:val="auto"/>
          <w:sz w:val="32"/>
          <w:szCs w:val="32"/>
          <w:lang w:val="en-US" w:eastAsia="zh-CN"/>
          <w:highlight w:val="none"/>
        </w:rPr>
      </w:pPr>
      <w:r>
        <w:rPr>
          <w:rFonts w:ascii="仿宋" w:eastAsia="仿宋" w:cs="仿宋" w:hAnsi="仿宋" w:hint="eastAsia"/>
          <w:bCs/>
          <w:sz w:val="32"/>
          <w:szCs w:val="32"/>
          <w:lang w:val="en-US" w:eastAsia="zh-CN"/>
          <w:highlight w:val="none"/>
        </w:rPr>
        <w:t>无组织废气在封闭式生产车间内无组织排放，打磨、焊接工序由焊烟净化器处理后无组织排放，生产车间设置车间整体除尘设施，颗粒物无组织排放浓度满足《大气污染物综合排放标准》（GB16297-1996）表2中排放限值要求，非甲烷总烃无组织排放浓度满足《工业企业挥发性有机物排放控制标准》（DB13/2322-2016）及《挥发性有机物无组织排放控制标准》（GB37822-2019）中排放限值要求，苯乙烯、臭气浓度无组织排放满足《恶臭污染物排放标准》（GB14554-93）中排放限值要求。</w:t>
      </w:r>
    </w:p>
    <w:p>
      <w:pPr>
        <w:keepNext w:val="0"/>
        <w:keepLines w:val="0"/>
        <w:pageBreakBefore w:val="0"/>
        <w:widowControl/>
        <w:suppressLineNumbers w:val="0"/>
        <w:kinsoku/>
        <w:wordWrap/>
        <w:overflowPunct/>
        <w:topLinePunct w:val="0"/>
        <w:autoSpaceDE/>
        <w:autoSpaceDN/>
        <w:bidi w:val="0"/>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）严格落实噪声污染防治措施。</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Cs/>
          <w:sz w:val="32"/>
          <w:szCs w:val="32"/>
          <w:shd w:val="clear" w:color="auto" w:fill="FFFFFF"/>
          <w:lang w:val="en-US" w:eastAsia="zh-CN"/>
        </w:rPr>
        <w:t>项目选用低噪声设备，采取隔声降噪</w:t>
      </w:r>
      <w:r>
        <w:rPr>
          <w:rFonts w:ascii="仿宋" w:eastAsia="仿宋" w:cs="仿宋" w:hAnsi="仿宋" w:hint="eastAsia"/>
          <w:bCs/>
          <w:sz w:val="32"/>
          <w:szCs w:val="32"/>
          <w:shd w:val="clear" w:color="auto" w:fill="FFFFFF"/>
        </w:rPr>
        <w:t>等</w:t>
      </w:r>
      <w:r>
        <w:rPr>
          <w:rFonts w:ascii="仿宋" w:eastAsia="仿宋" w:cs="仿宋" w:hAnsi="仿宋" w:hint="eastAsia"/>
          <w:bCs/>
          <w:sz w:val="32"/>
          <w:szCs w:val="32"/>
          <w:shd w:val="clear" w:color="auto" w:fill="FFFFFF"/>
          <w:lang w:val="en-US" w:eastAsia="zh-CN"/>
        </w:rPr>
        <w:t>治理</w:t>
      </w:r>
      <w:r>
        <w:rPr>
          <w:rFonts w:ascii="仿宋" w:eastAsia="仿宋" w:cs="仿宋" w:hAnsi="仿宋" w:hint="eastAsia"/>
          <w:bCs/>
          <w:sz w:val="32"/>
          <w:szCs w:val="32"/>
          <w:shd w:val="clear" w:color="auto" w:fill="FFFFFF"/>
        </w:rPr>
        <w:t>措施</w:t>
      </w:r>
      <w:r>
        <w:rPr>
          <w:rFonts w:ascii="仿宋" w:eastAsia="仿宋" w:cs="仿宋" w:hAnsi="仿宋" w:hint="eastAsia"/>
          <w:bCs/>
          <w:sz w:val="32"/>
          <w:szCs w:val="32"/>
          <w:shd w:val="clear" w:color="auto" w:fill="FFFFFF"/>
          <w:lang w:eastAsia="zh-CN"/>
        </w:rPr>
        <w:t>，</w:t>
      </w:r>
      <w:r>
        <w:rPr>
          <w:rFonts w:ascii="仿宋" w:eastAsia="仿宋" w:cs="仿宋" w:hAnsi="仿宋" w:hint="eastAsia"/>
          <w:bCs/>
          <w:sz w:val="32"/>
          <w:szCs w:val="32"/>
          <w:shd w:val="clear" w:color="auto" w:fill="FFFFFF"/>
          <w:lang w:val="en-US" w:eastAsia="zh-CN"/>
        </w:rPr>
        <w:t>边界</w:t>
      </w:r>
      <w:r>
        <w:rPr>
          <w:rFonts w:ascii="仿宋" w:eastAsia="仿宋" w:cs="仿宋" w:hAnsi="仿宋" w:hint="eastAsia"/>
          <w:bCs/>
          <w:sz w:val="32"/>
          <w:szCs w:val="32"/>
          <w:shd w:val="clear" w:color="auto" w:fill="FFFFFF"/>
        </w:rPr>
        <w:t>噪声满足《工业企业厂界环境噪声排放标准》（GB12348-2008）</w:t>
      </w:r>
      <w:r>
        <w:rPr>
          <w:rFonts w:ascii="仿宋" w:eastAsia="仿宋" w:cs="仿宋" w:hAnsi="仿宋" w:hint="eastAsia"/>
          <w:bCs/>
          <w:sz w:val="32"/>
          <w:szCs w:val="32"/>
          <w:shd w:val="clear" w:color="auto" w:fill="FFFFFF"/>
          <w:lang w:val="en-US" w:eastAsia="zh-CN"/>
        </w:rPr>
        <w:t>3类</w:t>
      </w:r>
      <w:r>
        <w:rPr>
          <w:rFonts w:ascii="仿宋" w:eastAsia="仿宋" w:cs="仿宋" w:hAnsi="仿宋" w:hint="eastAsia"/>
          <w:bCs/>
          <w:sz w:val="32"/>
          <w:szCs w:val="32"/>
          <w:shd w:val="clear" w:color="auto" w:fill="FFFFFF"/>
        </w:rPr>
        <w:t>限值要求。</w:t>
      </w:r>
      <w:r>
        <w:rPr>
          <w:rFonts w:ascii="仿宋" w:eastAsia="仿宋" w:cs="仿宋" w:hAnsi="仿宋" w:hint="eastAsia"/>
          <w:bCs/>
          <w:sz w:val="32"/>
          <w:szCs w:val="32"/>
          <w:shd w:val="clear" w:color="auto" w:fill="FFFFFF"/>
          <w:lang w:val="en-US" w:eastAsia="zh-CN"/>
          <w:highlight w:val="none"/>
        </w:rPr>
        <w:t>（五）严格落</w:t>
      </w:r>
      <w:r>
        <w:rPr>
          <w:rFonts w:ascii="仿宋" w:eastAsia="仿宋" w:cs="仿宋" w:hAnsi="仿宋" w:hint="eastAsia"/>
          <w:bCs/>
          <w:sz w:val="32"/>
          <w:szCs w:val="32"/>
          <w:shd w:val="clear" w:color="auto" w:fill="FFFFFF"/>
          <w:highlight w:val="none"/>
        </w:rPr>
        <w:t>实固体废物污染防治措施。</w:t>
      </w:r>
    </w:p>
    <w:p>
      <w:pPr>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严格按照有关规定，对固体废物实施分类收集和处理、处置，做到资源化、减量化、无害化。一般固废妥善处理，最大限度回收利用，危险</w:t>
      </w:r>
      <w:r>
        <w:rPr>
          <w:rFonts w:ascii="仿宋" w:eastAsia="仿宋" w:cs="仿宋" w:hAnsi="仿宋" w:hint="eastAsia"/>
          <w:b w:val="0"/>
          <w:bCs/>
          <w:color w:val="auto"/>
          <w:sz w:val="32"/>
          <w:szCs w:val="32"/>
          <w:shd w:val="clear" w:color="auto" w:fill="FFFFFF"/>
          <w:highlight w:val="none"/>
        </w:rPr>
        <w:t>废物</w:t>
      </w:r>
      <w:r>
        <w:rPr>
          <w:rFonts w:ascii="仿宋" w:eastAsia="仿宋" w:cs="仿宋" w:hAnsi="仿宋" w:hint="eastAsia"/>
          <w:b w:val="0"/>
          <w:bCs/>
          <w:color w:val="auto"/>
          <w:sz w:val="32"/>
          <w:szCs w:val="32"/>
          <w:highlight w:val="none"/>
        </w:rPr>
        <w:t>按规定暂存，定期交有相应资质的危废处理单位处理。危险废物暂存间应满足《危险废物贮存污染控制标准》（GB18597-20</w:t>
      </w:r>
      <w:r>
        <w:rPr>
          <w:rFonts w:ascii="仿宋" w:eastAsia="仿宋" w:cs="仿宋" w:hAnsi="仿宋" w:hint="eastAsia"/>
          <w:b w:val="0"/>
          <w:bCs/>
          <w:color w:val="auto"/>
          <w:sz w:val="32"/>
          <w:szCs w:val="32"/>
          <w:lang w:val="en-US" w:eastAsia="zh-CN"/>
          <w:highlight w:val="none"/>
        </w:rPr>
        <w:t>23</w:t>
      </w:r>
      <w:r>
        <w:rPr>
          <w:rFonts w:ascii="仿宋" w:eastAsia="仿宋" w:cs="仿宋" w:hAnsi="仿宋" w:hint="eastAsia"/>
          <w:b w:val="0"/>
          <w:bCs/>
          <w:color w:val="auto"/>
          <w:sz w:val="32"/>
          <w:szCs w:val="32"/>
          <w:highlight w:val="none"/>
        </w:rPr>
        <w:t>）要求。</w:t>
      </w:r>
    </w:p>
    <w:p>
      <w:pPr>
        <w:adjustRightInd w:val="0"/>
        <w:snapToGrid w:val="0"/>
        <w:spacing w:line="520" w:lineRule="exact"/>
        <w:ind w:firstLineChars="200" w:firstLine="632"/>
        <w:rPr>
          <w:rFonts w:ascii="仿宋" w:eastAsia="仿宋" w:cs="仿宋" w:hAnsi="仿宋" w:hint="eastAsia"/>
          <w:b w:val="0"/>
          <w:bCs/>
          <w:color w:val="auto"/>
          <w:kern w:val="2"/>
          <w:sz w:val="32"/>
          <w:szCs w:val="32"/>
          <w:lang w:val="en-US" w:eastAsia="zh-CN" w:bidi="ar-SA"/>
          <w:highlight w:val="none"/>
        </w:rPr>
      </w:pPr>
      <w:r>
        <w:rPr>
          <w:rFonts w:ascii="仿宋" w:eastAsia="仿宋" w:cs="仿宋" w:hAnsi="仿宋" w:hint="eastAsia"/>
          <w:b w:val="0"/>
          <w:bCs/>
          <w:color w:val="auto"/>
          <w:kern w:val="2"/>
          <w:sz w:val="32"/>
          <w:szCs w:val="32"/>
          <w:lang w:val="en-US" w:eastAsia="zh-CN" w:bidi="ar-SA"/>
          <w:highlight w:val="none"/>
        </w:rPr>
        <w:t>（六）加强环境风险防范，落实环境风险应急措施。</w:t>
      </w:r>
    </w:p>
    <w:p>
      <w:pPr>
        <w:autoSpaceDE w:val="0"/>
        <w:autoSpaceDN w:val="0"/>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制定和完善突发环境事件应急预案，与当地政府应急预案做好衔接，按照规定报相关部门备案。配备必要的应急设备和物资，加大风险监测和监控力度，定期进行应急培训和演练，有效防范和应对环境风险。</w:t>
      </w:r>
    </w:p>
    <w:p>
      <w:pPr>
        <w:keepNext w:val="0"/>
        <w:keepLines w:val="0"/>
        <w:widowControl/>
        <w:suppressLineNumbers w:val="0"/>
        <w:ind w:firstLineChars="200" w:firstLine="632"/>
        <w:jc w:val="left"/>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、结合该报告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的计算，</w:t>
      </w:r>
      <w:r>
        <w:rPr>
          <w:rFonts w:ascii="仿宋" w:eastAsia="仿宋" w:cs="仿宋" w:hAnsi="仿宋" w:hint="eastAsia"/>
          <w:b w:val="0"/>
          <w:bCs/>
          <w:color w:val="auto"/>
          <w:sz w:val="32"/>
          <w:szCs w:val="32"/>
          <w:lang w:eastAsia="zh-CN"/>
          <w:highlight w:val="none"/>
        </w:rPr>
        <w:t>该项目</w:t>
      </w:r>
      <w:r>
        <w:rPr>
          <w:rFonts w:ascii="仿宋" w:eastAsia="仿宋" w:cs="仿宋" w:hAnsi="仿宋" w:hint="eastAsia"/>
          <w:b w:val="0"/>
          <w:bCs/>
          <w:color w:val="auto"/>
          <w:sz w:val="32"/>
          <w:szCs w:val="32"/>
          <w:highlight w:val="none"/>
        </w:rPr>
        <w:t>污染物排放总量指标为：</w:t>
      </w:r>
      <w:r>
        <w:rPr>
          <w:rFonts w:ascii="仿宋" w:eastAsia="仿宋" w:cs="仿宋" w:hAnsi="仿宋"/>
          <w:bCs/>
          <w:color w:val="auto"/>
          <w:kern w:val="2"/>
          <w:sz w:val="32"/>
          <w:szCs w:val="32"/>
          <w:lang w:val="en-US" w:eastAsia="zh-CN" w:bidi="ar-SA"/>
          <w:highlight w:val="none"/>
        </w:rPr>
        <w:t>COD</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0.724t/a</w:t>
      </w:r>
      <w:r>
        <w:rPr>
          <w:rFonts w:ascii="仿宋" w:eastAsia="仿宋" w:cs="仿宋" w:hAnsi="仿宋" w:hint="eastAsia"/>
          <w:bCs/>
          <w:color w:val="auto"/>
          <w:kern w:val="2"/>
          <w:sz w:val="32"/>
          <w:szCs w:val="32"/>
          <w:lang w:val="en-US" w:eastAsia="zh-CN" w:bidi="ar-SA"/>
          <w:highlight w:val="none"/>
        </w:rPr>
        <w:t>、氨氮：</w:t>
      </w:r>
      <w:r>
        <w:rPr>
          <w:rFonts w:ascii="仿宋" w:eastAsia="仿宋" w:cs="仿宋" w:hAnsi="仿宋"/>
          <w:bCs/>
          <w:color w:val="auto"/>
          <w:kern w:val="2"/>
          <w:sz w:val="32"/>
          <w:szCs w:val="32"/>
          <w:lang w:val="en-US" w:eastAsia="zh-CN" w:bidi="ar-SA"/>
          <w:highlight w:val="none"/>
        </w:rPr>
        <w:t>0.072t/a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SO</w:t>
      </w:r>
      <w:r>
        <w:rPr>
          <w:rFonts w:ascii="仿宋" w:eastAsia="仿宋" w:cs="仿宋" w:hAnsi="仿宋"/>
          <w:bCs/>
          <w:color w:val="auto"/>
          <w:kern w:val="2"/>
          <w:sz w:val="32"/>
          <w:szCs w:val="32"/>
          <w:vertAlign w:val="subscript"/>
          <w:lang w:val="en-US" w:eastAsia="zh-CN" w:bidi="ar-SA"/>
          <w:highlight w:val="none"/>
        </w:rPr>
        <w:t>2</w:t>
      </w:r>
      <w:r>
        <w:rPr>
          <w:rFonts w:ascii="仿宋" w:eastAsia="仿宋" w:cs="仿宋" w:hAnsi="仿宋" w:hint="eastAsia"/>
          <w:bCs/>
          <w:color w:val="auto"/>
          <w:kern w:val="2"/>
          <w:sz w:val="32"/>
          <w:szCs w:val="32"/>
          <w:lang w:val="en-US" w:eastAsia="zh-CN" w:bidi="ar-SA"/>
          <w:highlight w:val="none"/>
        </w:rPr>
        <w:t>：0</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NO</w:t>
      </w:r>
      <w:r>
        <w:rPr>
          <w:rFonts w:ascii="仿宋" w:eastAsia="仿宋" w:cs="仿宋" w:hAnsi="仿宋"/>
          <w:bCs/>
          <w:color w:val="auto"/>
          <w:kern w:val="2"/>
          <w:sz w:val="32"/>
          <w:szCs w:val="32"/>
          <w:vertAlign w:val="subscript"/>
          <w:lang w:val="en-US" w:eastAsia="zh-CN" w:bidi="ar-SA"/>
          <w:highlight w:val="none"/>
        </w:rPr>
        <w:t>x</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0</w:t>
      </w:r>
      <w:bookmarkStart w:id="0" w:name="_GoBack"/>
      <w:bookmarkEnd w:id="0"/>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p>
    <w:p>
      <w:pPr>
        <w:autoSpaceDE w:val="0"/>
        <w:autoSpaceDN w:val="0"/>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、严格落实各项建设项目环境管理要求</w:t>
      </w:r>
    </w:p>
    <w:p>
      <w:pPr>
        <w:autoSpaceDE w:val="0"/>
        <w:autoSpaceDN w:val="0"/>
        <w:adjustRightInd w:val="0"/>
        <w:snapToGrid w:val="0"/>
        <w:spacing w:line="520" w:lineRule="exact"/>
        <w:ind w:firstLineChars="198" w:firstLine="625"/>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（一）建立内部生态环境管理机构和制度，明确人员和生态环境保护职责。</w:t>
      </w:r>
    </w:p>
    <w:p>
      <w:pPr>
        <w:autoSpaceDE w:val="0"/>
        <w:autoSpaceDN w:val="0"/>
        <w:adjustRightInd w:val="0"/>
        <w:snapToGrid w:val="0"/>
        <w:spacing w:line="520" w:lineRule="exact"/>
        <w:ind w:firstLineChars="198" w:firstLine="625"/>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w:t>
      </w:r>
      <w:r>
        <w:rPr>
          <w:rFonts w:ascii="仿宋" w:eastAsia="仿宋" w:cs="仿宋" w:hAnsi="仿宋" w:hint="eastAsia"/>
          <w:b w:val="0"/>
          <w:bCs/>
          <w:color w:val="auto"/>
          <w:sz w:val="32"/>
          <w:szCs w:val="32"/>
          <w:lang w:val="en-US" w:eastAsia="zh-CN"/>
          <w:highlight w:val="none"/>
        </w:rPr>
        <w:t>向</w:t>
      </w:r>
      <w:r>
        <w:rPr>
          <w:rFonts w:ascii="仿宋" w:eastAsia="仿宋" w:cs="仿宋" w:hAnsi="仿宋" w:hint="eastAsia"/>
          <w:b w:val="0"/>
          <w:bCs/>
          <w:color w:val="auto"/>
          <w:sz w:val="32"/>
          <w:szCs w:val="32"/>
          <w:highlight w:val="none"/>
        </w:rPr>
        <w:t>我局重新报批或</w:t>
      </w:r>
      <w:r>
        <w:rPr>
          <w:rFonts w:ascii="仿宋" w:eastAsia="仿宋" w:cs="仿宋" w:hAnsi="仿宋" w:hint="eastAsia"/>
          <w:b w:val="0"/>
          <w:bCs/>
          <w:color w:val="auto"/>
          <w:sz w:val="32"/>
          <w:szCs w:val="32"/>
          <w:lang w:val="en-US" w:eastAsia="zh-CN"/>
          <w:highlight w:val="none"/>
        </w:rPr>
        <w:t>申请</w:t>
      </w:r>
      <w:r>
        <w:rPr>
          <w:rFonts w:ascii="仿宋" w:eastAsia="仿宋" w:cs="仿宋" w:hAnsi="仿宋" w:hint="eastAsia"/>
          <w:b w:val="0"/>
          <w:bCs/>
          <w:color w:val="auto"/>
          <w:sz w:val="32"/>
          <w:szCs w:val="32"/>
          <w:highlight w:val="none"/>
        </w:rPr>
        <w:t>重新审核该项目的环境影响报告表。</w:t>
      </w:r>
    </w:p>
    <w:p>
      <w:pPr>
        <w:pStyle w:val="16"/>
        <w:ind w:left="0" w:firstLineChars="200" w:firstLine="632"/>
        <w:rPr>
          <w:rFonts w:ascii="仿宋" w:eastAsia="仿宋" w:cs="仿宋" w:hAnsi="仿宋" w:hint="eastAsia"/>
          <w:bCs/>
          <w:color w:val="auto"/>
          <w:sz w:val="32"/>
          <w:szCs w:val="32"/>
          <w:u w:val="none"/>
          <w:lang w:eastAsia="zh-CN"/>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三</w:t>
      </w: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u w:val="none"/>
          <w:highlight w:val="none"/>
        </w:rPr>
        <w:t>建</w:t>
      </w:r>
      <w:r>
        <w:rPr>
          <w:rFonts w:ascii="仿宋" w:eastAsia="仿宋" w:cs="仿宋" w:hAnsi="仿宋" w:hint="eastAsia"/>
          <w:bCs/>
          <w:color w:val="auto"/>
          <w:sz w:val="32"/>
          <w:szCs w:val="32"/>
          <w:u w:val="none"/>
          <w:highlight w:val="none"/>
        </w:rPr>
        <w:t>设项目竣工后，建设单位按照</w:t>
      </w:r>
      <w:r>
        <w:rPr>
          <w:rFonts w:ascii="仿宋" w:eastAsia="仿宋" w:cs="仿宋" w:hAnsi="仿宋" w:hint="eastAsia"/>
          <w:bCs/>
          <w:color w:val="auto"/>
          <w:sz w:val="32"/>
          <w:szCs w:val="32"/>
          <w:u w:val="none"/>
          <w:lang w:eastAsia="zh-CN"/>
          <w:highlight w:val="none"/>
        </w:rPr>
        <w:t>有关规定要求</w:t>
      </w:r>
      <w:r>
        <w:rPr>
          <w:rFonts w:ascii="仿宋" w:eastAsia="仿宋" w:cs="仿宋" w:hAnsi="仿宋" w:hint="eastAsia"/>
          <w:bCs/>
          <w:color w:val="auto"/>
          <w:sz w:val="32"/>
          <w:szCs w:val="32"/>
          <w:u w:val="none"/>
          <w:highlight w:val="none"/>
        </w:rPr>
        <w:t>开展自主验收或委托第三方机构编写建设项目竣工环境保护验收报告，依法向社会公开</w:t>
      </w:r>
      <w:r>
        <w:rPr>
          <w:rFonts w:ascii="仿宋" w:eastAsia="仿宋" w:cs="仿宋" w:hAnsi="仿宋" w:hint="eastAsia"/>
          <w:bCs/>
          <w:color w:val="auto"/>
          <w:sz w:val="32"/>
          <w:szCs w:val="32"/>
          <w:u w:val="none"/>
          <w:lang w:eastAsia="zh-CN"/>
          <w:highlight w:val="none"/>
        </w:rPr>
        <w:t>。</w:t>
      </w:r>
    </w:p>
    <w:p>
      <w:pPr>
        <w:pStyle w:val="21"/>
        <w:rPr>
          <w:color w:val="auto"/>
          <w:lang w:val="en-US" w:eastAsia="zh-CN"/>
          <w:highlight w:val="cyan"/>
        </w:rPr>
      </w:pPr>
    </w:p>
    <w:p>
      <w:pPr>
        <w:spacing w:line="540" w:lineRule="exact"/>
        <w:ind w:firstLineChars="1600" w:firstLine="5054"/>
        <w:jc w:val="left"/>
        <w:rPr>
          <w:rFonts w:ascii="仿宋" w:eastAsia="仿宋" w:cs="??_GB2312" w:hAnsi="仿宋"/>
          <w:color w:val="auto"/>
          <w:sz w:val="32"/>
          <w:szCs w:val="32"/>
          <w:highlight w:val="none"/>
        </w:rPr>
      </w:pPr>
      <w:r>
        <w:rPr>
          <w:rFonts w:ascii="仿宋" w:eastAsia="仿宋" w:cs="宋体" w:hAnsi="仿宋" w:hint="eastAsia"/>
          <w:color w:val="auto"/>
          <w:sz w:val="32"/>
          <w:szCs w:val="32"/>
          <w:highlight w:val="none"/>
        </w:rPr>
        <w:t>唐山</w:t>
      </w:r>
      <w:r>
        <w:rPr>
          <w:rFonts w:ascii="仿宋" w:eastAsia="仿宋" w:cs="宋体" w:hAnsi="仿宋" w:hint="eastAsia"/>
          <w:color w:val="auto"/>
          <w:sz w:val="32"/>
          <w:szCs w:val="32"/>
          <w:lang w:eastAsia="zh-CN"/>
          <w:highlight w:val="none"/>
        </w:rPr>
        <w:t>高新区</w:t>
      </w:r>
      <w:r>
        <w:rPr>
          <w:rFonts w:ascii="仿宋" w:eastAsia="仿宋" w:cs="宋体" w:hAnsi="仿宋" w:hint="eastAsia"/>
          <w:color w:val="auto"/>
          <w:sz w:val="32"/>
          <w:szCs w:val="32"/>
          <w:highlight w:val="none"/>
        </w:rPr>
        <w:t>行政审批局</w:t>
      </w:r>
    </w:p>
    <w:p>
      <w:pPr>
        <w:spacing w:line="540" w:lineRule="exact"/>
        <w:ind w:firstLineChars="1700" w:firstLine="5370"/>
        <w:jc w:val="left"/>
        <w:rPr>
          <w:rFonts w:ascii="仿宋" w:eastAsia="仿宋" w:cs="宋体" w:hAnsi="仿宋" w:hint="eastAsia"/>
          <w:sz w:val="32"/>
          <w:szCs w:val="32"/>
          <w:highlight w:val="cyan"/>
        </w:rPr>
      </w:pPr>
      <w:r>
        <w:rPr>
          <w:rFonts w:ascii="仿宋" w:eastAsia="仿宋" w:cs="宋体" w:hAnsi="仿宋" w:hint="eastAsia"/>
          <w:sz w:val="32"/>
          <w:szCs w:val="32"/>
        </w:rPr>
        <w:t>202</w:t>
      </w:r>
      <w:r>
        <w:rPr>
          <w:rFonts w:ascii="仿宋" w:eastAsia="仿宋" w:cs="宋体" w:hAnsi="仿宋" w:hint="eastAsia"/>
          <w:sz w:val="32"/>
          <w:szCs w:val="32"/>
          <w:lang w:val="en-US" w:eastAsia="zh-CN"/>
        </w:rPr>
        <w:t>5</w:t>
      </w:r>
      <w:r>
        <w:rPr>
          <w:rFonts w:ascii="仿宋" w:eastAsia="仿宋" w:cs="宋体" w:hAnsi="仿宋" w:hint="eastAsia"/>
          <w:sz w:val="32"/>
          <w:szCs w:val="32"/>
        </w:rPr>
        <w:t>年</w:t>
      </w:r>
      <w:r>
        <w:rPr>
          <w:rFonts w:ascii="仿宋" w:eastAsia="仿宋" w:cs="宋体" w:hAnsi="仿宋"/>
          <w:sz w:val="32"/>
          <w:szCs w:val="32"/>
          <w:lang w:val="en-US" w:eastAsia="zh-CN"/>
        </w:rPr>
        <w:t>3</w:t>
      </w:r>
      <w:r>
        <w:rPr>
          <w:rFonts w:ascii="仿宋" w:eastAsia="仿宋" w:cs="宋体" w:hAnsi="仿宋" w:hint="eastAsia"/>
          <w:sz w:val="32"/>
          <w:szCs w:val="32"/>
        </w:rPr>
        <w:t>月</w:t>
      </w:r>
      <w:r>
        <w:rPr>
          <w:rFonts w:ascii="仿宋" w:eastAsia="仿宋" w:cs="宋体" w:hAnsi="仿宋"/>
          <w:sz w:val="32"/>
          <w:szCs w:val="32"/>
        </w:rPr>
        <w:t>24</w:t>
      </w:r>
      <w:r>
        <w:rPr>
          <w:rFonts w:ascii="仿宋" w:eastAsia="仿宋" w:cs="宋体" w:hAnsi="仿宋" w:hint="eastAsia"/>
          <w:sz w:val="32"/>
          <w:szCs w:val="32"/>
        </w:rPr>
        <w:t>日</w:t>
      </w:r>
    </w:p>
    <w:sectPr>
      <w:headerReference w:type="default" r:id="rId2"/>
      <w:headerReference w:type="first" r:id="rId3"/>
      <w:footerReference w:type="default" r:id="rId4"/>
      <w:footerReference w:type="even" r:id="rId5"/>
      <w:pgSz w:w="11906" w:h="16838"/>
      <w:pgMar w:top="2098" w:right="1474" w:bottom="1701" w:left="1474" w:header="851" w:footer="992" w:gutter="0"/>
      <w:cols w:num="1" w:space="72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0D"/>
    <w:family w:val="auto"/>
    <w:pitch w:val="variable"/>
    <w:sig w:usb0="00000003" w:usb1="288F0000" w:usb2="00000006" w:usb3="00000000" w:csb0="00040001" w:csb1="00000000"/>
  </w:font>
  <w:font w:name="??_GB2312">
    <w:altName w:val="Times New Roman"/>
    <w:panose1 w:val="00000000000000000000"/>
    <w:charset w:val="00"/>
    <w:family w:val="auto"/>
    <w:pitch w:val="variable"/>
    <w:sig w:usb0="00000000" w:usb1="00000000" w:usb2="00000000" w:usb3="00000000" w:csb0="00000001" w:csb1="00000000"/>
  </w:font>
  <w:font w:name="Times New Roman">
    <w:panose1 w:val="02020603050405020304"/>
    <w:charset w:val="A1"/>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2"/>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WM1ZTQxMzYzZjY0OTUxZjljNDA5YzU2NjE0YmMxY2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120" w:after="120" w:line="480" w:lineRule="exact"/>
      <w:outlineLvl w:val="1"/>
    </w:pPr>
    <w:rPr>
      <w:b/>
      <w:bCs/>
      <w:sz w:val="30"/>
      <w:szCs w:val="32"/>
    </w:rPr>
  </w:style>
  <w:style w:type="character" w:customStyle="1" w:styleId="2Char">
    <w:name w:val="heading 2 Char"/>
    <w:basedOn w:val="10"/>
    <w:link w:val="2"/>
    <w:rPr>
      <w:rFonts w:ascii="Times New Roman" w:eastAsia="宋体" w:cs="Times New Roman" w:hAnsi="Times New Roman"/>
      <w:b/>
      <w:bCs/>
      <w:kern w:val="2"/>
      <w:sz w:val="30"/>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15"/>
    <w:next w:val="16"/>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5Char"/>
    <w:link w:val="4"/>
    <w:rPr>
      <w:rFonts w:ascii="Arial" w:eastAsia="黑体" w:hAnsi="Arial"/>
      <w:b/>
      <w:sz w:val="28"/>
    </w:rPr>
  </w:style>
  <w:style w:type="character" w:default="1" w:styleId="10">
    <w:name w:val="Default Paragraph Font"/>
    <w:qFormat/>
  </w:style>
  <w:style w:type="paragraph" w:styleId="15">
    <w:name w:val="toc 4"/>
    <w:qFormat/>
    <w:basedOn w:val="0"/>
    <w:next w:val="0"/>
    <w:pPr>
      <w:ind w:leftChars="600" w:left="600"/>
    </w:pPr>
    <w:rPr>
      <w:szCs w:val="20"/>
    </w:rPr>
  </w:style>
  <w:style w:type="paragraph" w:styleId="16">
    <w:name w:val="Normal Indent"/>
    <w:qFormat/>
    <w:basedOn w:val="0"/>
    <w:next w:val="4"/>
    <w:pPr>
      <w:ind w:firstLineChars="200" w:firstLine="200"/>
    </w:pPr>
    <w:rPr>
      <w:szCs w:val="20"/>
    </w:rPr>
  </w:style>
  <w:style w:type="paragraph" w:styleId="17">
    <w:name w:val="Block Text"/>
    <w:qFormat/>
    <w:basedOn w:val="0"/>
    <w:next w:val="0"/>
    <w:pPr>
      <w:ind w:leftChars="700" w:left="700" w:rightChars="700" w:right="700"/>
    </w:pPr>
  </w:style>
  <w:style w:type="paragraph" w:styleId="18">
    <w:name w:val="Plain Text"/>
    <w:qFormat/>
    <w:basedOn w:val="0"/>
    <w:rPr>
      <w:rFonts w:ascii="宋体" w:cs="Courier New" w:hAnsi="Courier New"/>
      <w:szCs w:val="21"/>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paragraph" w:styleId="21">
    <w:name w:val="toc 1"/>
    <w:qFormat/>
    <w:basedOn w:val="0"/>
    <w:next w:val="0"/>
    <w:pPr>
      <w:spacing w:line="360" w:lineRule="auto"/>
      <w:jc w:val="both"/>
    </w:pPr>
    <w:rPr>
      <w:rFonts w:ascii="Calibri" w:eastAsia="宋体" w:cs="Times New Roman" w:hAnsi="Calibri"/>
      <w:b/>
      <w:kern w:val="2"/>
      <w:sz w:val="24"/>
      <w:szCs w:val="24"/>
      <w:lang w:val="en-US" w:eastAsia="zh-CN" w:bidi="ar-SA"/>
    </w:rPr>
  </w:style>
  <w:style w:type="character" w:styleId="22">
    <w:name w:val="page number"/>
    <w:qFormat/>
    <w:rPr>
      <w:rFonts w:cs="Times New Roman"/>
    </w:rPr>
  </w:style>
  <w:style w:type="paragraph" w:customStyle="1" w:yozoId="4094" w:styleId="23">
    <w:name w:val="Char Char Char Char Char Char Char Char Char1 Char"/>
    <w:qFormat/>
    <w:basedOn w:val="0"/>
    <w:pPr>
      <w:spacing w:line="360" w:lineRule="auto"/>
      <w:ind w:firstLineChars="200" w:firstLine="200"/>
    </w:pPr>
    <w:rPr>
      <w:rFonts w:ascii="宋体" w:cs="宋体" w:hAnsi="宋体"/>
      <w:sz w:val="24"/>
    </w:rPr>
  </w:style>
  <w:style w:type="paragraph" w:customStyle="1" w:yozoId="4094" w:styleId="24">
    <w:name w:val="列出段落1"/>
    <w:qFormat/>
    <w:basedOn w:val="0"/>
    <w:pPr>
      <w:ind w:firstLineChars="200" w:firstLine="200"/>
    </w:pPr>
  </w:style>
  <w:style w:type="paragraph" w:customStyle="1" w:yozoId="4094" w:styleId="25">
    <w:name w:val="纯文本1"/>
    <w:qFormat/>
    <w:basedOn w:val="0"/>
    <w:rPr>
      <w:rFonts w:ascii="宋体" w:hAnsi="Courier New"/>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F464984-C265-4B8C-86E2-72F45FE278B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WPS_Yozo_Office9.0.5691.102ZH.HE16</Application>
  <Pages>4</Pages>
  <Words>0</Words>
  <Characters>1478</Characters>
  <Lines>0</Lines>
  <Paragraphs>31</Paragraphs>
  <CharactersWithSpaces>1971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Administrator</cp:lastModifiedBy>
  <cp:revision>3</cp:revision>
  <cp:lastPrinted>2021-09-09T03:18:00Z</cp:lastPrinted>
  <dcterms:created xsi:type="dcterms:W3CDTF">2021-05-11T06:06:00Z</dcterms:created>
  <dcterms:modified xsi:type="dcterms:W3CDTF">2025-03-21T08:16:57Z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9F56FF9F62CF49A9A8F6B7384AE2E627</vt:lpwstr>
  </property>
  <property fmtid="{D5CDD505-2E9C-101B-9397-08002B2CF9AE}" pid="4" name="KSOTemplateDocerSaveRecord">
    <vt:lpwstr>eyJoZGlkIjoiNzc4MzRhZGVmODBlMTBlYzEwODRlMmRjZWFmMDE2MjQiLCJ1c2VySWQiOiIzMzkzOTkyNTkifQ==</vt:lpwstr>
  </property>
</Properties>
</file>