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81D8C">
      <w:pPr>
        <w:spacing w:line="700" w:lineRule="exact"/>
        <w:jc w:val="center"/>
        <w:rPr>
          <w:rFonts w:hint="eastAsia" w:ascii="方正小标宋简体" w:eastAsia="方正小标宋简体"/>
          <w:sz w:val="52"/>
          <w:szCs w:val="52"/>
          <w:lang w:val="en-US" w:eastAsia="zh-CN"/>
        </w:rPr>
      </w:pPr>
      <w:r>
        <w:rPr>
          <w:rFonts w:hint="eastAsia" w:ascii="方正小标宋简体" w:eastAsia="方正小标宋简体"/>
          <w:sz w:val="52"/>
          <w:szCs w:val="52"/>
          <w:lang w:eastAsia="zh-CN"/>
        </w:rPr>
        <w:t>高新区政法委</w:t>
      </w:r>
      <w:r>
        <w:rPr>
          <w:rFonts w:hint="eastAsia" w:ascii="方正小标宋简体" w:eastAsia="方正小标宋简体"/>
          <w:sz w:val="52"/>
          <w:szCs w:val="52"/>
          <w:lang w:val="en-US" w:eastAsia="zh-CN"/>
        </w:rPr>
        <w:t>2022年度财政专项资金</w:t>
      </w:r>
    </w:p>
    <w:p w14:paraId="79BBDEE0">
      <w:pPr>
        <w:spacing w:line="700" w:lineRule="exact"/>
        <w:jc w:val="center"/>
        <w:rPr>
          <w:rFonts w:hint="eastAsia" w:ascii="方正小标宋简体" w:eastAsia="方正小标宋简体"/>
          <w:sz w:val="52"/>
          <w:szCs w:val="52"/>
        </w:rPr>
      </w:pPr>
      <w:r>
        <w:rPr>
          <w:rFonts w:hint="eastAsia" w:ascii="方正小标宋简体" w:eastAsia="方正小标宋简体"/>
          <w:sz w:val="52"/>
          <w:szCs w:val="52"/>
          <w:lang w:val="en-US" w:eastAsia="zh-CN"/>
        </w:rPr>
        <w:t>绩效自评报告</w:t>
      </w:r>
    </w:p>
    <w:p w14:paraId="38F0D13A">
      <w:pPr>
        <w:jc w:val="center"/>
        <w:rPr>
          <w:rFonts w:hint="eastAsia" w:ascii="方正小标宋简体" w:eastAsia="方正小标宋简体"/>
          <w:sz w:val="52"/>
          <w:szCs w:val="52"/>
        </w:rPr>
      </w:pPr>
    </w:p>
    <w:p w14:paraId="677EE54B">
      <w:pPr>
        <w:jc w:val="center"/>
        <w:rPr>
          <w:rFonts w:hint="eastAsia" w:ascii="方正小标宋简体" w:eastAsia="方正小标宋简体"/>
          <w:sz w:val="52"/>
          <w:szCs w:val="52"/>
        </w:rPr>
      </w:pPr>
    </w:p>
    <w:p w14:paraId="25B92E53">
      <w:pPr>
        <w:jc w:val="center"/>
        <w:rPr>
          <w:rFonts w:hint="eastAsia" w:ascii="方正小标宋简体" w:eastAsia="方正小标宋简体"/>
          <w:sz w:val="52"/>
          <w:szCs w:val="52"/>
        </w:rPr>
      </w:pPr>
    </w:p>
    <w:p w14:paraId="331F8728">
      <w:pPr>
        <w:jc w:val="center"/>
        <w:rPr>
          <w:rFonts w:hint="eastAsia" w:ascii="方正小标宋简体" w:eastAsia="方正小标宋简体"/>
          <w:sz w:val="52"/>
          <w:szCs w:val="52"/>
        </w:rPr>
      </w:pPr>
    </w:p>
    <w:p w14:paraId="5C555A49">
      <w:pPr>
        <w:jc w:val="center"/>
        <w:rPr>
          <w:rFonts w:hint="eastAsia" w:ascii="方正小标宋简体" w:eastAsia="方正小标宋简体"/>
          <w:sz w:val="52"/>
          <w:szCs w:val="52"/>
        </w:rPr>
      </w:pPr>
    </w:p>
    <w:p w14:paraId="7C566C1F">
      <w:pPr>
        <w:jc w:val="both"/>
        <w:rPr>
          <w:rFonts w:hint="eastAsia" w:ascii="方正小标宋简体" w:eastAsia="方正小标宋简体"/>
          <w:sz w:val="52"/>
          <w:szCs w:val="52"/>
        </w:rPr>
      </w:pPr>
    </w:p>
    <w:p w14:paraId="75251658">
      <w:pPr>
        <w:jc w:val="both"/>
        <w:rPr>
          <w:rFonts w:hint="eastAsia" w:ascii="方正小标宋简体" w:eastAsia="方正小标宋简体"/>
          <w:sz w:val="52"/>
          <w:szCs w:val="52"/>
        </w:rPr>
      </w:pPr>
    </w:p>
    <w:p w14:paraId="7F2F441E">
      <w:pPr>
        <w:jc w:val="both"/>
        <w:rPr>
          <w:rFonts w:hint="eastAsia" w:ascii="方正小标宋简体" w:eastAsia="方正小标宋简体"/>
          <w:sz w:val="52"/>
          <w:szCs w:val="52"/>
        </w:rPr>
      </w:pPr>
    </w:p>
    <w:p w14:paraId="557D7E25">
      <w:pPr>
        <w:overflowPunct w:val="0"/>
        <w:autoSpaceDE w:val="0"/>
        <w:autoSpaceDN w:val="0"/>
        <w:adjustRightInd w:val="0"/>
        <w:snapToGrid w:val="0"/>
        <w:ind w:right="2646"/>
        <w:jc w:val="center"/>
        <w:rPr>
          <w:rFonts w:hint="eastAsia" w:ascii="黑体" w:hAnsi="黑体" w:eastAsia="黑体"/>
          <w:sz w:val="32"/>
          <w:szCs w:val="32"/>
        </w:rPr>
      </w:pPr>
      <w:r>
        <w:rPr>
          <w:rFonts w:hint="eastAsia" w:ascii="黑体" w:hAnsi="黑体" w:eastAsia="黑体"/>
          <w:spacing w:val="2"/>
          <w:sz w:val="32"/>
          <w:szCs w:val="32"/>
          <w:lang w:val="en-US" w:eastAsia="zh-CN"/>
        </w:rPr>
        <w:t xml:space="preserve">                </w:t>
      </w:r>
      <w:r>
        <w:rPr>
          <w:rFonts w:hint="eastAsia" w:ascii="黑体" w:hAnsi="黑体" w:eastAsia="黑体"/>
          <w:spacing w:val="2"/>
          <w:sz w:val="32"/>
          <w:szCs w:val="32"/>
          <w:lang w:eastAsia="zh-CN"/>
        </w:rPr>
        <w:t>高新区政法委</w:t>
      </w:r>
      <w:r>
        <w:rPr>
          <w:rFonts w:hint="eastAsia" w:ascii="黑体" w:hAnsi="黑体" w:eastAsia="黑体"/>
          <w:spacing w:val="2"/>
          <w:sz w:val="32"/>
          <w:szCs w:val="32"/>
        </w:rPr>
        <w:t>编</w:t>
      </w:r>
      <w:r>
        <w:rPr>
          <w:rFonts w:hint="eastAsia" w:ascii="黑体" w:hAnsi="黑体" w:eastAsia="黑体"/>
          <w:sz w:val="32"/>
          <w:szCs w:val="32"/>
        </w:rPr>
        <w:t>制</w:t>
      </w:r>
    </w:p>
    <w:p w14:paraId="4498B7C0">
      <w:pPr>
        <w:overflowPunct w:val="0"/>
        <w:autoSpaceDE w:val="0"/>
        <w:autoSpaceDN w:val="0"/>
        <w:adjustRightInd w:val="0"/>
        <w:snapToGrid w:val="0"/>
        <w:ind w:right="2646"/>
        <w:jc w:val="center"/>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pacing w:val="2"/>
          <w:sz w:val="32"/>
          <w:szCs w:val="32"/>
        </w:rPr>
        <w:t>（盖章</w:t>
      </w:r>
      <w:r>
        <w:rPr>
          <w:rFonts w:hint="eastAsia" w:ascii="黑体" w:hAnsi="黑体" w:eastAsia="黑体"/>
          <w:sz w:val="32"/>
          <w:szCs w:val="32"/>
        </w:rPr>
        <w:t>）</w:t>
      </w:r>
    </w:p>
    <w:p w14:paraId="5AAE5405">
      <w:pPr>
        <w:jc w:val="center"/>
        <w:rPr>
          <w:rFonts w:hint="eastAsia" w:ascii="黑体" w:hAnsi="黑体" w:eastAsia="黑体"/>
          <w:sz w:val="32"/>
          <w:szCs w:val="32"/>
        </w:rPr>
      </w:pPr>
      <w:r>
        <w:rPr>
          <w:rFonts w:hint="eastAsia" w:ascii="黑体" w:hAnsi="黑体" w:eastAsia="黑体"/>
          <w:spacing w:val="2"/>
          <w:sz w:val="32"/>
          <w:szCs w:val="32"/>
          <w:lang w:val="en-US" w:eastAsia="zh-CN"/>
        </w:rPr>
        <w:t>2023</w:t>
      </w:r>
      <w:r>
        <w:rPr>
          <w:rFonts w:hint="eastAsia" w:ascii="黑体" w:hAnsi="黑体" w:eastAsia="黑体"/>
          <w:sz w:val="32"/>
          <w:szCs w:val="32"/>
        </w:rPr>
        <w:t>年</w:t>
      </w:r>
      <w:r>
        <w:rPr>
          <w:rFonts w:hint="eastAsia" w:ascii="黑体" w:hAnsi="黑体" w:eastAsia="黑体"/>
          <w:sz w:val="32"/>
          <w:szCs w:val="32"/>
          <w:lang w:val="en-US" w:eastAsia="zh-CN"/>
        </w:rPr>
        <w:t>1</w:t>
      </w:r>
      <w:r>
        <w:rPr>
          <w:rFonts w:hint="eastAsia" w:ascii="黑体" w:hAnsi="黑体" w:eastAsia="黑体"/>
          <w:sz w:val="32"/>
          <w:szCs w:val="32"/>
        </w:rPr>
        <w:t>月</w:t>
      </w:r>
      <w:r>
        <w:rPr>
          <w:rFonts w:hint="eastAsia" w:ascii="黑体" w:hAnsi="黑体" w:eastAsia="黑体"/>
          <w:sz w:val="32"/>
          <w:szCs w:val="32"/>
          <w:lang w:val="en-US" w:eastAsia="zh-CN"/>
        </w:rPr>
        <w:t>16</w:t>
      </w:r>
      <w:r>
        <w:rPr>
          <w:rFonts w:hint="eastAsia" w:ascii="黑体" w:hAnsi="黑体" w:eastAsia="黑体"/>
          <w:sz w:val="32"/>
          <w:szCs w:val="32"/>
        </w:rPr>
        <w:t>日</w:t>
      </w:r>
    </w:p>
    <w:p w14:paraId="5FC17C89">
      <w:pPr>
        <w:spacing w:line="580" w:lineRule="exact"/>
        <w:jc w:val="center"/>
        <w:rPr>
          <w:rFonts w:hint="eastAsia" w:ascii="方正小标宋_GBK" w:hAnsi="宋体" w:eastAsia="方正小标宋_GBK" w:cs="Tahoma"/>
          <w:color w:val="auto"/>
          <w:kern w:val="0"/>
          <w:sz w:val="44"/>
          <w:szCs w:val="44"/>
        </w:rPr>
      </w:pPr>
    </w:p>
    <w:p w14:paraId="782CE1D0">
      <w:pPr>
        <w:spacing w:line="580" w:lineRule="exact"/>
        <w:jc w:val="center"/>
        <w:rPr>
          <w:rFonts w:hint="eastAsia" w:ascii="方正小标宋_GBK" w:hAnsi="宋体" w:eastAsia="方正小标宋_GBK" w:cs="Tahoma"/>
          <w:color w:val="auto"/>
          <w:kern w:val="0"/>
          <w:sz w:val="44"/>
          <w:szCs w:val="44"/>
        </w:rPr>
      </w:pPr>
    </w:p>
    <w:p w14:paraId="3752614E">
      <w:pPr>
        <w:spacing w:line="580" w:lineRule="exact"/>
        <w:jc w:val="center"/>
        <w:rPr>
          <w:rFonts w:hint="eastAsia" w:ascii="方正小标宋_GBK" w:hAnsi="宋体" w:eastAsia="方正小标宋_GBK" w:cs="Tahoma"/>
          <w:color w:val="auto"/>
          <w:kern w:val="0"/>
          <w:sz w:val="44"/>
          <w:szCs w:val="44"/>
        </w:rPr>
      </w:pPr>
    </w:p>
    <w:p w14:paraId="305DC2C4">
      <w:pPr>
        <w:spacing w:line="580" w:lineRule="exact"/>
        <w:jc w:val="both"/>
        <w:rPr>
          <w:rFonts w:hint="eastAsia" w:ascii="方正小标宋_GBK" w:hAnsi="宋体" w:eastAsia="方正小标宋_GBK" w:cs="Tahoma"/>
          <w:color w:val="auto"/>
          <w:kern w:val="0"/>
          <w:sz w:val="44"/>
          <w:szCs w:val="44"/>
        </w:rPr>
      </w:pPr>
    </w:p>
    <w:p w14:paraId="61E8552B">
      <w:pPr>
        <w:spacing w:line="580" w:lineRule="exact"/>
        <w:jc w:val="center"/>
        <w:rPr>
          <w:rFonts w:ascii="方正小标宋_GBK" w:hAnsi="宋体" w:eastAsia="方正小标宋_GBK"/>
          <w:color w:val="auto"/>
          <w:sz w:val="44"/>
          <w:szCs w:val="44"/>
        </w:rPr>
      </w:pPr>
      <w:r>
        <w:rPr>
          <w:rFonts w:hint="eastAsia" w:ascii="方正小标宋_GBK" w:hAnsi="宋体" w:eastAsia="方正小标宋_GBK" w:cs="Tahoma"/>
          <w:color w:val="auto"/>
          <w:kern w:val="0"/>
          <w:sz w:val="44"/>
          <w:szCs w:val="44"/>
        </w:rPr>
        <w:t>高新区政法委</w:t>
      </w:r>
      <w:r>
        <w:rPr>
          <w:rFonts w:ascii="方正小标宋_GBK" w:hAnsi="宋体" w:eastAsia="方正小标宋_GBK"/>
          <w:color w:val="auto"/>
          <w:sz w:val="44"/>
          <w:szCs w:val="44"/>
        </w:rPr>
        <w:t>20</w:t>
      </w:r>
      <w:r>
        <w:rPr>
          <w:rFonts w:hint="eastAsia" w:ascii="方正小标宋_GBK" w:hAnsi="宋体" w:eastAsia="方正小标宋_GBK"/>
          <w:color w:val="auto"/>
          <w:sz w:val="44"/>
          <w:szCs w:val="44"/>
          <w:lang w:val="en-US" w:eastAsia="zh-CN"/>
        </w:rPr>
        <w:t>22</w:t>
      </w:r>
      <w:r>
        <w:rPr>
          <w:rFonts w:hint="eastAsia" w:ascii="方正小标宋_GBK" w:hAnsi="宋体" w:eastAsia="方正小标宋_GBK"/>
          <w:color w:val="auto"/>
          <w:sz w:val="44"/>
          <w:szCs w:val="44"/>
        </w:rPr>
        <w:t>年度财政专项资金</w:t>
      </w:r>
    </w:p>
    <w:p w14:paraId="1C3D9FA1">
      <w:pPr>
        <w:spacing w:line="580" w:lineRule="exact"/>
        <w:jc w:val="center"/>
        <w:rPr>
          <w:rFonts w:ascii="方正小标宋_GBK" w:hAnsi="宋体" w:eastAsia="方正小标宋_GBK"/>
          <w:color w:val="auto"/>
          <w:sz w:val="44"/>
          <w:szCs w:val="44"/>
        </w:rPr>
      </w:pPr>
      <w:r>
        <w:rPr>
          <w:rFonts w:hint="eastAsia" w:ascii="方正小标宋_GBK" w:hAnsi="宋体" w:eastAsia="方正小标宋_GBK"/>
          <w:color w:val="auto"/>
          <w:sz w:val="44"/>
          <w:szCs w:val="44"/>
        </w:rPr>
        <w:t>绩效自评报告</w:t>
      </w:r>
    </w:p>
    <w:p w14:paraId="56C694AD">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ascii="黑体" w:hAnsi="宋体" w:eastAsia="黑体"/>
          <w:color w:val="auto"/>
          <w:sz w:val="32"/>
          <w:szCs w:val="32"/>
        </w:rPr>
      </w:pPr>
      <w:r>
        <w:rPr>
          <w:rFonts w:hint="eastAsia" w:ascii="黑体" w:hAnsi="宋体" w:eastAsia="黑体"/>
          <w:color w:val="auto"/>
          <w:sz w:val="32"/>
          <w:szCs w:val="32"/>
        </w:rPr>
        <w:t>一、基本情况</w:t>
      </w:r>
    </w:p>
    <w:p w14:paraId="44C64D4E">
      <w:pPr>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Fonts w:hint="eastAsia" w:ascii="仿宋_GB2312" w:hAnsi="宋体" w:eastAsia="仿宋_GB2312"/>
          <w:color w:val="auto"/>
          <w:sz w:val="32"/>
          <w:szCs w:val="32"/>
          <w:lang w:eastAsia="zh-CN"/>
        </w:rPr>
      </w:pPr>
      <w:r>
        <w:rPr>
          <w:rFonts w:hint="eastAsia" w:ascii="楷体_GB2312" w:hAnsi="宋体" w:eastAsia="楷体_GB2312"/>
          <w:b/>
          <w:color w:val="auto"/>
          <w:sz w:val="32"/>
          <w:szCs w:val="32"/>
        </w:rPr>
        <w:t>（一</w:t>
      </w:r>
      <w:r>
        <w:rPr>
          <w:rFonts w:hint="eastAsia" w:ascii="楷体_GB2312" w:hAnsi="宋体" w:eastAsia="楷体_GB2312"/>
          <w:b w:val="0"/>
          <w:bCs/>
          <w:color w:val="auto"/>
          <w:sz w:val="32"/>
          <w:szCs w:val="32"/>
        </w:rPr>
        <w:t>）总体情况。</w:t>
      </w:r>
      <w:r>
        <w:rPr>
          <w:rFonts w:hint="eastAsia" w:ascii="仿宋_GB2312" w:hAnsi="宋体" w:eastAsia="仿宋_GB2312"/>
          <w:color w:val="auto"/>
          <w:sz w:val="32"/>
          <w:szCs w:val="32"/>
        </w:rPr>
        <w:t>本部门年度预算安排的专项项目总量为</w:t>
      </w:r>
      <w:r>
        <w:rPr>
          <w:rFonts w:hint="eastAsia" w:ascii="仿宋_GB2312" w:hAnsi="宋体" w:eastAsia="仿宋_GB2312"/>
          <w:color w:val="auto"/>
          <w:sz w:val="32"/>
          <w:szCs w:val="32"/>
          <w:lang w:val="en-US" w:eastAsia="zh-CN"/>
        </w:rPr>
        <w:t>8个</w:t>
      </w:r>
      <w:r>
        <w:rPr>
          <w:rFonts w:hint="eastAsia" w:ascii="仿宋_GB2312" w:hAnsi="宋体" w:eastAsia="仿宋_GB2312"/>
          <w:color w:val="auto"/>
          <w:sz w:val="32"/>
          <w:szCs w:val="32"/>
        </w:rPr>
        <w:t>，资金总量为</w:t>
      </w:r>
      <w:r>
        <w:rPr>
          <w:rFonts w:hint="eastAsia" w:ascii="仿宋_GB2312" w:hAnsi="宋体" w:eastAsia="仿宋_GB2312"/>
          <w:color w:val="auto"/>
          <w:sz w:val="32"/>
          <w:szCs w:val="32"/>
          <w:lang w:val="en-US" w:eastAsia="zh-CN"/>
        </w:rPr>
        <w:t>650.66万</w:t>
      </w:r>
      <w:r>
        <w:rPr>
          <w:rFonts w:hint="eastAsia" w:ascii="仿宋_GB2312" w:hAnsi="宋体" w:eastAsia="仿宋_GB2312"/>
          <w:color w:val="auto"/>
          <w:sz w:val="32"/>
          <w:szCs w:val="32"/>
        </w:rPr>
        <w:t>元</w:t>
      </w:r>
      <w:r>
        <w:rPr>
          <w:rFonts w:hint="eastAsia" w:ascii="仿宋_GB2312" w:hAnsi="宋体" w:eastAsia="仿宋_GB2312"/>
          <w:color w:val="auto"/>
          <w:sz w:val="32"/>
          <w:szCs w:val="32"/>
          <w:lang w:eastAsia="zh-CN"/>
        </w:rPr>
        <w:t>。其中年初预算安排</w:t>
      </w:r>
      <w:r>
        <w:rPr>
          <w:rFonts w:hint="eastAsia" w:ascii="仿宋_GB2312" w:hAnsi="宋体" w:eastAsia="仿宋_GB2312"/>
          <w:color w:val="auto"/>
          <w:sz w:val="32"/>
          <w:szCs w:val="32"/>
          <w:lang w:val="en-US" w:eastAsia="zh-CN"/>
        </w:rPr>
        <w:t>510.25万元；上年结转资金0万元，本年结转资金0万元。</w:t>
      </w:r>
      <w:r>
        <w:rPr>
          <w:rFonts w:hint="eastAsia" w:ascii="仿宋_GB2312" w:hAnsi="宋体" w:eastAsia="仿宋_GB2312"/>
          <w:color w:val="auto"/>
          <w:sz w:val="32"/>
          <w:szCs w:val="32"/>
        </w:rPr>
        <w:t>省市区预算安排资金为</w:t>
      </w:r>
      <w:r>
        <w:rPr>
          <w:rFonts w:hint="eastAsia" w:ascii="仿宋_GB2312" w:hAnsi="宋体" w:eastAsia="仿宋_GB2312"/>
          <w:color w:val="auto"/>
          <w:sz w:val="32"/>
          <w:szCs w:val="32"/>
          <w:lang w:val="en-US" w:eastAsia="zh-CN"/>
        </w:rPr>
        <w:t>650.66</w:t>
      </w:r>
      <w:r>
        <w:rPr>
          <w:rFonts w:hint="eastAsia" w:ascii="仿宋_GB2312" w:hAnsi="宋体" w:eastAsia="仿宋_GB2312"/>
          <w:color w:val="auto"/>
          <w:sz w:val="32"/>
          <w:szCs w:val="32"/>
          <w:lang w:eastAsia="zh-CN"/>
        </w:rPr>
        <w:t>万</w:t>
      </w:r>
      <w:r>
        <w:rPr>
          <w:rFonts w:hint="eastAsia" w:ascii="仿宋_GB2312" w:hAnsi="宋体" w:eastAsia="仿宋_GB2312"/>
          <w:color w:val="auto"/>
          <w:sz w:val="32"/>
          <w:szCs w:val="32"/>
        </w:rPr>
        <w:t>元，结转资金</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lang w:eastAsia="zh-CN"/>
        </w:rPr>
        <w:t>万</w:t>
      </w:r>
      <w:r>
        <w:rPr>
          <w:rFonts w:hint="eastAsia" w:ascii="仿宋_GB2312" w:hAnsi="宋体" w:eastAsia="仿宋_GB2312"/>
          <w:color w:val="auto"/>
          <w:sz w:val="32"/>
          <w:szCs w:val="32"/>
        </w:rPr>
        <w:t>元，</w:t>
      </w:r>
      <w:r>
        <w:rPr>
          <w:rFonts w:hint="eastAsia" w:ascii="仿宋_GB2312" w:hAnsi="宋体" w:eastAsia="仿宋_GB2312"/>
          <w:color w:val="auto"/>
          <w:sz w:val="32"/>
          <w:szCs w:val="32"/>
          <w:lang w:eastAsia="zh-CN"/>
        </w:rPr>
        <w:t>项目数量为</w:t>
      </w:r>
      <w:r>
        <w:rPr>
          <w:rFonts w:hint="eastAsia" w:ascii="仿宋_GB2312" w:hAnsi="宋体" w:eastAsia="仿宋_GB2312"/>
          <w:color w:val="auto"/>
          <w:sz w:val="32"/>
          <w:szCs w:val="32"/>
          <w:lang w:val="en-US" w:eastAsia="zh-CN"/>
        </w:rPr>
        <w:t>8个，</w:t>
      </w:r>
      <w:r>
        <w:rPr>
          <w:rFonts w:hint="eastAsia" w:ascii="仿宋_GB2312" w:hAnsi="宋体" w:eastAsia="仿宋_GB2312"/>
          <w:color w:val="auto"/>
          <w:sz w:val="32"/>
          <w:szCs w:val="32"/>
          <w:lang w:eastAsia="zh-CN"/>
        </w:rPr>
        <w:t>无中央专项转移支付资金。</w:t>
      </w:r>
    </w:p>
    <w:p w14:paraId="3DBB5A9C">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ascii="仿宋_GB2312" w:hAnsi="宋体" w:eastAsia="仿宋_GB2312"/>
          <w:color w:val="0000FF"/>
          <w:sz w:val="32"/>
          <w:szCs w:val="32"/>
        </w:rPr>
      </w:pPr>
      <w:r>
        <w:rPr>
          <w:rFonts w:hint="eastAsia" w:ascii="仿宋_GB2312" w:hAnsi="仿宋_GB2312" w:eastAsia="仿宋_GB2312" w:cs="仿宋_GB2312"/>
          <w:color w:val="auto"/>
          <w:sz w:val="32"/>
          <w:szCs w:val="32"/>
          <w:lang w:val="en-US" w:eastAsia="zh-CN"/>
        </w:rPr>
        <w:t>我单位根据财政要求，严格进行绩效目标管理，资产覆盖率符合文件对本单位的要求。项目申报时间、格式和质量都符合财政局要求。通过建立完善的制度体系和运转流程，单位整体支出的效率性都有效增强，切实提升了整体支出效益，有力的推动了各项工作发展，实现部门预算管理总体目标。</w:t>
      </w:r>
    </w:p>
    <w:p w14:paraId="5E651E72">
      <w:pPr>
        <w:keepNext w:val="0"/>
        <w:keepLines w:val="0"/>
        <w:pageBreakBefore w:val="0"/>
        <w:widowControl w:val="0"/>
        <w:numPr>
          <w:ilvl w:val="0"/>
          <w:numId w:val="1"/>
        </w:numPr>
        <w:kinsoku/>
        <w:wordWrap/>
        <w:overflowPunct/>
        <w:topLinePunct w:val="0"/>
        <w:autoSpaceDE/>
        <w:autoSpaceDN/>
        <w:bidi w:val="0"/>
        <w:snapToGrid/>
        <w:spacing w:line="560" w:lineRule="exact"/>
        <w:ind w:firstLine="643" w:firstLineChars="200"/>
        <w:textAlignment w:val="auto"/>
        <w:rPr>
          <w:rFonts w:hint="eastAsia" w:ascii="仿宋_GB2312" w:hAnsi="宋体" w:eastAsia="仿宋_GB2312"/>
          <w:color w:val="auto"/>
          <w:sz w:val="32"/>
          <w:szCs w:val="32"/>
          <w:lang w:val="en-US" w:eastAsia="zh-CN"/>
        </w:rPr>
      </w:pPr>
      <w:r>
        <w:rPr>
          <w:rFonts w:hint="eastAsia" w:ascii="楷体_GB2312" w:hAnsi="宋体" w:eastAsia="楷体_GB2312"/>
          <w:b/>
          <w:color w:val="auto"/>
          <w:sz w:val="32"/>
          <w:szCs w:val="32"/>
        </w:rPr>
        <w:t>具体情况。</w:t>
      </w:r>
      <w:r>
        <w:rPr>
          <w:rFonts w:hint="eastAsia" w:ascii="仿宋_GB2312" w:hAnsi="宋体" w:eastAsia="仿宋_GB2312"/>
          <w:color w:val="auto"/>
          <w:sz w:val="32"/>
          <w:szCs w:val="32"/>
        </w:rPr>
        <w:t>本部门项目</w:t>
      </w:r>
      <w:r>
        <w:rPr>
          <w:rFonts w:hint="eastAsia" w:ascii="仿宋_GB2312" w:hAnsi="宋体" w:eastAsia="仿宋_GB2312"/>
          <w:color w:val="auto"/>
          <w:sz w:val="32"/>
          <w:szCs w:val="32"/>
          <w:lang w:eastAsia="zh-CN"/>
        </w:rPr>
        <w:t>共计</w:t>
      </w:r>
      <w:r>
        <w:rPr>
          <w:rFonts w:hint="eastAsia" w:ascii="仿宋_GB2312" w:hAnsi="宋体" w:eastAsia="仿宋_GB2312"/>
          <w:color w:val="auto"/>
          <w:sz w:val="32"/>
          <w:szCs w:val="32"/>
          <w:lang w:val="en-US" w:eastAsia="zh-CN"/>
        </w:rPr>
        <w:t>8个。</w:t>
      </w:r>
    </w:p>
    <w:p w14:paraId="2A0DD251">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 司法所项目工作经费。</w:t>
      </w:r>
    </w:p>
    <w:p w14:paraId="350553ED">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高新区设2个基层司法所，各基层司法所负责指导乡（镇）人民调解工作；参与重大疑难民间纠纷调解工作；开展对刑满释放人员的安置帮教以及社区矫正工作；组织开展普法宣传、法制教育工作。为确保基层规范化司法所建设工作正常开展，2022年司法所建设工作经费预算批复金额为2万元，实际支出为2万元，均为高新区财政拨款。产出指标为司法所创建规范化情况，预计指标值1个，实际完成值1个，设定依据为河北省司法厅关于《河北省基层司法所规范化建设标准》的通知，需对办公场地、办公设施等按照标准进行考核；效益指标为验收通过率，预计指标值100%，实际完成值100%，设定依据为《河北省基层司法所规范化建设标准》。</w:t>
      </w:r>
    </w:p>
    <w:p w14:paraId="7DBC387D">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2.法律顾问项目经费。</w:t>
      </w:r>
    </w:p>
    <w:p w14:paraId="5BA409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我区已建立法律顾问工作制度，聘请腾邦律师事务所律师作为法律顾问，为管委会及所属各部门提供应诉、法律咨询和合同审核等服务。2022年法律顾问工作经费预算批复金额为10万元，实际支出为10万元，均为高新区财政拨款，项目合同期限为2021年8月1日至2022年7月31日。产出指标为法律服务时效，预计指标值95%，实际完成值100%；效益指标为使用人员满意率，预计指标值90%，实际完成值95%，设定依据为按照管委会《关于印发高新区管委会法律顾问工作制度的通知》（唐高发〔2015〕9号）精神。</w:t>
      </w:r>
    </w:p>
    <w:p w14:paraId="11E06C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3.社区矫正及普法宣传项目经费。</w:t>
      </w:r>
    </w:p>
    <w:p w14:paraId="3BB0F3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本项目是贯彻落实中央及省市关于社区矫正和安置帮教工作政策的重要举措，为提高我区社区矫正工作质量，增强安置帮教工作效果，确保全区社区矫正和安置帮教各项工作的顺利开展的重要保障。项目的主要内容有：受人民法院、人民检察院、公安机关和监狱的委托对拟适用社区矫正的被告人、罪犯进行适用审前调查评估；管理、组织实施社区矫正工作，对社区矫正人员进行监督管理和帮助教育。2022年社区矫正工作经费预算批复金额为13万元，实际支出为13万元，均为高新区财政拨款。产出指标为社区矫正人员脱管漏管人数占社区矫正人员人数，预计指标值为0，实际完成值为0；设定依据为社区矫正统计系统；效益指标为通过实施社区矫正促进社会稳定水平逐步提高，预计指标值为是，实际完成值为是，设定依据为社会稳定数据。</w:t>
      </w:r>
    </w:p>
    <w:p w14:paraId="3D2DFD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4.法律援助、人民调解工作经费</w:t>
      </w:r>
    </w:p>
    <w:p w14:paraId="56BB160D">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组织、指导、协调、监督全区法律援助工作；总结推广法律援助工作经验，收集法律援助信息资料；受理公民法律咨询；负责案件分流、督办工作。2022年度法律援助工作经费预算批复金额为2万元，实际支出为2万元，均为高新区财政拨款。法律援助经费主要用于法律援助人员培训费、法律援助宣传费、按照规定承担的法律援助机构办案直接费用、办案补贴；人民调解案件数量逐年提升，按照市司法局要求，新建调解委员会。产出指标为援助案件结案率，预计指标值为95%，实际完成值为95%；效益指标为我区社会援助人员与我区总人数占比，预计指标值为小于5%，实际完成值为小于5%，设定依据为援助调整案件。</w:t>
      </w:r>
    </w:p>
    <w:p w14:paraId="7A3E8AC9">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color w:val="auto"/>
          <w:sz w:val="32"/>
          <w:szCs w:val="32"/>
          <w:lang w:val="en-US" w:eastAsia="zh-CN"/>
        </w:rPr>
        <w:t>5.维稳工作经费</w:t>
      </w:r>
    </w:p>
    <w:p w14:paraId="3DC87B58">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2022年，全区进入了疫情防控常态化状态。重要敏感节多，政法委高度重视，成功应对了各种风险的挑战，平稳度过了所有敏感节点，社会大局持续稳定。为维护国家政治安全，切实做好群体及个体稳定工作，政法委密切关注敏感节点社会动态，顺利完成了各敏感期维稳工作；为确保国家安全工作顺利开展，做好辖区内邪教人员的“反转化”工作，做好高新区“双清”反宣品清缴工作，支出经费13万元；项目资金均来源于区预算安排。</w:t>
      </w:r>
    </w:p>
    <w:p w14:paraId="58866E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6.社会治安保险和严重精神障碍患者责任险经费</w:t>
      </w:r>
    </w:p>
    <w:p w14:paraId="1454CFB6">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按照《关于唐山市保险业参与平安建设推进方案》（唐综治办〔2014〕36号）文件要求，为进一步深化平安高新建设，保障和改善民生，夯实基层基础，创新社会治理方式，维护社会和谐稳定，推行社会治安保险。2022年度社会治安保险预算批复金额为70万元，实际支出为70万元，为高新区财政拨款。产出指标为时间节点前完成参保人数占区人口数量的百分比，预计指标值为100%，实际完成值为100%，设定依据为上级验收情况；效益指标为完成治安保险参保率，预计指标值为100%，实际完成值为100%，设定依据为区人口数量。</w:t>
      </w:r>
    </w:p>
    <w:p w14:paraId="24A5E843">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7.综治重点工作经费</w:t>
      </w:r>
    </w:p>
    <w:p w14:paraId="7BD88CCC">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认真落实市有关文件精神，切实做好综治9+X信息系统终端、网格员手机APP及综治（平安）宣传、常态化扫黑除恶斗争、严重精神障碍患者以奖代补等综治重点工作，确保工作顺利开展，圆满完成工作目标任务。2022年度社会综合治理工作经费预算批复金额为111万元，实际支出为107.89万元，均为高新区财政拨款。产出指标为开展外宣活动次数，预计指标值为大于等于3次，实际完成值为5次；效益指标为我区社会综合治理工作情况占省市验收标准比例，预计指标值为大于等于90%，实际完成值为93%。设定依据为验收情况反馈意见。</w:t>
      </w:r>
    </w:p>
    <w:p w14:paraId="5B33F7AC">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8.雪亮工程运行维护经费</w:t>
      </w:r>
    </w:p>
    <w:p w14:paraId="264777BD">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我区雪亮工程建设已完成一期、二期项目终验。依据雪亮工程双方合同约定，需向承建方支付2022年8月1日至2023年7月30日运行服务费281.26万元，实际支出为168.756万元，为高新区财政拨款。产出指标为设定情报信息研判率(%)，预期指标值100%，实际完成值100%；设定时效指标情报信息研判率(%)，预期指标值100%，实际完成值100%；设定社会效益指标预期指标值100%，实际完成值100%。</w:t>
      </w:r>
    </w:p>
    <w:p w14:paraId="0D14B1FA">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黑体" w:hAnsi="宋体" w:eastAsia="黑体"/>
          <w:color w:val="auto"/>
          <w:sz w:val="32"/>
          <w:szCs w:val="32"/>
        </w:rPr>
      </w:pPr>
      <w:r>
        <w:rPr>
          <w:rFonts w:hint="eastAsia" w:ascii="黑体" w:hAnsi="宋体" w:eastAsia="黑体"/>
          <w:color w:val="auto"/>
          <w:sz w:val="32"/>
          <w:szCs w:val="32"/>
        </w:rPr>
        <w:t>二、绩效自评工作开展情况</w:t>
      </w:r>
    </w:p>
    <w:p w14:paraId="32D305C5">
      <w:pPr>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Fonts w:hint="eastAsia" w:ascii="楷体_GB2312" w:hAnsi="宋体" w:eastAsia="楷体_GB2312"/>
          <w:b/>
          <w:color w:val="auto"/>
          <w:sz w:val="32"/>
          <w:szCs w:val="32"/>
        </w:rPr>
      </w:pPr>
      <w:r>
        <w:rPr>
          <w:rFonts w:hint="eastAsia" w:ascii="楷体_GB2312" w:hAnsi="宋体" w:eastAsia="楷体_GB2312"/>
          <w:b/>
          <w:color w:val="auto"/>
          <w:sz w:val="32"/>
          <w:szCs w:val="32"/>
        </w:rPr>
        <w:t>（一）前期准备</w:t>
      </w:r>
    </w:p>
    <w:p w14:paraId="447AD976">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1.加强组织领导。按照区财政局安排部署，我单位近期开展绩效评价工作，明确由财务主管领导专门负责此项工作。具体工作由财务处牵头，组织、协调和监督落实此项工作。</w:t>
      </w:r>
    </w:p>
    <w:p w14:paraId="0BF8056F">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lang w:val="en-US" w:eastAsia="zh-CN"/>
        </w:rPr>
        <w:t>2.制定实施方案。为推进绩效管理工作有效开展，根据上级有关规定和要求，由相关处室沟通、对接，制定绩效管理工作实施方案，对本部门项目进行简要介绍并自评，确保绩效评价工作有章可循，有序开展。</w:t>
      </w:r>
    </w:p>
    <w:p w14:paraId="3AF8485F">
      <w:pPr>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Fonts w:hint="eastAsia" w:ascii="楷体_GB2312" w:hAnsi="宋体" w:eastAsia="楷体_GB2312"/>
          <w:b/>
          <w:color w:val="auto"/>
          <w:sz w:val="32"/>
          <w:szCs w:val="32"/>
        </w:rPr>
      </w:pPr>
      <w:r>
        <w:rPr>
          <w:rFonts w:hint="eastAsia" w:ascii="楷体_GB2312" w:hAnsi="宋体" w:eastAsia="楷体_GB2312"/>
          <w:b/>
          <w:color w:val="auto"/>
          <w:sz w:val="32"/>
          <w:szCs w:val="32"/>
        </w:rPr>
        <w:t>（二）组织实施</w:t>
      </w:r>
    </w:p>
    <w:p w14:paraId="6BC25F1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position w:val="14"/>
          <w:lang w:val="en-US" w:eastAsia="zh-CN"/>
        </w:rPr>
      </w:pPr>
      <w:r>
        <w:rPr>
          <w:rFonts w:hint="eastAsia" w:ascii="仿宋_GB2312" w:hAnsi="仿宋_GB2312" w:eastAsia="仿宋_GB2312" w:cs="仿宋_GB2312"/>
          <w:b w:val="0"/>
          <w:bCs/>
          <w:color w:val="auto"/>
          <w:sz w:val="32"/>
          <w:szCs w:val="32"/>
          <w:lang w:val="en-US" w:eastAsia="zh-CN"/>
        </w:rPr>
        <w:t>1.稳步推进工作。按照唐高财〔2023〕4号《唐山高新区财政局关于做好2022年部门整体支出绩效自评工作的通知</w:t>
      </w:r>
      <w:r>
        <w:rPr>
          <w:rFonts w:hint="eastAsia" w:ascii="仿宋_GB2312" w:hAnsi="仿宋_GB2312" w:eastAsia="仿宋_GB2312" w:cs="仿宋_GB2312"/>
          <w:color w:val="auto"/>
          <w:kern w:val="15"/>
          <w:sz w:val="32"/>
          <w:szCs w:val="32"/>
          <w:lang w:val="en-US" w:eastAsia="zh-CN"/>
        </w:rPr>
        <w:t>》文件，2022年计划评价</w:t>
      </w:r>
      <w:r>
        <w:rPr>
          <w:rFonts w:hint="eastAsia" w:ascii="仿宋_GB2312" w:hAnsi="仿宋_GB2312" w:eastAsia="仿宋_GB2312" w:cs="仿宋_GB2312"/>
          <w:color w:val="auto"/>
          <w:kern w:val="15"/>
          <w:sz w:val="32"/>
          <w:szCs w:val="32"/>
          <w:highlight w:val="none"/>
          <w:lang w:val="en-US" w:eastAsia="zh-CN"/>
        </w:rPr>
        <w:t>项目8个，共计金额650.66万元，实际完成绩效评价项目8个，</w:t>
      </w:r>
      <w:r>
        <w:rPr>
          <w:rFonts w:hint="eastAsia" w:ascii="仿宋_GB2312" w:hAnsi="仿宋_GB2312" w:eastAsia="仿宋_GB2312" w:cs="仿宋_GB2312"/>
          <w:color w:val="auto"/>
          <w:kern w:val="15"/>
          <w:sz w:val="32"/>
          <w:szCs w:val="32"/>
          <w:lang w:val="en-US" w:eastAsia="zh-CN"/>
        </w:rPr>
        <w:t>经过汇审，将部门整体绩效评价报告上报区财政局。</w:t>
      </w:r>
    </w:p>
    <w:p w14:paraId="7EE798C7">
      <w:pPr>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Fonts w:hint="eastAsia" w:ascii="楷体_GB2312" w:hAnsi="宋体" w:eastAsia="楷体_GB2312"/>
          <w:b/>
          <w:color w:val="auto"/>
          <w:sz w:val="32"/>
          <w:szCs w:val="32"/>
        </w:rPr>
      </w:pPr>
      <w:r>
        <w:rPr>
          <w:rFonts w:hint="eastAsia" w:ascii="楷体_GB2312" w:hAnsi="宋体" w:eastAsia="楷体_GB2312"/>
          <w:b/>
          <w:color w:val="auto"/>
          <w:sz w:val="32"/>
          <w:szCs w:val="32"/>
        </w:rPr>
        <w:t>（三）分析评价</w:t>
      </w:r>
    </w:p>
    <w:p w14:paraId="157173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1.司法所项目经费</w:t>
      </w:r>
    </w:p>
    <w:p w14:paraId="3C5EC7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产出指标。规范化司法所创建情况预期指标1个，实际完成情况1个；本年度调解率预期指标95%，实际完成情况96%；本年度服务实效预期指标95%，实际完成情况100%；2022年度资金及时支付情况预期指标100%，实际完成情况资金完成率100%，自评得分为50分。</w:t>
      </w:r>
    </w:p>
    <w:p w14:paraId="7B0746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（2）效益指标。2022年度完成各项工作，自评得分为30分。</w:t>
      </w:r>
    </w:p>
    <w:p w14:paraId="0462C7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（3）满意度指标。社会公众满意度预期指标为90%，实际完成值为95%，自评得分为8分。</w:t>
      </w:r>
    </w:p>
    <w:p w14:paraId="071F49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（4）预算执行率。预期指标为100%，实际完成值100%，自评得分为10分。 </w:t>
      </w:r>
    </w:p>
    <w:p w14:paraId="06D721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（5）总分值100分，自评得分98分。</w:t>
      </w:r>
    </w:p>
    <w:p w14:paraId="2EF12D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2.法律顾问工作经费</w:t>
      </w:r>
    </w:p>
    <w:p w14:paraId="1043B5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产出指标。法律咨询数量预期指标为50次，实际完成值68,；行政诉讼胜诉率预期指标为90%，实际完成值100%；法律服务时效预期指标为95%，实际完成值100%；2022年度资金及时支付，资金完成率100%。自评得分为50分。</w:t>
      </w:r>
    </w:p>
    <w:p w14:paraId="465C6A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（2）效益指标。2022年度完成各项工作，自评得分为30分。</w:t>
      </w:r>
    </w:p>
    <w:p w14:paraId="515B16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（3）满意度指标。使用人满意度预期指标为95%，实际完成值为95%，自评得分为9分。</w:t>
      </w:r>
    </w:p>
    <w:p w14:paraId="512CCE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（4）预算执行率。预算指标为100%，实际完成值100%，自评得分为10分。</w:t>
      </w:r>
    </w:p>
    <w:p w14:paraId="0D5BE2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 总分值100分，自评得分99分。</w:t>
      </w:r>
    </w:p>
    <w:p w14:paraId="520706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3.社区矫正工作经费</w:t>
      </w:r>
    </w:p>
    <w:p w14:paraId="700000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产出指标。集中法律宣传数量预期指标为5件，实际完成值符合要求；普法工作覆盖率预期指标为90%，实际完成值96%；人员脱管漏管占比预期指标为0，实际完成值0；2022年度资金及时支付，资金完成率100%；自评得分为50分。</w:t>
      </w:r>
    </w:p>
    <w:p w14:paraId="497176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（2）效益指标。普法机制建设情况预期指标为90%，实际完成值本年度已完成机制建设，自评得分为30分。</w:t>
      </w:r>
    </w:p>
    <w:p w14:paraId="78A057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（3）满意度指标。人民群众满意率预期指标为95%，实际完成值为95%，自评得分为8分。</w:t>
      </w:r>
    </w:p>
    <w:p w14:paraId="7B3B61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（4）预算执行率。预算指标为100%，实际完成值100%，自评得分为10分。 </w:t>
      </w:r>
    </w:p>
    <w:p w14:paraId="7A3044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（5）总分值100分，自评得分98分。</w:t>
      </w:r>
    </w:p>
    <w:p w14:paraId="055E88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4.法律援助、人民调解经费</w:t>
      </w:r>
    </w:p>
    <w:p w14:paraId="3EDBD0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产出指标。援助人员占比预期指标为0.05%，实际完成值为符合要求；案件调解率预期指标为90%，实际完成值96%；调解案件结案效率预期指标为30天内，实际完成值本年度结案效率100%；2022年度资金及时支付，资金完成率100%；自评得分为50分。</w:t>
      </w:r>
    </w:p>
    <w:p w14:paraId="432DB1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（2）效益指标。本年度完成各项工作，自评得分为30分。</w:t>
      </w:r>
    </w:p>
    <w:p w14:paraId="4DF2E1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（3）满意度指标。援助案件受益人满意度预期指标为95%，实际完成值为95%，自评得分为8分。</w:t>
      </w:r>
    </w:p>
    <w:p w14:paraId="6BDC55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（4）预算执行率。预算指标为100%，实际完成值100%，自评得分为10分。 </w:t>
      </w:r>
    </w:p>
    <w:p w14:paraId="0029B5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（5）总分值100分，自评得分98分。</w:t>
      </w:r>
    </w:p>
    <w:p w14:paraId="0638B3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5.维稳工作经费</w:t>
      </w:r>
    </w:p>
    <w:p w14:paraId="7E3681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（1）产出指标。①数量指标，宣传情况完成防范宣传工作，大于全年共宣传4次，宣传次数大于预期指标≧3次。②质量指标，春节、全国两会</w:t>
      </w:r>
      <w:bookmarkStart w:id="0" w:name="_GoBack"/>
      <w:bookmarkEnd w:id="0"/>
      <w:r>
        <w:rPr>
          <w:rFonts w:hint="eastAsia" w:ascii="仿宋_GB2312" w:hAnsi="仿宋_GB2312" w:eastAsia="仿宋_GB2312" w:cs="仿宋_GB2312"/>
          <w:color w:val="auto"/>
          <w:sz w:val="32"/>
          <w:szCs w:val="32"/>
          <w:lang w:val="en-US" w:eastAsia="zh-CN"/>
        </w:rPr>
        <w:t>、党的二十大等敏感期间，值班人员到位人数占值班人数100%。③时效指标，今年涉法涉诉信访案件办结率≧90%。④成本指标，预算资金完成率100%，各项及时支付，资金完成率≧90%。自评得分为50分。</w:t>
      </w:r>
    </w:p>
    <w:p w14:paraId="6E850A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（2）效益指标。2022年全区没有发生群死群伤，没有重大治安案件等事件，2022年重大活动突发事件发生率预期指标为20%，实际完成值为0，自评得分为30分。</w:t>
      </w:r>
    </w:p>
    <w:p w14:paraId="09DE99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（3）满意度指标。服务对象满意度预期指标为≧90%，实际完成值为85%，自评得分为8分。</w:t>
      </w:r>
    </w:p>
    <w:p w14:paraId="7A8BCB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（4）预算执行率。预算指标为100%，实际完成值100%，自评得分为10分。</w:t>
      </w:r>
    </w:p>
    <w:p w14:paraId="4F5E26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（5）总分值100分，自评得分99分。</w:t>
      </w:r>
    </w:p>
    <w:p w14:paraId="18B249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6.社会治安保险经费</w:t>
      </w:r>
    </w:p>
    <w:p w14:paraId="6F3141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（1）产出指标50分，评价得分50分</w:t>
      </w:r>
    </w:p>
    <w:p w14:paraId="163F99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①质量指标。组织各镇（办）对常住村（居）民家庭进行了统计，作为治安保险参保依据，登记管理人数占比达到100%。经评价，该项指标得分15分，得分率为100%。</w:t>
      </w:r>
    </w:p>
    <w:p w14:paraId="086C59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②质量指标。督导人保财险高新支公司出具保单，完成了相关保险参保工作。经评价，该指标得分10分，得分率为100%。</w:t>
      </w:r>
    </w:p>
    <w:p w14:paraId="3102BD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③时效指标。组织各镇（办）开展治安保险宣传活动经评价，该指标得分15分，得分率为100%。</w:t>
      </w:r>
    </w:p>
    <w:p w14:paraId="51E5C7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④成本指标。为辖区常住居民参保社会治安保险，保费为16元/户/份。经评价，该指标得分10分，得分率为100%。</w:t>
      </w:r>
    </w:p>
    <w:p w14:paraId="481D96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（2）效益指标30分，评价得分28分</w:t>
      </w:r>
    </w:p>
    <w:p w14:paraId="11862D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①可持续影响指标。推行治安保险工作以来，逐步形成了“群众利益有保障，治安防范有专人，保险公司有利润，警务工作有活力，城乡居民有平安”的良好局面。该项指标得分28分，得分率为93%。</w:t>
      </w:r>
    </w:p>
    <w:p w14:paraId="5AAFCF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（3）满意度指标10分，评价得分10分</w:t>
      </w:r>
    </w:p>
    <w:p w14:paraId="5BB32F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实行治安保险进一步织密了治安防控网络，强化了防控责任，由于引入保险机制，实现了风险转移使，群众感到前所未有的放心、安心。该项指标得分10分，得分率为100%。</w:t>
      </w:r>
    </w:p>
    <w:p w14:paraId="05F584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（4）预算执行率10分，评价得分10分</w:t>
      </w:r>
    </w:p>
    <w:p w14:paraId="3D6FA3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该项目资金拨付审批程序完善，资金合理合法运用，做到了专款专用、落实使用到位，不存在节流、挤占、挪用、虚列支出等情况。该项指标得分10分，得分率为100%。</w:t>
      </w:r>
    </w:p>
    <w:p w14:paraId="378C96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7.综治重点工作经费</w:t>
      </w:r>
    </w:p>
    <w:p w14:paraId="264E14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（1）产出指标50分，评价得分50分</w:t>
      </w:r>
    </w:p>
    <w:p w14:paraId="266812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①数量指标。组织开展“综治宣传月”、平安建设“八进”宣传活动、见义勇为、创建社会治安优秀市等宣传教育活动，发放了宣传单、彩页等宣传品60000余张。经评价，该项指标得分15分，得分率为100%。</w:t>
      </w:r>
    </w:p>
    <w:p w14:paraId="677384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②时效指标。今年以来，我处室开展平安建设“八进”宣传活动、见义勇为、创建社会治安优秀市等宣传教育活动4次。经评价，该项指标得分15分，得分率为100%。</w:t>
      </w:r>
    </w:p>
    <w:p w14:paraId="6B4630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③质量指标。按照市有关文件要求，我区及时开展综治“9+X”信息系统数据录入工作，上报各类信息1000余条。经评价，该项指标得分10分，得分率为100%。</w:t>
      </w:r>
    </w:p>
    <w:p w14:paraId="1BBB58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④成本指标。我处室组织开展各类宣传活动，购置宣传品所需金额占项目金额的20%以上。经评价，该项指标得分10分，得分率为100%。</w:t>
      </w:r>
    </w:p>
    <w:p w14:paraId="161D6A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（2）效果指标30分，评价得分30分</w:t>
      </w:r>
    </w:p>
    <w:p w14:paraId="6262BF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可持续影响指标。为做好全国两会、暑期期间铁路护路联防工作，及时启动重要时期护路模式，加强了对津山线、津秦客专等重点线路，购置了护路装备，有力促进了护路积极性，确保了辖区铁路安全畅通。经评价，该项指标得分30分，得分率为100%。</w:t>
      </w:r>
    </w:p>
    <w:p w14:paraId="3EAFB5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（3）满意度指标10分，评价得分10分</w:t>
      </w:r>
    </w:p>
    <w:p w14:paraId="6D5195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大力加强“枫桥经验”和基层平安建设工作宣传力度，扩大宣传覆盖面，努力提高了广大群众对平安建设的知晓率、参与率和满意度。该项指标得分10分，得分率为100%。</w:t>
      </w:r>
    </w:p>
    <w:p w14:paraId="1173FC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（4）预算执行率10分，评价得分10分</w:t>
      </w:r>
    </w:p>
    <w:p w14:paraId="0459E8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该项目资金拨付审批程序完善，资金合理合法运用，做到了专款专用、落实使用到位，不存在节流、挤占、挪用、虚列支出等情况。该项指标得分10分，得分率为100%。</w:t>
      </w:r>
    </w:p>
    <w:p w14:paraId="4F9748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8.雪亮工程运行维护费</w:t>
      </w:r>
    </w:p>
    <w:p w14:paraId="77E3AD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（1）产出指标50分，评价得分50分</w:t>
      </w:r>
    </w:p>
    <w:p w14:paraId="454B5D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①质量指标。为确保雪亮工程运行可靠，我们协调有关单位对雪亮工程设备运行、网络连通情况进行了抽查验收，经抽查符合验收标准。经评价，该指标得分10分，得分率为100%。</w:t>
      </w:r>
    </w:p>
    <w:p w14:paraId="458795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②数量指标。我区雪亮工程已竣工验收并投入使用，安装视频监控点位共680个。经评价，该指标得分15分，得分率为100%。</w:t>
      </w:r>
    </w:p>
    <w:p w14:paraId="66C5E2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③时效指标。督导运维方做好雪亮工程设备日常维护工作，确保视频监控点位在线率达到95%以上。经评价，该指标得分15分，得分率为100%。</w:t>
      </w:r>
    </w:p>
    <w:p w14:paraId="634065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④成本指标。按照双方合同约定，及时给付了运维资金。经评价，该指标得分10分，得分率为100%。</w:t>
      </w:r>
    </w:p>
    <w:p w14:paraId="286233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（2）效果指标30分，评价得分30分</w:t>
      </w:r>
    </w:p>
    <w:p w14:paraId="3B5F30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可持续影响指标。通过公安等有关单位多次踩点和规划新建前端点位，基本实现我区视频监控全覆盖，满足了我区日常工作需要。该项指标得分30分，得分率为100%，该项指标绩效等级为优秀。</w:t>
      </w:r>
    </w:p>
    <w:p w14:paraId="4B4BA4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（3）满意度指标10分，评价得分10分</w:t>
      </w:r>
    </w:p>
    <w:p w14:paraId="0077ED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通过安装高清监控，便于公安机关巡查辖区人员、车辆、周围环境等信息，提高人民群众的安全感，增强群众满意度。该项指标得分10分，得分率为100%。</w:t>
      </w:r>
    </w:p>
    <w:p w14:paraId="257EF3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（4）预算执行率10分，评价得分10分</w:t>
      </w:r>
    </w:p>
    <w:p w14:paraId="5A3069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color w:val="auto"/>
          <w:sz w:val="32"/>
          <w:szCs w:val="32"/>
          <w:lang w:val="en-US" w:eastAsia="zh-CN"/>
        </w:rPr>
        <w:t xml:space="preserve"> 该项目资金拨付审批程序完善，资金合理合法运用，做到了专款专用、落实使用到位，不存在节流、挤占、挪用、虚列支出等情况。该项指标得分10分，得分率为100%。</w:t>
      </w:r>
    </w:p>
    <w:p w14:paraId="31A966B1">
      <w:pPr>
        <w:spacing w:line="580" w:lineRule="exact"/>
        <w:ind w:firstLine="640" w:firstLineChars="200"/>
        <w:rPr>
          <w:rFonts w:ascii="黑体" w:hAnsi="宋体" w:eastAsia="黑体"/>
          <w:color w:val="auto"/>
          <w:sz w:val="32"/>
          <w:szCs w:val="32"/>
        </w:rPr>
      </w:pPr>
      <w:r>
        <w:rPr>
          <w:rFonts w:hint="eastAsia" w:ascii="黑体" w:hAnsi="宋体" w:eastAsia="黑体"/>
          <w:color w:val="auto"/>
          <w:sz w:val="32"/>
          <w:szCs w:val="32"/>
        </w:rPr>
        <w:t>三、综合评价结论</w:t>
      </w:r>
    </w:p>
    <w:p w14:paraId="339DBD81">
      <w:pPr>
        <w:spacing w:line="580" w:lineRule="exact"/>
        <w:ind w:firstLine="643" w:firstLineChars="200"/>
        <w:rPr>
          <w:rFonts w:ascii="楷体_GB2312" w:hAnsi="宋体" w:eastAsia="楷体_GB2312"/>
          <w:b/>
          <w:color w:val="auto"/>
          <w:sz w:val="32"/>
          <w:szCs w:val="32"/>
        </w:rPr>
      </w:pPr>
      <w:r>
        <w:rPr>
          <w:rFonts w:hint="eastAsia" w:ascii="楷体_GB2312" w:hAnsi="宋体" w:eastAsia="楷体_GB2312"/>
          <w:b/>
          <w:color w:val="auto"/>
          <w:sz w:val="32"/>
          <w:szCs w:val="32"/>
        </w:rPr>
        <w:t>（一）部门全部评价项目优良率</w:t>
      </w:r>
    </w:p>
    <w:p w14:paraId="12B8EB69">
      <w:pPr>
        <w:spacing w:line="580" w:lineRule="exact"/>
        <w:ind w:firstLine="640" w:firstLineChars="200"/>
        <w:rPr>
          <w:rFonts w:ascii="楷体_GB2312" w:hAnsi="宋体" w:eastAsia="楷体_GB2312"/>
          <w:b/>
          <w:color w:val="auto"/>
          <w:sz w:val="32"/>
          <w:szCs w:val="32"/>
        </w:rPr>
      </w:pPr>
      <w:r>
        <w:rPr>
          <w:rFonts w:hint="eastAsia" w:ascii="仿宋_GB2312" w:hAnsi="宋体" w:eastAsia="仿宋_GB2312"/>
          <w:color w:val="auto"/>
          <w:sz w:val="32"/>
          <w:szCs w:val="32"/>
          <w:lang w:eastAsia="zh-CN"/>
        </w:rPr>
        <w:t>本部门</w:t>
      </w:r>
      <w:r>
        <w:rPr>
          <w:rFonts w:hint="eastAsia" w:ascii="仿宋_GB2312" w:hAnsi="宋体" w:eastAsia="仿宋_GB2312"/>
          <w:color w:val="auto"/>
          <w:sz w:val="32"/>
          <w:szCs w:val="32"/>
        </w:rPr>
        <w:t>全部项目评价总数</w:t>
      </w:r>
      <w:r>
        <w:rPr>
          <w:rFonts w:hint="eastAsia" w:ascii="仿宋_GB2312" w:hAnsi="宋体" w:eastAsia="仿宋_GB2312"/>
          <w:color w:val="auto"/>
          <w:sz w:val="32"/>
          <w:szCs w:val="32"/>
          <w:lang w:eastAsia="zh-CN"/>
        </w:rPr>
        <w:t>为</w:t>
      </w:r>
      <w:r>
        <w:rPr>
          <w:rFonts w:hint="eastAsia" w:ascii="仿宋_GB2312" w:hAnsi="宋体" w:eastAsia="仿宋_GB2312"/>
          <w:color w:val="auto"/>
          <w:sz w:val="32"/>
          <w:szCs w:val="32"/>
          <w:lang w:val="en-US" w:eastAsia="zh-CN"/>
        </w:rPr>
        <w:t>8个</w:t>
      </w: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项目评价指标数均为优，</w:t>
      </w:r>
      <w:r>
        <w:rPr>
          <w:rFonts w:hint="eastAsia" w:ascii="仿宋_GB2312" w:hAnsi="宋体" w:eastAsia="仿宋_GB2312"/>
          <w:color w:val="auto"/>
          <w:sz w:val="32"/>
          <w:szCs w:val="32"/>
        </w:rPr>
        <w:t>评优率</w:t>
      </w:r>
      <w:r>
        <w:rPr>
          <w:rFonts w:hint="eastAsia" w:ascii="仿宋_GB2312" w:hAnsi="宋体" w:eastAsia="仿宋_GB2312"/>
          <w:color w:val="auto"/>
          <w:sz w:val="32"/>
          <w:szCs w:val="32"/>
          <w:lang w:eastAsia="zh-CN"/>
        </w:rPr>
        <w:t>为</w:t>
      </w:r>
      <w:r>
        <w:rPr>
          <w:rFonts w:hint="eastAsia" w:ascii="仿宋_GB2312" w:hAnsi="宋体" w:eastAsia="仿宋_GB2312"/>
          <w:color w:val="auto"/>
          <w:sz w:val="32"/>
          <w:szCs w:val="32"/>
          <w:lang w:val="en-US" w:eastAsia="zh-CN"/>
        </w:rPr>
        <w:t>100%</w:t>
      </w:r>
      <w:r>
        <w:rPr>
          <w:rFonts w:hint="eastAsia" w:ascii="仿宋_GB2312" w:hAnsi="宋体" w:eastAsia="仿宋_GB2312"/>
          <w:color w:val="auto"/>
          <w:sz w:val="32"/>
          <w:szCs w:val="32"/>
        </w:rPr>
        <w:t>、评良率</w:t>
      </w:r>
      <w:r>
        <w:rPr>
          <w:rFonts w:hint="eastAsia" w:ascii="仿宋_GB2312" w:hAnsi="宋体" w:eastAsia="仿宋_GB2312"/>
          <w:color w:val="auto"/>
          <w:sz w:val="32"/>
          <w:szCs w:val="32"/>
          <w:lang w:eastAsia="zh-CN"/>
        </w:rPr>
        <w:t>为</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、评中率</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、评差率</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w:t>
      </w:r>
    </w:p>
    <w:p w14:paraId="0648E6CA">
      <w:pPr>
        <w:numPr>
          <w:ilvl w:val="0"/>
          <w:numId w:val="2"/>
        </w:numPr>
        <w:spacing w:beforeLines="50" w:line="580" w:lineRule="exact"/>
        <w:ind w:firstLine="643" w:firstLineChars="200"/>
        <w:rPr>
          <w:rFonts w:ascii="楷体_GB2312" w:hAnsi="宋体" w:eastAsia="楷体_GB2312"/>
          <w:b/>
          <w:color w:val="auto"/>
          <w:sz w:val="32"/>
          <w:szCs w:val="32"/>
        </w:rPr>
      </w:pPr>
      <w:r>
        <w:rPr>
          <w:rFonts w:hint="eastAsia" w:ascii="楷体_GB2312" w:hAnsi="宋体" w:eastAsia="楷体_GB2312"/>
          <w:b/>
          <w:color w:val="auto"/>
          <w:sz w:val="32"/>
          <w:szCs w:val="32"/>
        </w:rPr>
        <w:t>部门整体绩效目标的完成情况</w:t>
      </w:r>
      <w:r>
        <w:rPr>
          <w:rFonts w:hint="eastAsia" w:ascii="仿宋_GB2312" w:hAnsi="仿宋" w:eastAsia="仿宋_GB2312"/>
          <w:color w:val="auto"/>
          <w:sz w:val="32"/>
          <w:szCs w:val="32"/>
        </w:rPr>
        <w:t>。</w:t>
      </w:r>
    </w:p>
    <w:p w14:paraId="551653A4">
      <w:pPr>
        <w:numPr>
          <w:ilvl w:val="0"/>
          <w:numId w:val="0"/>
        </w:numPr>
        <w:spacing w:beforeLines="50" w:line="580" w:lineRule="exact"/>
        <w:rPr>
          <w:rFonts w:hint="default" w:ascii="楷体_GB2312" w:hAnsi="宋体" w:eastAsia="仿宋_GB2312"/>
          <w:b/>
          <w:color w:val="auto"/>
          <w:sz w:val="32"/>
          <w:szCs w:val="32"/>
          <w:lang w:val="en-US" w:eastAsia="zh-CN"/>
        </w:rPr>
      </w:pPr>
      <w:r>
        <w:rPr>
          <w:rFonts w:hint="eastAsia" w:ascii="仿宋_GB2312" w:hAnsi="仿宋" w:eastAsia="仿宋_GB2312"/>
          <w:color w:val="auto"/>
          <w:sz w:val="32"/>
          <w:szCs w:val="32"/>
          <w:lang w:val="en-US" w:eastAsia="zh-CN"/>
        </w:rPr>
        <w:t xml:space="preserve">    在区财政局的正确领导下，按照年初签订的绩效考核指标任务，充分调动和发挥领导班子和全体工作人员的积极性，认真履行相关职责，细化任务明确责任，依据指标抓进度，对照目标抓落实，全面完成了今年各项绩效考核指标任务，对于促进全区经济发展、维护社会稳定等方面发挥了重要的积极作用，取得了明显成效。</w:t>
      </w:r>
    </w:p>
    <w:p w14:paraId="4799A0E1">
      <w:pPr>
        <w:spacing w:line="580" w:lineRule="exact"/>
        <w:ind w:firstLine="640" w:firstLineChars="200"/>
        <w:rPr>
          <w:rFonts w:ascii="黑体" w:hAnsi="宋体" w:eastAsia="黑体"/>
          <w:color w:val="auto"/>
          <w:sz w:val="32"/>
          <w:szCs w:val="32"/>
        </w:rPr>
      </w:pPr>
      <w:r>
        <w:rPr>
          <w:rFonts w:hint="eastAsia" w:ascii="黑体" w:hAnsi="宋体" w:eastAsia="黑体"/>
          <w:color w:val="auto"/>
          <w:sz w:val="32"/>
          <w:szCs w:val="32"/>
        </w:rPr>
        <w:t>四、绩效项目完成情况分析及下一步改进措施。</w:t>
      </w:r>
    </w:p>
    <w:p w14:paraId="34B12BE7">
      <w:pPr>
        <w:snapToGrid w:val="0"/>
        <w:spacing w:line="580" w:lineRule="exact"/>
        <w:ind w:firstLine="640" w:firstLineChars="200"/>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eastAsia="zh-CN"/>
        </w:rPr>
        <w:t>我单位绩效评价为优等级的项目有：</w:t>
      </w:r>
      <w:r>
        <w:rPr>
          <w:rFonts w:hint="eastAsia" w:ascii="仿宋_GB2312" w:hAnsi="仿宋" w:eastAsia="仿宋_GB2312"/>
          <w:color w:val="auto"/>
          <w:sz w:val="32"/>
          <w:szCs w:val="32"/>
          <w:lang w:val="en-US" w:eastAsia="zh-CN"/>
        </w:rPr>
        <w:t>8个。</w:t>
      </w:r>
    </w:p>
    <w:p w14:paraId="075298A8">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 w:eastAsia="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司法所建设经费</w:t>
      </w:r>
    </w:p>
    <w:p w14:paraId="4961BC56">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560" w:lineRule="exact"/>
        <w:ind w:left="0" w:right="0" w:firstLine="720"/>
        <w:jc w:val="left"/>
        <w:textAlignment w:val="auto"/>
        <w:rPr>
          <w:rFonts w:hint="eastAsia" w:ascii="仿宋_GB2312" w:hAnsi="仿宋_GB2312" w:eastAsia="仿宋_GB2312" w:cs="仿宋_GB2312"/>
          <w:color w:val="auto"/>
          <w:kern w:val="2"/>
          <w:sz w:val="32"/>
          <w:szCs w:val="32"/>
          <w:lang w:val="zh-CN" w:eastAsia="zh-CN" w:bidi="ar-SA"/>
        </w:rPr>
      </w:pPr>
      <w:r>
        <w:rPr>
          <w:rFonts w:hint="eastAsia" w:ascii="仿宋_GB2312" w:hAnsi="仿宋_GB2312" w:eastAsia="仿宋_GB2312" w:cs="仿宋_GB2312"/>
          <w:color w:val="auto"/>
          <w:sz w:val="32"/>
          <w:szCs w:val="32"/>
          <w:lang w:val="en-US" w:eastAsia="zh-CN"/>
        </w:rPr>
        <w:t>对编入预算的司法所建设经费完成情况自评分数为98分，评价为优。下一步改进措施：</w:t>
      </w:r>
      <w:r>
        <w:rPr>
          <w:rFonts w:hint="eastAsia" w:ascii="仿宋_GB2312" w:hAnsi="仿宋_GB2312" w:eastAsia="仿宋_GB2312" w:cs="仿宋_GB2312"/>
          <w:color w:val="auto"/>
          <w:kern w:val="2"/>
          <w:sz w:val="32"/>
          <w:szCs w:val="32"/>
          <w:lang w:val="zh-CN" w:eastAsia="zh-CN" w:bidi="ar-SA"/>
        </w:rPr>
        <w:t>加大司法所工作人员培训力度。加大基层司法所工作经费和装备购置经费投入力度，确保基层司法所工作更好开展。</w:t>
      </w:r>
    </w:p>
    <w:p w14:paraId="3A492EDC">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Chars="200" w:right="0" w:rightChars="0" w:firstLine="320" w:firstLineChars="1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color w:val="auto"/>
          <w:sz w:val="32"/>
          <w:szCs w:val="32"/>
          <w:lang w:val="en-US" w:eastAsia="zh-CN"/>
        </w:rPr>
        <w:t>法律顾问经费</w:t>
      </w:r>
    </w:p>
    <w:p w14:paraId="4630F08F">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对编入预算的法律顾问经费完成情况自评分数为99分，评价为优。下一步改进措施：进一步细化法律顾问工作任务书，使其与后期考核相匹配，提高法律顾问的履职情况。</w:t>
      </w:r>
    </w:p>
    <w:p w14:paraId="392A37E2">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3.</w:t>
      </w:r>
      <w:r>
        <w:rPr>
          <w:rFonts w:hint="eastAsia" w:ascii="仿宋_GB2312" w:hAnsi="仿宋_GB2312" w:eastAsia="仿宋_GB2312" w:cs="仿宋_GB2312"/>
          <w:color w:val="auto"/>
          <w:sz w:val="32"/>
          <w:szCs w:val="32"/>
          <w:lang w:val="en-US" w:eastAsia="zh-CN"/>
        </w:rPr>
        <w:t>社区矫正工作经费</w:t>
      </w:r>
    </w:p>
    <w:p w14:paraId="40DF141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对编入预算的普法宣传与社区矫正工作经费完成情况自评分数为8分，评价为优。下一步改进措施：</w:t>
      </w:r>
      <w:r>
        <w:rPr>
          <w:rFonts w:hint="eastAsia" w:ascii="仿宋_GB2312" w:hAnsi="仿宋_GB2312" w:eastAsia="仿宋_GB2312" w:cs="仿宋_GB2312"/>
          <w:b w:val="0"/>
          <w:bCs w:val="0"/>
          <w:color w:val="auto"/>
          <w:sz w:val="32"/>
          <w:szCs w:val="32"/>
          <w:lang w:val="en-US" w:eastAsia="zh-CN"/>
        </w:rPr>
        <w:t>加强社区矫正平台建设，进一步规范社区矫正工作。</w:t>
      </w:r>
    </w:p>
    <w:p w14:paraId="08654307">
      <w:pPr>
        <w:keepNext w:val="0"/>
        <w:keepLines w:val="0"/>
        <w:pageBreakBefore w:val="0"/>
        <w:kinsoku/>
        <w:wordWrap/>
        <w:overflowPunct/>
        <w:topLinePunct w:val="0"/>
        <w:autoSpaceDE/>
        <w:autoSpaceDN/>
        <w:bidi w:val="0"/>
        <w:snapToGrid/>
        <w:spacing w:line="560" w:lineRule="exact"/>
        <w:ind w:firstLine="640" w:firstLineChars="200"/>
        <w:textAlignment w:val="auto"/>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4.</w:t>
      </w:r>
      <w:r>
        <w:rPr>
          <w:rFonts w:ascii="仿宋_GB2312" w:hAnsi="楷体" w:eastAsia="仿宋_GB2312" w:cs="黑体"/>
          <w:color w:val="auto"/>
          <w:sz w:val="32"/>
          <w:szCs w:val="32"/>
        </w:rPr>
        <w:t xml:space="preserve"> </w:t>
      </w:r>
      <w:r>
        <w:rPr>
          <w:rFonts w:hint="eastAsia" w:ascii="仿宋_GB2312" w:hAnsi="楷体" w:eastAsia="仿宋_GB2312" w:cs="黑体"/>
          <w:color w:val="auto"/>
          <w:sz w:val="32"/>
          <w:szCs w:val="32"/>
        </w:rPr>
        <w:t>法律援助、人民调解工作经费</w:t>
      </w:r>
    </w:p>
    <w:p w14:paraId="499F7435">
      <w:pPr>
        <w:keepNext w:val="0"/>
        <w:keepLines w:val="0"/>
        <w:pageBreakBefore w:val="0"/>
        <w:kinsoku/>
        <w:wordWrap/>
        <w:overflowPunct/>
        <w:topLinePunct w:val="0"/>
        <w:autoSpaceDE/>
        <w:autoSpaceDN/>
        <w:bidi w:val="0"/>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对编入预算的</w:t>
      </w:r>
      <w:r>
        <w:rPr>
          <w:rFonts w:hint="eastAsia" w:ascii="仿宋_GB2312" w:hAnsi="楷体" w:eastAsia="仿宋_GB2312" w:cs="黑体"/>
          <w:color w:val="auto"/>
          <w:sz w:val="32"/>
          <w:szCs w:val="32"/>
        </w:rPr>
        <w:t>法律援助、人民调解工作经费</w:t>
      </w:r>
      <w:r>
        <w:rPr>
          <w:rFonts w:hint="eastAsia" w:ascii="仿宋_GB2312" w:hAnsi="仿宋_GB2312" w:eastAsia="仿宋_GB2312" w:cs="仿宋_GB2312"/>
          <w:color w:val="auto"/>
          <w:sz w:val="32"/>
          <w:szCs w:val="32"/>
        </w:rPr>
        <w:t>完成情况自评分数为</w:t>
      </w:r>
      <w:r>
        <w:rPr>
          <w:rFonts w:hint="eastAsia" w:ascii="仿宋_GB2312" w:hAnsi="仿宋_GB2312" w:eastAsia="仿宋_GB2312" w:cs="仿宋_GB2312"/>
          <w:color w:val="auto"/>
          <w:sz w:val="32"/>
          <w:szCs w:val="32"/>
          <w:lang w:val="en-US" w:eastAsia="zh-CN"/>
        </w:rPr>
        <w:t>98</w:t>
      </w:r>
      <w:r>
        <w:rPr>
          <w:rFonts w:hint="eastAsia" w:ascii="仿宋_GB2312" w:hAnsi="仿宋_GB2312" w:eastAsia="仿宋_GB2312" w:cs="仿宋_GB2312"/>
          <w:color w:val="auto"/>
          <w:sz w:val="32"/>
          <w:szCs w:val="32"/>
        </w:rPr>
        <w:t>分，评价为优。下一步改进措施：加强人民调解和法律援助工作，积极组建新调解委员会。</w:t>
      </w:r>
    </w:p>
    <w:p w14:paraId="486EE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5.维稳工作经费专项资金。</w:t>
      </w:r>
    </w:p>
    <w:p w14:paraId="322D1A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hint="eastAsia" w:ascii="仿宋_GB2312" w:hAnsi="仿宋_GB2312" w:eastAsia="仿宋_GB2312" w:cs="仿宋_GB2312"/>
          <w:color w:val="auto"/>
          <w:sz w:val="32"/>
          <w:szCs w:val="32"/>
        </w:rPr>
        <w:t>维稳工作对编入预算的全部项目完成情况自评分数为</w:t>
      </w:r>
      <w:r>
        <w:rPr>
          <w:rFonts w:hint="eastAsia" w:ascii="仿宋_GB2312" w:hAnsi="仿宋_GB2312" w:eastAsia="仿宋_GB2312" w:cs="仿宋_GB2312"/>
          <w:color w:val="auto"/>
          <w:sz w:val="32"/>
          <w:szCs w:val="32"/>
          <w:lang w:val="en-US" w:eastAsia="zh-CN"/>
        </w:rPr>
        <w:t>98</w:t>
      </w:r>
      <w:r>
        <w:rPr>
          <w:rFonts w:hint="eastAsia" w:ascii="仿宋_GB2312" w:hAnsi="仿宋_GB2312" w:eastAsia="仿宋_GB2312" w:cs="仿宋_GB2312"/>
          <w:color w:val="auto"/>
          <w:sz w:val="32"/>
          <w:szCs w:val="32"/>
        </w:rPr>
        <w:t>分，评价为优。下一步改进措施：科学设置绩效目标及指标，在年初制定绩效目标时，充分考量相关影响因素，强化事前准备工作，完善指标体系建设。</w:t>
      </w:r>
    </w:p>
    <w:p w14:paraId="0F5870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6.社会治安保险项目工作经费</w:t>
      </w:r>
    </w:p>
    <w:p w14:paraId="357250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对编入预算的社会治安保险项目完成情况自评分数为98分，评价为优。下一步改进措施：</w:t>
      </w:r>
      <w:r>
        <w:rPr>
          <w:rFonts w:hint="eastAsia" w:ascii="仿宋_GB2312" w:hAnsi="仿宋_GB2312" w:eastAsia="仿宋_GB2312" w:cs="仿宋_GB2312"/>
          <w:color w:val="auto"/>
          <w:sz w:val="32"/>
          <w:szCs w:val="32"/>
          <w:lang w:eastAsia="zh-CN"/>
        </w:rPr>
        <w:t>我们将进一步</w:t>
      </w:r>
      <w:r>
        <w:rPr>
          <w:rFonts w:hint="eastAsia" w:ascii="仿宋_GB2312" w:hAnsi="仿宋_GB2312" w:eastAsia="仿宋_GB2312" w:cs="仿宋_GB2312"/>
          <w:color w:val="auto"/>
          <w:sz w:val="32"/>
          <w:szCs w:val="32"/>
        </w:rPr>
        <w:t>推进“治安保险”</w:t>
      </w:r>
      <w:r>
        <w:rPr>
          <w:rFonts w:hint="eastAsia" w:ascii="仿宋_GB2312" w:hAnsi="仿宋_GB2312" w:eastAsia="仿宋_GB2312" w:cs="仿宋_GB2312"/>
          <w:color w:val="auto"/>
          <w:sz w:val="32"/>
          <w:szCs w:val="32"/>
          <w:lang w:eastAsia="zh-CN"/>
        </w:rPr>
        <w:t>工作</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rPr>
        <w:t>有力抓手，通过发放宣传单、明白纸、便民联系卡以及在交通干道、</w:t>
      </w:r>
      <w:r>
        <w:rPr>
          <w:rFonts w:hint="eastAsia" w:ascii="仿宋_GB2312" w:hAnsi="仿宋_GB2312" w:eastAsia="仿宋_GB2312" w:cs="仿宋_GB2312"/>
          <w:color w:val="auto"/>
          <w:sz w:val="32"/>
          <w:szCs w:val="32"/>
          <w:lang w:eastAsia="zh-CN"/>
        </w:rPr>
        <w:t>人员密集场所</w:t>
      </w:r>
      <w:r>
        <w:rPr>
          <w:rFonts w:hint="eastAsia" w:ascii="仿宋_GB2312" w:hAnsi="仿宋_GB2312" w:eastAsia="仿宋_GB2312" w:cs="仿宋_GB2312"/>
          <w:color w:val="auto"/>
          <w:sz w:val="32"/>
          <w:szCs w:val="32"/>
        </w:rPr>
        <w:t>等显要位置制作展牌、悬挂横幅、张贴标语等形式，广泛深入地宣传治安保险的目的、意义、保险范围、理赔办法、理赔典型案例等内容，让广大群众明白了解“每天投入八分钱、可保平安一整年”的降风减灾道理，充分认识治安保险不仅是进一步加强治安防范，推动平安建设深入健康发展的创新举措，更是有效转移群众治安风险、解除群众后顾之忧、促进群众生产生活平安和谐的惠民工程</w:t>
      </w:r>
      <w:r>
        <w:rPr>
          <w:rFonts w:hint="eastAsia" w:ascii="仿宋_GB2312" w:hAnsi="仿宋_GB2312" w:eastAsia="仿宋_GB2312" w:cs="仿宋_GB2312"/>
          <w:color w:val="auto"/>
          <w:sz w:val="32"/>
          <w:szCs w:val="32"/>
          <w:lang w:eastAsia="zh-CN"/>
        </w:rPr>
        <w:t>。</w:t>
      </w:r>
    </w:p>
    <w:p w14:paraId="3A44F4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7.综治重点工作经费。</w:t>
      </w:r>
    </w:p>
    <w:p w14:paraId="54DA8C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对编入预算的综治重点工作完成情况自评分数为100分，评价为优。下一步改进措施：</w:t>
      </w:r>
      <w:r>
        <w:rPr>
          <w:rFonts w:hint="eastAsia" w:ascii="仿宋_GB2312" w:hAnsi="仿宋_GB2312" w:eastAsia="仿宋_GB2312" w:cs="仿宋_GB2312"/>
          <w:color w:val="auto"/>
          <w:sz w:val="32"/>
          <w:szCs w:val="32"/>
          <w:lang w:eastAsia="zh-CN"/>
        </w:rPr>
        <w:t>为进一步加强党政领导干部保一方平安的政治责任意识，深入推进平安高新建设活动，我区制定下发了《高新区</w:t>
      </w:r>
      <w:r>
        <w:rPr>
          <w:rFonts w:hint="eastAsia" w:ascii="仿宋_GB2312" w:hAnsi="仿宋_GB2312" w:eastAsia="仿宋_GB2312" w:cs="仿宋_GB2312"/>
          <w:color w:val="auto"/>
          <w:sz w:val="32"/>
          <w:szCs w:val="32"/>
          <w:lang w:val="en-US" w:eastAsia="zh-CN"/>
        </w:rPr>
        <w:t>2022年</w:t>
      </w:r>
      <w:r>
        <w:rPr>
          <w:rFonts w:hint="eastAsia" w:ascii="仿宋_GB2312" w:hAnsi="仿宋_GB2312" w:eastAsia="仿宋_GB2312" w:cs="仿宋_GB2312"/>
          <w:color w:val="auto"/>
          <w:sz w:val="32"/>
          <w:szCs w:val="32"/>
          <w:lang w:eastAsia="zh-CN"/>
        </w:rPr>
        <w:t>平安建设工作要点》，构建了“党政领导、综治协调、部分负责、社会协调、公众参与”的工作格局。</w:t>
      </w:r>
    </w:p>
    <w:p w14:paraId="6BA474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9.雪亮工程运行维护费。</w:t>
      </w:r>
    </w:p>
    <w:p w14:paraId="3B91CC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对编入预算的雪亮工程运行维护费完成情况自评分数为100分，评价为优。下一步改进措施：继续推进雪亮工程建设，协调各有关单位共同做好雪亮工程建设，督促运维单位做好设备日常维护。</w:t>
      </w:r>
    </w:p>
    <w:p w14:paraId="32A0FAD0">
      <w:pPr>
        <w:spacing w:line="580" w:lineRule="exact"/>
        <w:ind w:firstLine="640" w:firstLineChars="200"/>
        <w:rPr>
          <w:rFonts w:ascii="黑体" w:hAnsi="宋体" w:eastAsia="黑体"/>
          <w:color w:val="auto"/>
          <w:sz w:val="32"/>
          <w:szCs w:val="32"/>
        </w:rPr>
      </w:pPr>
      <w:r>
        <w:rPr>
          <w:rFonts w:hint="eastAsia" w:ascii="黑体" w:hAnsi="宋体" w:eastAsia="黑体"/>
          <w:color w:val="auto"/>
          <w:sz w:val="32"/>
          <w:szCs w:val="32"/>
        </w:rPr>
        <w:t>五、绩效评价结果拟应用情况</w:t>
      </w:r>
    </w:p>
    <w:p w14:paraId="675D132B">
      <w:pPr>
        <w:spacing w:line="520" w:lineRule="exact"/>
        <w:ind w:firstLine="640" w:firstLineChars="20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绩效理念逐步树立。通过绩效评价，各处室逐步树立了绩效理念。对绩效评价工作的态度逐渐由“被动接受”变为“主动实施”。通过设定绩效目标，部门清楚地了解实施项目索要取得社会效益和经济效益，其职能和目标得到了进一步明确，部门自我约束意识及责任意识明显提高。</w:t>
      </w:r>
    </w:p>
    <w:p w14:paraId="76D8FC38">
      <w:pPr>
        <w:spacing w:line="520" w:lineRule="exact"/>
        <w:ind w:firstLine="640" w:firstLineChars="20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支出结构得到优化。项目开展与绩效评价相结合，一方面有利于财政部门优化财政支出结构，合理分配资金，使有限的财政资金发展更大的效益。另一方面，通过开展绩效评价，为项目单位找出项目管理中存在的问题及其原因，促使预算部门和单位积极采取措施，加强项目的规划与科学论证，健全项目资金的核算与科学论证，健全项目资金的核算与管理制度，改进资金使用管理方法，逐步形成自我约束、内部规范的良性机制，提高了管理水平和资金使用效益。</w:t>
      </w:r>
    </w:p>
    <w:p w14:paraId="3E9654D2">
      <w:pPr>
        <w:spacing w:line="580" w:lineRule="exact"/>
        <w:ind w:left="1910" w:leftChars="300" w:hanging="1280" w:hangingChars="400"/>
        <w:rPr>
          <w:rFonts w:ascii="仿宋_GB2312" w:eastAsia="仿宋_GB2312" w:cs="仿宋_GB2312"/>
          <w:color w:val="auto"/>
          <w:sz w:val="32"/>
          <w:szCs w:val="32"/>
        </w:rPr>
      </w:pPr>
      <w:r>
        <w:rPr>
          <w:rFonts w:hint="eastAsia" w:ascii="仿宋_GB2312" w:hAnsi="宋体" w:eastAsia="仿宋_GB2312"/>
          <w:color w:val="auto"/>
          <w:sz w:val="32"/>
          <w:szCs w:val="32"/>
        </w:rPr>
        <w:t>附件：</w:t>
      </w:r>
      <w:r>
        <w:rPr>
          <w:rFonts w:ascii="仿宋_GB2312" w:eastAsia="仿宋_GB2312" w:cs="仿宋_GB2312"/>
          <w:color w:val="auto"/>
          <w:sz w:val="32"/>
          <w:szCs w:val="32"/>
        </w:rPr>
        <w:t>1.20</w:t>
      </w:r>
      <w:r>
        <w:rPr>
          <w:rFonts w:hint="eastAsia" w:ascii="仿宋_GB2312" w:eastAsia="仿宋_GB2312" w:cs="仿宋_GB2312"/>
          <w:color w:val="auto"/>
          <w:sz w:val="32"/>
          <w:szCs w:val="32"/>
          <w:lang w:val="en-US" w:eastAsia="zh-CN"/>
        </w:rPr>
        <w:t>22</w:t>
      </w:r>
      <w:r>
        <w:rPr>
          <w:rFonts w:hint="eastAsia" w:ascii="仿宋_GB2312" w:eastAsia="仿宋_GB2312" w:cs="仿宋_GB2312"/>
          <w:color w:val="auto"/>
          <w:sz w:val="32"/>
          <w:szCs w:val="32"/>
        </w:rPr>
        <w:t>年高新区部门绩效自评情况统计表</w:t>
      </w:r>
    </w:p>
    <w:p w14:paraId="686362B5">
      <w:pPr>
        <w:numPr>
          <w:ilvl w:val="0"/>
          <w:numId w:val="3"/>
        </w:numPr>
        <w:spacing w:line="580" w:lineRule="exact"/>
        <w:ind w:left="1590" w:leftChars="0" w:firstLine="0" w:firstLineChars="0"/>
        <w:rPr>
          <w:rFonts w:ascii="仿宋_GB2312" w:eastAsia="仿宋_GB2312"/>
          <w:color w:val="auto"/>
          <w:sz w:val="32"/>
          <w:szCs w:val="32"/>
        </w:rPr>
      </w:pPr>
      <w:r>
        <w:rPr>
          <w:rFonts w:hint="eastAsia" w:ascii="仿宋_GB2312" w:eastAsia="仿宋_GB2312"/>
          <w:color w:val="auto"/>
          <w:sz w:val="32"/>
          <w:szCs w:val="32"/>
        </w:rPr>
        <w:t>部门预算项目绩效自评表（</w:t>
      </w:r>
      <w:r>
        <w:rPr>
          <w:rFonts w:ascii="仿宋_GB2312" w:eastAsia="仿宋_GB2312"/>
          <w:color w:val="auto"/>
          <w:sz w:val="32"/>
          <w:szCs w:val="32"/>
        </w:rPr>
        <w:t>20</w:t>
      </w:r>
      <w:r>
        <w:rPr>
          <w:rFonts w:hint="eastAsia" w:ascii="仿宋_GB2312" w:eastAsia="仿宋_GB2312"/>
          <w:color w:val="auto"/>
          <w:sz w:val="32"/>
          <w:szCs w:val="32"/>
          <w:lang w:val="en-US" w:eastAsia="zh-CN"/>
        </w:rPr>
        <w:t>22</w:t>
      </w:r>
      <w:r>
        <w:rPr>
          <w:rFonts w:hint="eastAsia" w:ascii="仿宋_GB2312" w:eastAsia="仿宋_GB2312"/>
          <w:color w:val="auto"/>
          <w:sz w:val="32"/>
          <w:szCs w:val="32"/>
        </w:rPr>
        <w:t>年度）</w:t>
      </w:r>
      <w:r>
        <w:rPr>
          <w:rFonts w:ascii="仿宋_GB2312" w:eastAsia="仿宋_GB2312"/>
          <w:color w:val="auto"/>
          <w:sz w:val="32"/>
          <w:szCs w:val="32"/>
        </w:rPr>
        <w:t xml:space="preserve"> </w:t>
      </w:r>
    </w:p>
    <w:p w14:paraId="3730559A">
      <w:pPr>
        <w:numPr>
          <w:ilvl w:val="0"/>
          <w:numId w:val="0"/>
        </w:numPr>
        <w:spacing w:line="580" w:lineRule="exact"/>
        <w:ind w:left="1590" w:leftChars="0"/>
        <w:rPr>
          <w:rFonts w:ascii="仿宋_GB2312" w:eastAsia="仿宋_GB2312"/>
          <w:color w:val="auto"/>
          <w:sz w:val="32"/>
          <w:szCs w:val="32"/>
        </w:rPr>
      </w:pPr>
    </w:p>
    <w:p w14:paraId="3452CE31">
      <w:pPr>
        <w:rPr>
          <w:color w:val="0000FF"/>
        </w:rPr>
      </w:pPr>
    </w:p>
    <w:p w14:paraId="6D482F3A">
      <w:pPr>
        <w:rPr>
          <w:color w:val="auto"/>
        </w:rPr>
      </w:pPr>
    </w:p>
    <w:p w14:paraId="557E5B05">
      <w:pPr>
        <w:rPr>
          <w:color w:val="auto"/>
        </w:rPr>
      </w:pPr>
    </w:p>
    <w:tbl>
      <w:tblPr>
        <w:tblStyle w:val="5"/>
        <w:tblW w:w="526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04"/>
        <w:gridCol w:w="1080"/>
        <w:gridCol w:w="1208"/>
        <w:gridCol w:w="1565"/>
        <w:gridCol w:w="1489"/>
        <w:gridCol w:w="236"/>
        <w:gridCol w:w="1679"/>
        <w:gridCol w:w="487"/>
      </w:tblGrid>
      <w:tr w14:paraId="65CC6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4" w:type="pct"/>
            <w:tcBorders>
              <w:top w:val="nil"/>
              <w:left w:val="nil"/>
              <w:bottom w:val="nil"/>
              <w:right w:val="nil"/>
            </w:tcBorders>
            <w:shd w:val="clear" w:color="auto" w:fill="auto"/>
            <w:noWrap/>
            <w:vAlign w:val="bottom"/>
          </w:tcPr>
          <w:p w14:paraId="5DC00316">
            <w:pPr>
              <w:keepNext w:val="0"/>
              <w:keepLines w:val="0"/>
              <w:widowControl/>
              <w:suppressLineNumbers w:val="0"/>
              <w:jc w:val="left"/>
              <w:textAlignment w:val="bottom"/>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附件1</w:t>
            </w:r>
          </w:p>
        </w:tc>
        <w:tc>
          <w:tcPr>
            <w:tcW w:w="565" w:type="pct"/>
            <w:tcBorders>
              <w:top w:val="nil"/>
              <w:left w:val="nil"/>
              <w:bottom w:val="nil"/>
              <w:right w:val="nil"/>
            </w:tcBorders>
            <w:shd w:val="clear" w:color="auto" w:fill="auto"/>
            <w:noWrap/>
            <w:vAlign w:val="bottom"/>
          </w:tcPr>
          <w:p w14:paraId="1EE1ABF1">
            <w:pPr>
              <w:rPr>
                <w:rFonts w:hint="eastAsia" w:ascii="宋体" w:hAnsi="宋体" w:eastAsia="宋体" w:cs="宋体"/>
                <w:i w:val="0"/>
                <w:iCs w:val="0"/>
                <w:color w:val="000000"/>
                <w:sz w:val="24"/>
                <w:szCs w:val="24"/>
                <w:u w:val="none"/>
              </w:rPr>
            </w:pPr>
          </w:p>
        </w:tc>
        <w:tc>
          <w:tcPr>
            <w:tcW w:w="632" w:type="pct"/>
            <w:tcBorders>
              <w:top w:val="nil"/>
              <w:left w:val="nil"/>
              <w:bottom w:val="nil"/>
              <w:right w:val="nil"/>
            </w:tcBorders>
            <w:shd w:val="clear" w:color="auto" w:fill="auto"/>
            <w:noWrap/>
            <w:vAlign w:val="bottom"/>
          </w:tcPr>
          <w:p w14:paraId="6785BC13">
            <w:pPr>
              <w:rPr>
                <w:rFonts w:hint="eastAsia" w:ascii="宋体" w:hAnsi="宋体" w:eastAsia="宋体" w:cs="宋体"/>
                <w:i w:val="0"/>
                <w:iCs w:val="0"/>
                <w:color w:val="000000"/>
                <w:sz w:val="24"/>
                <w:szCs w:val="24"/>
                <w:u w:val="none"/>
              </w:rPr>
            </w:pPr>
          </w:p>
        </w:tc>
        <w:tc>
          <w:tcPr>
            <w:tcW w:w="819" w:type="pct"/>
            <w:tcBorders>
              <w:top w:val="nil"/>
              <w:left w:val="nil"/>
              <w:bottom w:val="nil"/>
              <w:right w:val="nil"/>
            </w:tcBorders>
            <w:shd w:val="clear" w:color="auto" w:fill="auto"/>
            <w:noWrap/>
            <w:vAlign w:val="bottom"/>
          </w:tcPr>
          <w:p w14:paraId="72D744AE">
            <w:pPr>
              <w:rPr>
                <w:rFonts w:hint="eastAsia" w:ascii="宋体" w:hAnsi="宋体" w:eastAsia="宋体" w:cs="宋体"/>
                <w:i w:val="0"/>
                <w:iCs w:val="0"/>
                <w:color w:val="000000"/>
                <w:sz w:val="24"/>
                <w:szCs w:val="24"/>
                <w:u w:val="none"/>
              </w:rPr>
            </w:pPr>
          </w:p>
        </w:tc>
        <w:tc>
          <w:tcPr>
            <w:tcW w:w="779" w:type="pct"/>
            <w:tcBorders>
              <w:top w:val="nil"/>
              <w:left w:val="nil"/>
              <w:bottom w:val="nil"/>
              <w:right w:val="nil"/>
            </w:tcBorders>
            <w:shd w:val="clear" w:color="auto" w:fill="auto"/>
            <w:noWrap/>
            <w:vAlign w:val="bottom"/>
          </w:tcPr>
          <w:p w14:paraId="0BD4ADA6">
            <w:pPr>
              <w:rPr>
                <w:rFonts w:hint="eastAsia" w:ascii="宋体" w:hAnsi="宋体" w:eastAsia="宋体" w:cs="宋体"/>
                <w:i w:val="0"/>
                <w:iCs w:val="0"/>
                <w:color w:val="000000"/>
                <w:sz w:val="24"/>
                <w:szCs w:val="24"/>
                <w:u w:val="none"/>
              </w:rPr>
            </w:pPr>
          </w:p>
        </w:tc>
        <w:tc>
          <w:tcPr>
            <w:tcW w:w="123" w:type="pct"/>
            <w:tcBorders>
              <w:top w:val="nil"/>
              <w:left w:val="nil"/>
              <w:bottom w:val="nil"/>
              <w:right w:val="nil"/>
            </w:tcBorders>
            <w:shd w:val="clear" w:color="auto" w:fill="auto"/>
            <w:noWrap/>
            <w:vAlign w:val="bottom"/>
          </w:tcPr>
          <w:p w14:paraId="30466613">
            <w:pPr>
              <w:rPr>
                <w:rFonts w:hint="eastAsia" w:ascii="宋体" w:hAnsi="宋体" w:eastAsia="宋体" w:cs="宋体"/>
                <w:i w:val="0"/>
                <w:iCs w:val="0"/>
                <w:color w:val="000000"/>
                <w:sz w:val="24"/>
                <w:szCs w:val="24"/>
                <w:u w:val="none"/>
              </w:rPr>
            </w:pPr>
          </w:p>
        </w:tc>
        <w:tc>
          <w:tcPr>
            <w:tcW w:w="1134" w:type="pct"/>
            <w:gridSpan w:val="2"/>
            <w:tcBorders>
              <w:top w:val="nil"/>
              <w:left w:val="nil"/>
              <w:bottom w:val="nil"/>
              <w:right w:val="nil"/>
            </w:tcBorders>
            <w:shd w:val="clear" w:color="auto" w:fill="auto"/>
            <w:noWrap/>
            <w:vAlign w:val="bottom"/>
          </w:tcPr>
          <w:p w14:paraId="69450BAD">
            <w:pPr>
              <w:rPr>
                <w:rFonts w:hint="eastAsia" w:ascii="宋体" w:hAnsi="宋体" w:eastAsia="宋体" w:cs="宋体"/>
                <w:i w:val="0"/>
                <w:iCs w:val="0"/>
                <w:color w:val="000000"/>
                <w:sz w:val="24"/>
                <w:szCs w:val="24"/>
                <w:u w:val="none"/>
              </w:rPr>
            </w:pPr>
          </w:p>
        </w:tc>
      </w:tr>
      <w:tr w14:paraId="63234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760" w:hRule="atLeast"/>
        </w:trPr>
        <w:tc>
          <w:tcPr>
            <w:tcW w:w="4744" w:type="pct"/>
            <w:gridSpan w:val="7"/>
            <w:tcBorders>
              <w:top w:val="nil"/>
              <w:left w:val="nil"/>
              <w:bottom w:val="nil"/>
              <w:right w:val="nil"/>
            </w:tcBorders>
            <w:shd w:val="clear" w:color="auto" w:fill="auto"/>
            <w:noWrap/>
            <w:vAlign w:val="center"/>
          </w:tcPr>
          <w:p w14:paraId="43041468">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高新区政法委部门整体支出绩效自评表（2022年）</w:t>
            </w:r>
          </w:p>
        </w:tc>
      </w:tr>
      <w:tr w14:paraId="0075D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480" w:hRule="atLeast"/>
        </w:trPr>
        <w:tc>
          <w:tcPr>
            <w:tcW w:w="4744" w:type="pct"/>
            <w:gridSpan w:val="7"/>
            <w:tcBorders>
              <w:top w:val="nil"/>
              <w:left w:val="nil"/>
              <w:bottom w:val="nil"/>
              <w:right w:val="nil"/>
            </w:tcBorders>
            <w:shd w:val="clear" w:color="auto" w:fill="auto"/>
            <w:noWrap/>
            <w:vAlign w:val="center"/>
          </w:tcPr>
          <w:p w14:paraId="43E7358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填报单位：中共唐山高新技术产业开发区工作委员会政法委员会</w:t>
            </w:r>
          </w:p>
        </w:tc>
      </w:tr>
      <w:tr w14:paraId="558B2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480" w:hRule="atLeast"/>
        </w:trPr>
        <w:tc>
          <w:tcPr>
            <w:tcW w:w="474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44B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部门整体支出情况</w:t>
            </w:r>
          </w:p>
        </w:tc>
      </w:tr>
      <w:tr w14:paraId="56E45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540" w:hRule="atLeast"/>
        </w:trPr>
        <w:tc>
          <w:tcPr>
            <w:tcW w:w="94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F9F96">
            <w:pPr>
              <w:jc w:val="center"/>
              <w:rPr>
                <w:rFonts w:hint="eastAsia" w:ascii="宋体" w:hAnsi="宋体" w:eastAsia="宋体" w:cs="宋体"/>
                <w:i w:val="0"/>
                <w:iCs w:val="0"/>
                <w:color w:val="000000"/>
                <w:sz w:val="22"/>
                <w:szCs w:val="22"/>
                <w:u w:val="none"/>
              </w:rPr>
            </w:pPr>
          </w:p>
        </w:tc>
        <w:tc>
          <w:tcPr>
            <w:tcW w:w="56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A23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整体支出</w:t>
            </w:r>
          </w:p>
        </w:tc>
        <w:tc>
          <w:tcPr>
            <w:tcW w:w="1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328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基本支出金额</w:t>
            </w:r>
          </w:p>
        </w:tc>
        <w:tc>
          <w:tcPr>
            <w:tcW w:w="178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C8E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项目支出金额</w:t>
            </w:r>
          </w:p>
        </w:tc>
      </w:tr>
      <w:tr w14:paraId="661A8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54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D20BC">
            <w:pPr>
              <w:jc w:val="center"/>
              <w:rPr>
                <w:rFonts w:hint="eastAsia" w:ascii="宋体" w:hAnsi="宋体" w:eastAsia="宋体" w:cs="宋体"/>
                <w:i w:val="0"/>
                <w:iCs w:val="0"/>
                <w:color w:val="000000"/>
                <w:sz w:val="22"/>
                <w:szCs w:val="22"/>
                <w:u w:val="none"/>
              </w:rPr>
            </w:pPr>
          </w:p>
        </w:tc>
        <w:tc>
          <w:tcPr>
            <w:tcW w:w="56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5E605">
            <w:pPr>
              <w:jc w:val="center"/>
              <w:rPr>
                <w:rFonts w:hint="eastAsia" w:ascii="宋体" w:hAnsi="宋体" w:eastAsia="宋体" w:cs="宋体"/>
                <w:i w:val="0"/>
                <w:iCs w:val="0"/>
                <w:color w:val="000000"/>
                <w:sz w:val="22"/>
                <w:szCs w:val="22"/>
                <w:u w:val="none"/>
              </w:rPr>
            </w:pP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90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人员支出</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68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c>
          <w:tcPr>
            <w:tcW w:w="7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633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本级项目</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150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转移支付项目</w:t>
            </w:r>
          </w:p>
        </w:tc>
      </w:tr>
      <w:tr w14:paraId="72D6D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540" w:hRule="atLeast"/>
        </w:trPr>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875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部门预算（调整）</w:t>
            </w:r>
          </w:p>
        </w:tc>
        <w:tc>
          <w:tcPr>
            <w:tcW w:w="5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18B7D">
            <w:pPr>
              <w:keepNext w:val="0"/>
              <w:keepLines w:val="0"/>
              <w:widowControl/>
              <w:suppressLineNumbers w:val="0"/>
              <w:jc w:val="center"/>
              <w:textAlignment w:val="center"/>
              <w:rPr>
                <w:rFonts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886.73</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85FDA">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873.09</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F5410">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13.64</w:t>
            </w:r>
          </w:p>
        </w:tc>
        <w:tc>
          <w:tcPr>
            <w:tcW w:w="7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45032">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650.66</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14F02">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 xml:space="preserve">0.00 </w:t>
            </w:r>
          </w:p>
        </w:tc>
      </w:tr>
      <w:tr w14:paraId="3D2A2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540" w:hRule="atLeast"/>
        </w:trPr>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317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w:t>
            </w:r>
          </w:p>
        </w:tc>
        <w:tc>
          <w:tcPr>
            <w:tcW w:w="5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1836B">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735.43</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E86CB">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333.48</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22D8F">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w:t>
            </w:r>
          </w:p>
        </w:tc>
        <w:tc>
          <w:tcPr>
            <w:tcW w:w="7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4E527">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510.25</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52299">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 xml:space="preserve">0.00 </w:t>
            </w:r>
          </w:p>
        </w:tc>
      </w:tr>
      <w:tr w14:paraId="03124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540" w:hRule="atLeast"/>
        </w:trPr>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F47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支出进度（%）</w:t>
            </w:r>
          </w:p>
        </w:tc>
        <w:tc>
          <w:tcPr>
            <w:tcW w:w="5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11B9">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82.94%</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8975E">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38.20%</w:t>
            </w:r>
          </w:p>
        </w:tc>
        <w:tc>
          <w:tcPr>
            <w:tcW w:w="8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E8B6A">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58.65%</w:t>
            </w:r>
          </w:p>
        </w:tc>
        <w:tc>
          <w:tcPr>
            <w:tcW w:w="7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9A178">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78.42%</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8C14C">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r>
      <w:tr w14:paraId="1AA9E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540" w:hRule="atLeast"/>
        </w:trPr>
        <w:tc>
          <w:tcPr>
            <w:tcW w:w="474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BF4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绩效目标完成情况</w:t>
            </w:r>
          </w:p>
        </w:tc>
      </w:tr>
      <w:tr w14:paraId="49711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640" w:hRule="atLeast"/>
        </w:trPr>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9886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绩效目标</w:t>
            </w:r>
          </w:p>
        </w:tc>
        <w:tc>
          <w:tcPr>
            <w:tcW w:w="11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1616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目标及指标设置情况</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E68F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目标（指标）完成情况</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793E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自评得分</w:t>
            </w:r>
          </w:p>
        </w:tc>
      </w:tr>
      <w:tr w14:paraId="3F889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460" w:hRule="atLeast"/>
        </w:trPr>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A68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总体目标</w:t>
            </w:r>
          </w:p>
        </w:tc>
        <w:tc>
          <w:tcPr>
            <w:tcW w:w="11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B71EE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1.推进社会治理体系和治理能力现代化建设。2.继续做好维稳各项工作，确保社会大局稳定。3.继续做好司法法制工作，全面推进依法行政。</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7E8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ED5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r>
      <w:tr w14:paraId="7C484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2820" w:hRule="atLeast"/>
        </w:trPr>
        <w:tc>
          <w:tcPr>
            <w:tcW w:w="94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C6C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分项绩效目标</w:t>
            </w:r>
          </w:p>
        </w:tc>
        <w:tc>
          <w:tcPr>
            <w:tcW w:w="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992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目标1：以“全域覆盖、全网共享、全时可用、全程可控”为总目标，推动重点行业、领域的视频监控系统建设。</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CF5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指标1：视频监控点位设备在线率需达到95%以上。</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E3F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27A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0499C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92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52518">
            <w:pPr>
              <w:jc w:val="center"/>
              <w:rPr>
                <w:rFonts w:hint="eastAsia" w:ascii="宋体" w:hAnsi="宋体" w:eastAsia="宋体" w:cs="宋体"/>
                <w:i w:val="0"/>
                <w:iCs w:val="0"/>
                <w:color w:val="000000"/>
                <w:sz w:val="24"/>
                <w:szCs w:val="24"/>
                <w:u w:val="none"/>
              </w:rPr>
            </w:pPr>
          </w:p>
        </w:tc>
        <w:tc>
          <w:tcPr>
            <w:tcW w:w="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32D8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目标2：保障政法机关网络安全运行，实现政法网互联互通。</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C3B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指标1：会议系统终端在线率达到100%。</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561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22B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1899C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425"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F9419">
            <w:pPr>
              <w:jc w:val="center"/>
              <w:rPr>
                <w:rFonts w:hint="eastAsia" w:ascii="宋体" w:hAnsi="宋体" w:eastAsia="宋体" w:cs="宋体"/>
                <w:i w:val="0"/>
                <w:iCs w:val="0"/>
                <w:color w:val="000000"/>
                <w:sz w:val="24"/>
                <w:szCs w:val="24"/>
                <w:u w:val="none"/>
              </w:rPr>
            </w:pPr>
          </w:p>
        </w:tc>
        <w:tc>
          <w:tcPr>
            <w:tcW w:w="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BA0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目标3：营造良好的宣传氛围，激发全民参与平安创建的积极性。</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F0D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指标1：通过宣传，广大群众满意度达90%以上。</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F75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3CB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71C27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2565"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5C90E">
            <w:pPr>
              <w:jc w:val="center"/>
              <w:rPr>
                <w:rFonts w:hint="eastAsia" w:ascii="宋体" w:hAnsi="宋体" w:eastAsia="宋体" w:cs="宋体"/>
                <w:i w:val="0"/>
                <w:iCs w:val="0"/>
                <w:color w:val="000000"/>
                <w:sz w:val="24"/>
                <w:szCs w:val="24"/>
                <w:u w:val="none"/>
              </w:rPr>
            </w:pPr>
          </w:p>
        </w:tc>
        <w:tc>
          <w:tcPr>
            <w:tcW w:w="5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2A3E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目标4：遏制重特大事故的发生，强化安全意识，切实抓好维稳工作。</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794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指标1：结合我区实际，按照党工委、管委会要求，要求各单位充分认识“两会”期间等敏感时期维稳工作的重要性，深入开展矛盾纠纷化解及重点人稳控工作。</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295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5B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4F314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18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A7363">
            <w:pPr>
              <w:jc w:val="center"/>
              <w:rPr>
                <w:rFonts w:hint="eastAsia" w:ascii="宋体" w:hAnsi="宋体" w:eastAsia="宋体" w:cs="宋体"/>
                <w:i w:val="0"/>
                <w:iCs w:val="0"/>
                <w:color w:val="000000"/>
                <w:sz w:val="24"/>
                <w:szCs w:val="24"/>
                <w:u w:val="none"/>
              </w:rPr>
            </w:pPr>
          </w:p>
        </w:tc>
        <w:tc>
          <w:tcPr>
            <w:tcW w:w="5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0FCD1">
            <w:pPr>
              <w:jc w:val="center"/>
              <w:rPr>
                <w:rFonts w:hint="eastAsia" w:ascii="宋体" w:hAnsi="宋体" w:eastAsia="宋体" w:cs="宋体"/>
                <w:i w:val="0"/>
                <w:iCs w:val="0"/>
                <w:color w:val="000000"/>
                <w:sz w:val="24"/>
                <w:szCs w:val="24"/>
                <w:u w:val="none"/>
              </w:rPr>
            </w:pP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D0B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指标2：维护稳定安保工作≧90%。</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3B6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786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4032E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234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FFAF1">
            <w:pPr>
              <w:jc w:val="center"/>
              <w:rPr>
                <w:rFonts w:hint="eastAsia" w:ascii="宋体" w:hAnsi="宋体" w:eastAsia="宋体" w:cs="宋体"/>
                <w:i w:val="0"/>
                <w:iCs w:val="0"/>
                <w:color w:val="000000"/>
                <w:sz w:val="24"/>
                <w:szCs w:val="24"/>
                <w:u w:val="none"/>
              </w:rPr>
            </w:pPr>
          </w:p>
        </w:tc>
        <w:tc>
          <w:tcPr>
            <w:tcW w:w="5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F35D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目标5：确保国家安全工作顺利开展，组织开展 “国家安全教育日”宣传活动、国家安全培训等。</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EA2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指标1：深入开展国家安全宣传教育活动，“把国家安全法和反间谍法宣传到千家万户。</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4B9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AA9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2633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254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E49EA">
            <w:pPr>
              <w:jc w:val="center"/>
              <w:rPr>
                <w:rFonts w:hint="eastAsia" w:ascii="宋体" w:hAnsi="宋体" w:eastAsia="宋体" w:cs="宋体"/>
                <w:i w:val="0"/>
                <w:iCs w:val="0"/>
                <w:color w:val="000000"/>
                <w:sz w:val="24"/>
                <w:szCs w:val="24"/>
                <w:u w:val="none"/>
              </w:rPr>
            </w:pPr>
          </w:p>
        </w:tc>
        <w:tc>
          <w:tcPr>
            <w:tcW w:w="5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A7575">
            <w:pPr>
              <w:jc w:val="center"/>
              <w:rPr>
                <w:rFonts w:hint="eastAsia" w:ascii="宋体" w:hAnsi="宋体" w:eastAsia="宋体" w:cs="宋体"/>
                <w:i w:val="0"/>
                <w:iCs w:val="0"/>
                <w:color w:val="000000"/>
                <w:sz w:val="24"/>
                <w:szCs w:val="24"/>
                <w:u w:val="none"/>
              </w:rPr>
            </w:pP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CD9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指标2：通过发放宣传单，悬挂宣传横幅，使广大群众增强国家安全意识、敌特情意识、维稳工作意识，形成了维护国家安全的强大社会共识。</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761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D39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273A8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210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D7E2E">
            <w:pPr>
              <w:jc w:val="center"/>
              <w:rPr>
                <w:rFonts w:hint="eastAsia" w:ascii="宋体" w:hAnsi="宋体" w:eastAsia="宋体" w:cs="宋体"/>
                <w:i w:val="0"/>
                <w:iCs w:val="0"/>
                <w:color w:val="000000"/>
                <w:sz w:val="24"/>
                <w:szCs w:val="24"/>
                <w:u w:val="none"/>
              </w:rPr>
            </w:pPr>
          </w:p>
        </w:tc>
        <w:tc>
          <w:tcPr>
            <w:tcW w:w="5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AAFABB">
            <w:pPr>
              <w:jc w:val="center"/>
              <w:rPr>
                <w:rFonts w:hint="eastAsia" w:ascii="宋体" w:hAnsi="宋体" w:eastAsia="宋体" w:cs="宋体"/>
                <w:i w:val="0"/>
                <w:iCs w:val="0"/>
                <w:color w:val="000000"/>
                <w:sz w:val="24"/>
                <w:szCs w:val="24"/>
                <w:u w:val="none"/>
              </w:rPr>
            </w:pP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E92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指标3：做好相关涉及到国家安全多种领域的隐患排查工作，把隐患降到最低，争取辖区内不出现群体性大案要案。</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08F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314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4A169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246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A67C6">
            <w:pPr>
              <w:jc w:val="center"/>
              <w:rPr>
                <w:rFonts w:hint="eastAsia" w:ascii="宋体" w:hAnsi="宋体" w:eastAsia="宋体" w:cs="宋体"/>
                <w:i w:val="0"/>
                <w:iCs w:val="0"/>
                <w:color w:val="000000"/>
                <w:sz w:val="24"/>
                <w:szCs w:val="24"/>
                <w:u w:val="none"/>
              </w:rPr>
            </w:pPr>
          </w:p>
        </w:tc>
        <w:tc>
          <w:tcPr>
            <w:tcW w:w="5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05EC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目标6：加强对邪教组织和邪教人员依法管控，严防邪教分子制造自杀、自残等极端行为。做好教育转化工作。</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A74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指标1：按照上级相关的文件，开展反邪教警示教育宣传。在敏感时期，对辖区内邪教组织进行深入摸排、细致侦察的基础上开展精准打击。</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7C2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2AF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38445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238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E4190">
            <w:pPr>
              <w:jc w:val="center"/>
              <w:rPr>
                <w:rFonts w:hint="eastAsia" w:ascii="宋体" w:hAnsi="宋体" w:eastAsia="宋体" w:cs="宋体"/>
                <w:i w:val="0"/>
                <w:iCs w:val="0"/>
                <w:color w:val="000000"/>
                <w:sz w:val="24"/>
                <w:szCs w:val="24"/>
                <w:u w:val="none"/>
              </w:rPr>
            </w:pPr>
          </w:p>
        </w:tc>
        <w:tc>
          <w:tcPr>
            <w:tcW w:w="5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97420">
            <w:pPr>
              <w:jc w:val="center"/>
              <w:rPr>
                <w:rFonts w:hint="eastAsia" w:ascii="宋体" w:hAnsi="宋体" w:eastAsia="宋体" w:cs="宋体"/>
                <w:i w:val="0"/>
                <w:iCs w:val="0"/>
                <w:color w:val="000000"/>
                <w:sz w:val="24"/>
                <w:szCs w:val="24"/>
                <w:u w:val="none"/>
              </w:rPr>
            </w:pP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5CF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 组织有关部门提高政治站位。加紧部署、狠抓落实、强力推进，充分集中时间、集中力量、优化措施，实现攻坚转化。</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F2B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FD0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38AF4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218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8279E">
            <w:pPr>
              <w:jc w:val="center"/>
              <w:rPr>
                <w:rFonts w:hint="eastAsia" w:ascii="宋体" w:hAnsi="宋体" w:eastAsia="宋体" w:cs="宋体"/>
                <w:i w:val="0"/>
                <w:iCs w:val="0"/>
                <w:color w:val="000000"/>
                <w:sz w:val="24"/>
                <w:szCs w:val="24"/>
                <w:u w:val="none"/>
              </w:rPr>
            </w:pPr>
          </w:p>
        </w:tc>
        <w:tc>
          <w:tcPr>
            <w:tcW w:w="5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562EF">
            <w:pPr>
              <w:jc w:val="center"/>
              <w:rPr>
                <w:rFonts w:hint="eastAsia" w:ascii="宋体" w:hAnsi="宋体" w:eastAsia="宋体" w:cs="宋体"/>
                <w:i w:val="0"/>
                <w:iCs w:val="0"/>
                <w:color w:val="000000"/>
                <w:sz w:val="24"/>
                <w:szCs w:val="24"/>
                <w:u w:val="none"/>
              </w:rPr>
            </w:pP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FC5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指标3：开启反邪教新征程的重大举措，严细责任措施，加大攻坚力度，对教育转化去存量攻坚战担当任事。</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F87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6A1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27B30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18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B8CDD">
            <w:pPr>
              <w:jc w:val="center"/>
              <w:rPr>
                <w:rFonts w:hint="eastAsia" w:ascii="宋体" w:hAnsi="宋体" w:eastAsia="宋体" w:cs="宋体"/>
                <w:i w:val="0"/>
                <w:iCs w:val="0"/>
                <w:color w:val="000000"/>
                <w:sz w:val="24"/>
                <w:szCs w:val="24"/>
                <w:u w:val="none"/>
              </w:rPr>
            </w:pPr>
          </w:p>
        </w:tc>
        <w:tc>
          <w:tcPr>
            <w:tcW w:w="5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084E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目标7：及时给予法律援助，提高人民调解案件数量。</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48A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指标1：援助案件结案数量占当年援助百分比案件的95%。</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D70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4FA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15544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18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EED2">
            <w:pPr>
              <w:jc w:val="center"/>
              <w:rPr>
                <w:rFonts w:hint="eastAsia" w:ascii="宋体" w:hAnsi="宋体" w:eastAsia="宋体" w:cs="宋体"/>
                <w:i w:val="0"/>
                <w:iCs w:val="0"/>
                <w:color w:val="000000"/>
                <w:sz w:val="24"/>
                <w:szCs w:val="24"/>
                <w:u w:val="none"/>
              </w:rPr>
            </w:pPr>
          </w:p>
        </w:tc>
        <w:tc>
          <w:tcPr>
            <w:tcW w:w="5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0752A">
            <w:pPr>
              <w:jc w:val="center"/>
              <w:rPr>
                <w:rFonts w:hint="eastAsia" w:ascii="宋体" w:hAnsi="宋体" w:eastAsia="宋体" w:cs="宋体"/>
                <w:i w:val="0"/>
                <w:iCs w:val="0"/>
                <w:color w:val="000000"/>
                <w:sz w:val="24"/>
                <w:szCs w:val="24"/>
                <w:u w:val="none"/>
              </w:rPr>
            </w:pP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E33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指标2：案件调解成功数量占案件总数量百分比达到90%。</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345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513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348AC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18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D34C9">
            <w:pPr>
              <w:jc w:val="center"/>
              <w:rPr>
                <w:rFonts w:hint="eastAsia" w:ascii="宋体" w:hAnsi="宋体" w:eastAsia="宋体" w:cs="宋体"/>
                <w:i w:val="0"/>
                <w:iCs w:val="0"/>
                <w:color w:val="000000"/>
                <w:sz w:val="24"/>
                <w:szCs w:val="24"/>
                <w:u w:val="none"/>
              </w:rPr>
            </w:pPr>
          </w:p>
        </w:tc>
        <w:tc>
          <w:tcPr>
            <w:tcW w:w="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84B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目标8：提升司法所办公设施、工作人员业务水平。</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AC5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指标1：创建1个规范化司法所，达到省级要求标准。</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42F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是</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501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43B57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18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84FF7">
            <w:pPr>
              <w:jc w:val="center"/>
              <w:rPr>
                <w:rFonts w:hint="eastAsia" w:ascii="宋体" w:hAnsi="宋体" w:eastAsia="宋体" w:cs="宋体"/>
                <w:i w:val="0"/>
                <w:iCs w:val="0"/>
                <w:color w:val="000000"/>
                <w:sz w:val="24"/>
                <w:szCs w:val="24"/>
                <w:u w:val="none"/>
              </w:rPr>
            </w:pPr>
          </w:p>
        </w:tc>
        <w:tc>
          <w:tcPr>
            <w:tcW w:w="5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B37C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目标9：完善普法宣传长效机制，提高社区矫正工作的社会效益。</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959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指标1：普法工作覆盖率，在各个领域的普及情况达到90%。</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C52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B52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20174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18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5341D">
            <w:pPr>
              <w:jc w:val="center"/>
              <w:rPr>
                <w:rFonts w:hint="eastAsia" w:ascii="宋体" w:hAnsi="宋体" w:eastAsia="宋体" w:cs="宋体"/>
                <w:i w:val="0"/>
                <w:iCs w:val="0"/>
                <w:color w:val="000000"/>
                <w:sz w:val="24"/>
                <w:szCs w:val="24"/>
                <w:u w:val="none"/>
              </w:rPr>
            </w:pPr>
          </w:p>
        </w:tc>
        <w:tc>
          <w:tcPr>
            <w:tcW w:w="5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D40C2">
            <w:pPr>
              <w:jc w:val="center"/>
              <w:rPr>
                <w:rFonts w:hint="eastAsia" w:ascii="宋体" w:hAnsi="宋体" w:eastAsia="宋体" w:cs="宋体"/>
                <w:i w:val="0"/>
                <w:iCs w:val="0"/>
                <w:color w:val="000000"/>
                <w:sz w:val="24"/>
                <w:szCs w:val="24"/>
                <w:u w:val="none"/>
              </w:rPr>
            </w:pP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84F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指标2：社区矫正人员达到规范化管理达到100%。</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6BF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34F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664A2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18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5B645">
            <w:pPr>
              <w:jc w:val="center"/>
              <w:rPr>
                <w:rFonts w:hint="eastAsia" w:ascii="宋体" w:hAnsi="宋体" w:eastAsia="宋体" w:cs="宋体"/>
                <w:i w:val="0"/>
                <w:iCs w:val="0"/>
                <w:color w:val="000000"/>
                <w:sz w:val="24"/>
                <w:szCs w:val="24"/>
                <w:u w:val="none"/>
              </w:rPr>
            </w:pPr>
          </w:p>
        </w:tc>
        <w:tc>
          <w:tcPr>
            <w:tcW w:w="5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5696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目标10：应诉案件大幅提升。</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BE7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指标1：规定时限完成法律咨询、应诉方服务达到95%。</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CDB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4A1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4D720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55" w:type="pct"/>
          <w:trHeight w:val="1180" w:hRule="atLeast"/>
        </w:trPr>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80A4E">
            <w:pPr>
              <w:jc w:val="center"/>
              <w:rPr>
                <w:rFonts w:hint="eastAsia" w:ascii="宋体" w:hAnsi="宋体" w:eastAsia="宋体" w:cs="宋体"/>
                <w:i w:val="0"/>
                <w:iCs w:val="0"/>
                <w:color w:val="000000"/>
                <w:sz w:val="24"/>
                <w:szCs w:val="24"/>
                <w:u w:val="none"/>
              </w:rPr>
            </w:pPr>
          </w:p>
        </w:tc>
        <w:tc>
          <w:tcPr>
            <w:tcW w:w="5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4E2402">
            <w:pPr>
              <w:jc w:val="center"/>
              <w:rPr>
                <w:rFonts w:hint="eastAsia" w:ascii="宋体" w:hAnsi="宋体" w:eastAsia="宋体" w:cs="宋体"/>
                <w:i w:val="0"/>
                <w:iCs w:val="0"/>
                <w:color w:val="000000"/>
                <w:sz w:val="24"/>
                <w:szCs w:val="24"/>
                <w:u w:val="none"/>
              </w:rPr>
            </w:pP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3D8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指标2：审核数量达到50起。</w:t>
            </w:r>
          </w:p>
        </w:tc>
        <w:tc>
          <w:tcPr>
            <w:tcW w:w="15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FB6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68次</w:t>
            </w:r>
          </w:p>
        </w:tc>
        <w:tc>
          <w:tcPr>
            <w:tcW w:w="10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492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bl>
    <w:p w14:paraId="3B260163">
      <w:pPr>
        <w:rPr>
          <w:color w:val="auto"/>
        </w:rPr>
      </w:pPr>
    </w:p>
    <w:p w14:paraId="3A4F003B">
      <w:pPr>
        <w:rPr>
          <w:color w:val="auto"/>
        </w:rPr>
      </w:pPr>
    </w:p>
    <w:p w14:paraId="281EFC15">
      <w:pPr>
        <w:rPr>
          <w:color w:val="auto"/>
        </w:rPr>
      </w:pPr>
    </w:p>
    <w:p w14:paraId="49D053B4">
      <w:pPr>
        <w:rPr>
          <w:color w:val="auto"/>
        </w:rPr>
      </w:pPr>
    </w:p>
    <w:p w14:paraId="1DF635F2">
      <w:pPr>
        <w:rPr>
          <w:color w:val="auto"/>
        </w:rPr>
      </w:pPr>
    </w:p>
    <w:p w14:paraId="73207059">
      <w:pPr>
        <w:rPr>
          <w:color w:val="auto"/>
        </w:rPr>
      </w:pPr>
    </w:p>
    <w:p w14:paraId="56065B09">
      <w:pPr>
        <w:rPr>
          <w:color w:val="auto"/>
        </w:rPr>
      </w:pPr>
    </w:p>
    <w:p w14:paraId="60B8F5C2">
      <w:pPr>
        <w:rPr>
          <w:color w:val="auto"/>
        </w:rPr>
      </w:pPr>
    </w:p>
    <w:p w14:paraId="714C2070">
      <w:pPr>
        <w:rPr>
          <w:color w:val="auto"/>
        </w:rPr>
      </w:pPr>
    </w:p>
    <w:p w14:paraId="324125D2">
      <w:pPr>
        <w:rPr>
          <w:color w:val="auto"/>
        </w:rPr>
      </w:pPr>
    </w:p>
    <w:p w14:paraId="79ECC8E7">
      <w:pPr>
        <w:rPr>
          <w:color w:val="auto"/>
        </w:rPr>
      </w:pPr>
    </w:p>
    <w:p w14:paraId="0B5A48F3">
      <w:pPr>
        <w:rPr>
          <w:color w:val="auto"/>
        </w:rPr>
      </w:pPr>
    </w:p>
    <w:p w14:paraId="78204385">
      <w:pPr>
        <w:rPr>
          <w:color w:val="auto"/>
        </w:r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98"/>
        <w:gridCol w:w="1898"/>
        <w:gridCol w:w="1461"/>
        <w:gridCol w:w="1416"/>
        <w:gridCol w:w="1308"/>
        <w:gridCol w:w="1080"/>
      </w:tblGrid>
      <w:tr w14:paraId="2AEF8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2" w:type="pct"/>
            <w:tcBorders>
              <w:top w:val="nil"/>
              <w:left w:val="nil"/>
              <w:bottom w:val="nil"/>
              <w:right w:val="nil"/>
            </w:tcBorders>
            <w:shd w:val="clear" w:color="auto" w:fill="FFFFFF"/>
            <w:noWrap/>
            <w:vAlign w:val="bottom"/>
          </w:tcPr>
          <w:p w14:paraId="7BD9036E">
            <w:pPr>
              <w:keepNext w:val="0"/>
              <w:keepLines w:val="0"/>
              <w:widowControl/>
              <w:suppressLineNumbers w:val="0"/>
              <w:jc w:val="left"/>
              <w:textAlignment w:val="bottom"/>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附件2</w:t>
            </w:r>
          </w:p>
        </w:tc>
        <w:tc>
          <w:tcPr>
            <w:tcW w:w="962" w:type="pct"/>
            <w:tcBorders>
              <w:top w:val="nil"/>
              <w:left w:val="nil"/>
              <w:bottom w:val="nil"/>
              <w:right w:val="nil"/>
            </w:tcBorders>
            <w:shd w:val="clear" w:color="auto" w:fill="FFFFFF"/>
            <w:noWrap/>
            <w:vAlign w:val="bottom"/>
          </w:tcPr>
          <w:p w14:paraId="099B3B12">
            <w:pPr>
              <w:rPr>
                <w:rFonts w:hint="eastAsia" w:ascii="宋体" w:hAnsi="宋体" w:eastAsia="宋体" w:cs="宋体"/>
                <w:i w:val="0"/>
                <w:iCs w:val="0"/>
                <w:color w:val="000000"/>
                <w:sz w:val="32"/>
                <w:szCs w:val="32"/>
                <w:u w:val="none"/>
              </w:rPr>
            </w:pPr>
          </w:p>
        </w:tc>
        <w:tc>
          <w:tcPr>
            <w:tcW w:w="977" w:type="pct"/>
            <w:tcBorders>
              <w:top w:val="nil"/>
              <w:left w:val="nil"/>
              <w:bottom w:val="nil"/>
              <w:right w:val="nil"/>
            </w:tcBorders>
            <w:shd w:val="clear" w:color="auto" w:fill="FFFFFF"/>
            <w:noWrap/>
            <w:vAlign w:val="bottom"/>
          </w:tcPr>
          <w:p w14:paraId="421D34A4">
            <w:pPr>
              <w:rPr>
                <w:rFonts w:hint="eastAsia" w:ascii="宋体" w:hAnsi="宋体" w:eastAsia="宋体" w:cs="宋体"/>
                <w:i w:val="0"/>
                <w:iCs w:val="0"/>
                <w:color w:val="000000"/>
                <w:sz w:val="32"/>
                <w:szCs w:val="32"/>
                <w:u w:val="none"/>
              </w:rPr>
            </w:pPr>
          </w:p>
        </w:tc>
        <w:tc>
          <w:tcPr>
            <w:tcW w:w="722" w:type="pct"/>
            <w:tcBorders>
              <w:top w:val="nil"/>
              <w:left w:val="nil"/>
              <w:bottom w:val="nil"/>
              <w:right w:val="nil"/>
            </w:tcBorders>
            <w:shd w:val="clear" w:color="auto" w:fill="FFFFFF"/>
            <w:noWrap/>
            <w:vAlign w:val="bottom"/>
          </w:tcPr>
          <w:p w14:paraId="6D3D4B56">
            <w:pPr>
              <w:rPr>
                <w:rFonts w:hint="eastAsia" w:ascii="宋体" w:hAnsi="宋体" w:eastAsia="宋体" w:cs="宋体"/>
                <w:i w:val="0"/>
                <w:iCs w:val="0"/>
                <w:color w:val="000000"/>
                <w:sz w:val="32"/>
                <w:szCs w:val="32"/>
                <w:u w:val="none"/>
              </w:rPr>
            </w:pPr>
          </w:p>
        </w:tc>
        <w:tc>
          <w:tcPr>
            <w:tcW w:w="664" w:type="pct"/>
            <w:tcBorders>
              <w:top w:val="nil"/>
              <w:left w:val="nil"/>
              <w:bottom w:val="nil"/>
              <w:right w:val="nil"/>
            </w:tcBorders>
            <w:shd w:val="clear" w:color="auto" w:fill="FFFFFF"/>
            <w:noWrap/>
            <w:vAlign w:val="bottom"/>
          </w:tcPr>
          <w:p w14:paraId="05AED1D0">
            <w:pPr>
              <w:rPr>
                <w:rFonts w:hint="eastAsia" w:ascii="宋体" w:hAnsi="宋体" w:eastAsia="宋体" w:cs="宋体"/>
                <w:i w:val="0"/>
                <w:iCs w:val="0"/>
                <w:color w:val="000000"/>
                <w:sz w:val="32"/>
                <w:szCs w:val="32"/>
                <w:u w:val="none"/>
              </w:rPr>
            </w:pPr>
          </w:p>
        </w:tc>
        <w:tc>
          <w:tcPr>
            <w:tcW w:w="709" w:type="pct"/>
            <w:tcBorders>
              <w:top w:val="nil"/>
              <w:left w:val="nil"/>
              <w:bottom w:val="nil"/>
              <w:right w:val="nil"/>
            </w:tcBorders>
            <w:shd w:val="clear" w:color="auto" w:fill="FFFFFF"/>
            <w:noWrap/>
            <w:vAlign w:val="bottom"/>
          </w:tcPr>
          <w:p w14:paraId="6C90B52F">
            <w:pPr>
              <w:rPr>
                <w:rFonts w:hint="eastAsia" w:ascii="宋体" w:hAnsi="宋体" w:eastAsia="宋体" w:cs="宋体"/>
                <w:i w:val="0"/>
                <w:iCs w:val="0"/>
                <w:color w:val="000000"/>
                <w:sz w:val="32"/>
                <w:szCs w:val="32"/>
                <w:u w:val="none"/>
              </w:rPr>
            </w:pPr>
          </w:p>
        </w:tc>
      </w:tr>
      <w:tr w14:paraId="65B53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000" w:type="pct"/>
            <w:gridSpan w:val="6"/>
            <w:tcBorders>
              <w:top w:val="nil"/>
              <w:left w:val="nil"/>
              <w:bottom w:val="nil"/>
              <w:right w:val="nil"/>
            </w:tcBorders>
            <w:shd w:val="clear" w:color="auto" w:fill="FFFFFF"/>
            <w:noWrap/>
            <w:vAlign w:val="center"/>
          </w:tcPr>
          <w:p w14:paraId="454B0770">
            <w:pPr>
              <w:keepNext w:val="0"/>
              <w:keepLines w:val="0"/>
              <w:widowControl/>
              <w:suppressLineNumbers w:val="0"/>
              <w:jc w:val="center"/>
              <w:textAlignment w:val="center"/>
              <w:rPr>
                <w:rFonts w:ascii="方正小标宋_GBK" w:hAnsi="方正小标宋_GBK" w:eastAsia="方正小标宋_GBK" w:cs="方正小标宋_GBK"/>
                <w:b/>
                <w:bCs/>
                <w:i w:val="0"/>
                <w:iCs w:val="0"/>
                <w:color w:val="000000"/>
                <w:sz w:val="52"/>
                <w:szCs w:val="52"/>
                <w:u w:val="none"/>
              </w:rPr>
            </w:pPr>
            <w:r>
              <w:rPr>
                <w:rFonts w:hint="eastAsia" w:ascii="方正小标宋简体" w:hAnsi="方正小标宋简体" w:eastAsia="方正小标宋简体" w:cs="方正小标宋简体"/>
                <w:b w:val="0"/>
                <w:bCs w:val="0"/>
                <w:i w:val="0"/>
                <w:iCs w:val="0"/>
                <w:color w:val="000000"/>
                <w:kern w:val="0"/>
                <w:sz w:val="44"/>
                <w:szCs w:val="44"/>
                <w:u w:val="none"/>
                <w:lang w:val="en-US" w:eastAsia="zh-CN" w:bidi="ar"/>
              </w:rPr>
              <w:t>高新区部门项目绩效自评情况统计表（2022年）</w:t>
            </w:r>
          </w:p>
        </w:tc>
      </w:tr>
      <w:tr w14:paraId="5353E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25" w:type="pct"/>
            <w:gridSpan w:val="2"/>
            <w:tcBorders>
              <w:top w:val="nil"/>
              <w:left w:val="nil"/>
              <w:bottom w:val="single" w:color="000000" w:sz="4" w:space="0"/>
              <w:right w:val="nil"/>
            </w:tcBorders>
            <w:shd w:val="clear" w:color="auto" w:fill="FFFFFF"/>
            <w:noWrap/>
            <w:vAlign w:val="center"/>
          </w:tcPr>
          <w:p w14:paraId="08980B4F">
            <w:pPr>
              <w:keepNext w:val="0"/>
              <w:keepLines w:val="0"/>
              <w:widowControl/>
              <w:suppressLineNumbers w:val="0"/>
              <w:jc w:val="left"/>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填报单位：高新区政法委</w:t>
            </w:r>
          </w:p>
        </w:tc>
        <w:tc>
          <w:tcPr>
            <w:tcW w:w="977" w:type="pct"/>
            <w:tcBorders>
              <w:top w:val="nil"/>
              <w:left w:val="nil"/>
              <w:bottom w:val="nil"/>
              <w:right w:val="nil"/>
            </w:tcBorders>
            <w:shd w:val="clear" w:color="auto" w:fill="FFFFFF"/>
            <w:noWrap/>
            <w:vAlign w:val="center"/>
          </w:tcPr>
          <w:p w14:paraId="445F511E">
            <w:pPr>
              <w:jc w:val="center"/>
              <w:rPr>
                <w:rFonts w:hint="default" w:ascii="方正小标宋_GBK" w:hAnsi="方正小标宋_GBK" w:eastAsia="方正小标宋_GBK" w:cs="方正小标宋_GBK"/>
                <w:i w:val="0"/>
                <w:iCs w:val="0"/>
                <w:color w:val="000000"/>
                <w:sz w:val="48"/>
                <w:szCs w:val="48"/>
                <w:u w:val="none"/>
              </w:rPr>
            </w:pPr>
          </w:p>
        </w:tc>
        <w:tc>
          <w:tcPr>
            <w:tcW w:w="722" w:type="pct"/>
            <w:tcBorders>
              <w:top w:val="nil"/>
              <w:left w:val="nil"/>
              <w:bottom w:val="nil"/>
              <w:right w:val="nil"/>
            </w:tcBorders>
            <w:shd w:val="clear" w:color="auto" w:fill="FFFFFF"/>
            <w:noWrap/>
            <w:vAlign w:val="center"/>
          </w:tcPr>
          <w:p w14:paraId="6EB84054">
            <w:pPr>
              <w:jc w:val="center"/>
              <w:rPr>
                <w:rFonts w:hint="default" w:ascii="方正小标宋_GBK" w:hAnsi="方正小标宋_GBK" w:eastAsia="方正小标宋_GBK" w:cs="方正小标宋_GBK"/>
                <w:i w:val="0"/>
                <w:iCs w:val="0"/>
                <w:color w:val="000000"/>
                <w:sz w:val="48"/>
                <w:szCs w:val="48"/>
                <w:u w:val="none"/>
              </w:rPr>
            </w:pPr>
          </w:p>
        </w:tc>
        <w:tc>
          <w:tcPr>
            <w:tcW w:w="664" w:type="pct"/>
            <w:tcBorders>
              <w:top w:val="nil"/>
              <w:left w:val="nil"/>
              <w:bottom w:val="nil"/>
              <w:right w:val="nil"/>
            </w:tcBorders>
            <w:shd w:val="clear" w:color="auto" w:fill="FFFFFF"/>
            <w:noWrap/>
            <w:vAlign w:val="center"/>
          </w:tcPr>
          <w:p w14:paraId="0BD8DC3E">
            <w:pPr>
              <w:jc w:val="center"/>
              <w:rPr>
                <w:rFonts w:hint="default" w:ascii="方正小标宋_GBK" w:hAnsi="方正小标宋_GBK" w:eastAsia="方正小标宋_GBK" w:cs="方正小标宋_GBK"/>
                <w:i w:val="0"/>
                <w:iCs w:val="0"/>
                <w:color w:val="000000"/>
                <w:sz w:val="48"/>
                <w:szCs w:val="48"/>
                <w:u w:val="none"/>
              </w:rPr>
            </w:pPr>
          </w:p>
        </w:tc>
        <w:tc>
          <w:tcPr>
            <w:tcW w:w="709" w:type="pct"/>
            <w:tcBorders>
              <w:top w:val="nil"/>
              <w:left w:val="nil"/>
              <w:bottom w:val="nil"/>
              <w:right w:val="nil"/>
            </w:tcBorders>
            <w:shd w:val="clear" w:color="auto" w:fill="FFFFFF"/>
            <w:noWrap/>
            <w:vAlign w:val="center"/>
          </w:tcPr>
          <w:p w14:paraId="15711307">
            <w:pPr>
              <w:jc w:val="center"/>
              <w:rPr>
                <w:rFonts w:hint="default" w:ascii="方正小标宋_GBK" w:hAnsi="方正小标宋_GBK" w:eastAsia="方正小标宋_GBK" w:cs="方正小标宋_GBK"/>
                <w:i w:val="0"/>
                <w:iCs w:val="0"/>
                <w:color w:val="000000"/>
                <w:sz w:val="48"/>
                <w:szCs w:val="48"/>
                <w:u w:val="none"/>
              </w:rPr>
            </w:pPr>
          </w:p>
        </w:tc>
      </w:tr>
      <w:tr w14:paraId="2BE6E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00" w:hRule="atLeast"/>
        </w:trPr>
        <w:tc>
          <w:tcPr>
            <w:tcW w:w="1925"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C89908">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统计内容</w:t>
            </w:r>
          </w:p>
        </w:tc>
        <w:tc>
          <w:tcPr>
            <w:tcW w:w="9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F94333">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应评价数</w:t>
            </w:r>
          </w:p>
        </w:tc>
        <w:tc>
          <w:tcPr>
            <w:tcW w:w="2096"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8C7386">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已评价数</w:t>
            </w:r>
          </w:p>
        </w:tc>
      </w:tr>
      <w:tr w14:paraId="2AC77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25"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933231">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预算项目数量（个）</w:t>
            </w:r>
          </w:p>
        </w:tc>
        <w:tc>
          <w:tcPr>
            <w:tcW w:w="9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B9A326">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8 </w:t>
            </w:r>
          </w:p>
        </w:tc>
        <w:tc>
          <w:tcPr>
            <w:tcW w:w="2096"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B0C2A1">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8 </w:t>
            </w:r>
          </w:p>
        </w:tc>
      </w:tr>
      <w:tr w14:paraId="35C2B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62"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022CA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资金量（万元）</w:t>
            </w:r>
          </w:p>
        </w:tc>
        <w:tc>
          <w:tcPr>
            <w:tcW w:w="9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2825CC">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其中：中央资金</w:t>
            </w:r>
          </w:p>
        </w:tc>
        <w:tc>
          <w:tcPr>
            <w:tcW w:w="9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BD07C9">
            <w:pPr>
              <w:jc w:val="center"/>
              <w:rPr>
                <w:rFonts w:hint="eastAsia" w:ascii="宋体" w:hAnsi="宋体" w:eastAsia="宋体" w:cs="宋体"/>
                <w:i w:val="0"/>
                <w:iCs w:val="0"/>
                <w:color w:val="000000"/>
                <w:sz w:val="32"/>
                <w:szCs w:val="32"/>
                <w:u w:val="none"/>
              </w:rPr>
            </w:pPr>
          </w:p>
        </w:tc>
        <w:tc>
          <w:tcPr>
            <w:tcW w:w="2096"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EE1213">
            <w:pPr>
              <w:jc w:val="center"/>
              <w:rPr>
                <w:rFonts w:hint="eastAsia" w:ascii="宋体" w:hAnsi="宋体" w:eastAsia="宋体" w:cs="宋体"/>
                <w:i w:val="0"/>
                <w:iCs w:val="0"/>
                <w:color w:val="000000"/>
                <w:sz w:val="32"/>
                <w:szCs w:val="32"/>
                <w:u w:val="none"/>
              </w:rPr>
            </w:pPr>
          </w:p>
        </w:tc>
      </w:tr>
      <w:tr w14:paraId="69BF0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62"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9C89C0">
            <w:pPr>
              <w:jc w:val="center"/>
              <w:rPr>
                <w:rFonts w:hint="eastAsia" w:ascii="宋体" w:hAnsi="宋体" w:eastAsia="宋体" w:cs="宋体"/>
                <w:b/>
                <w:bCs/>
                <w:i w:val="0"/>
                <w:iCs w:val="0"/>
                <w:color w:val="000000"/>
                <w:sz w:val="32"/>
                <w:szCs w:val="32"/>
                <w:u w:val="none"/>
              </w:rPr>
            </w:pPr>
          </w:p>
        </w:tc>
        <w:tc>
          <w:tcPr>
            <w:tcW w:w="9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17DEC6">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省级资金</w:t>
            </w:r>
          </w:p>
        </w:tc>
        <w:tc>
          <w:tcPr>
            <w:tcW w:w="9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496369">
            <w:pPr>
              <w:jc w:val="center"/>
              <w:rPr>
                <w:rFonts w:hint="eastAsia" w:ascii="宋体" w:hAnsi="宋体" w:eastAsia="宋体" w:cs="宋体"/>
                <w:i w:val="0"/>
                <w:iCs w:val="0"/>
                <w:color w:val="000000"/>
                <w:sz w:val="32"/>
                <w:szCs w:val="32"/>
                <w:u w:val="none"/>
              </w:rPr>
            </w:pPr>
          </w:p>
        </w:tc>
        <w:tc>
          <w:tcPr>
            <w:tcW w:w="2096"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CE649C">
            <w:pPr>
              <w:jc w:val="center"/>
              <w:rPr>
                <w:rFonts w:hint="eastAsia" w:ascii="宋体" w:hAnsi="宋体" w:eastAsia="宋体" w:cs="宋体"/>
                <w:i w:val="0"/>
                <w:iCs w:val="0"/>
                <w:color w:val="000000"/>
                <w:sz w:val="32"/>
                <w:szCs w:val="32"/>
                <w:u w:val="none"/>
              </w:rPr>
            </w:pPr>
          </w:p>
        </w:tc>
      </w:tr>
      <w:tr w14:paraId="23E9B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495A63">
            <w:pPr>
              <w:jc w:val="center"/>
              <w:rPr>
                <w:rFonts w:hint="eastAsia" w:ascii="宋体" w:hAnsi="宋体" w:eastAsia="宋体" w:cs="宋体"/>
                <w:b/>
                <w:bCs/>
                <w:i w:val="0"/>
                <w:iCs w:val="0"/>
                <w:color w:val="000000"/>
                <w:sz w:val="32"/>
                <w:szCs w:val="32"/>
                <w:u w:val="none"/>
              </w:rPr>
            </w:pPr>
          </w:p>
        </w:tc>
        <w:tc>
          <w:tcPr>
            <w:tcW w:w="9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8316E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市级资金</w:t>
            </w:r>
          </w:p>
        </w:tc>
        <w:tc>
          <w:tcPr>
            <w:tcW w:w="977" w:type="pct"/>
            <w:tcBorders>
              <w:top w:val="single" w:color="000000" w:sz="4" w:space="0"/>
              <w:left w:val="single" w:color="000000" w:sz="4" w:space="0"/>
              <w:bottom w:val="nil"/>
              <w:right w:val="nil"/>
            </w:tcBorders>
            <w:shd w:val="clear" w:color="auto" w:fill="FFFFFF"/>
            <w:noWrap/>
            <w:vAlign w:val="center"/>
          </w:tcPr>
          <w:p w14:paraId="6BFE7043">
            <w:pPr>
              <w:jc w:val="center"/>
              <w:rPr>
                <w:rFonts w:hint="eastAsia" w:ascii="宋体" w:hAnsi="宋体" w:eastAsia="宋体" w:cs="宋体"/>
                <w:i w:val="0"/>
                <w:iCs w:val="0"/>
                <w:color w:val="000000"/>
                <w:sz w:val="32"/>
                <w:szCs w:val="32"/>
                <w:u w:val="none"/>
              </w:rPr>
            </w:pPr>
          </w:p>
        </w:tc>
        <w:tc>
          <w:tcPr>
            <w:tcW w:w="2096"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E728C7">
            <w:pPr>
              <w:jc w:val="center"/>
              <w:rPr>
                <w:rFonts w:hint="eastAsia" w:ascii="宋体" w:hAnsi="宋体" w:eastAsia="宋体" w:cs="宋体"/>
                <w:i w:val="0"/>
                <w:iCs w:val="0"/>
                <w:color w:val="000000"/>
                <w:sz w:val="32"/>
                <w:szCs w:val="32"/>
                <w:u w:val="none"/>
              </w:rPr>
            </w:pPr>
          </w:p>
        </w:tc>
      </w:tr>
      <w:tr w14:paraId="35FE7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01C209">
            <w:pPr>
              <w:jc w:val="center"/>
              <w:rPr>
                <w:rFonts w:hint="eastAsia" w:ascii="宋体" w:hAnsi="宋体" w:eastAsia="宋体" w:cs="宋体"/>
                <w:b/>
                <w:bCs/>
                <w:i w:val="0"/>
                <w:iCs w:val="0"/>
                <w:color w:val="000000"/>
                <w:sz w:val="32"/>
                <w:szCs w:val="32"/>
                <w:u w:val="none"/>
              </w:rPr>
            </w:pPr>
          </w:p>
        </w:tc>
        <w:tc>
          <w:tcPr>
            <w:tcW w:w="9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A1CB2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区级资金</w:t>
            </w:r>
          </w:p>
        </w:tc>
        <w:tc>
          <w:tcPr>
            <w:tcW w:w="977" w:type="pct"/>
            <w:tcBorders>
              <w:top w:val="single" w:color="000000" w:sz="4" w:space="0"/>
              <w:left w:val="single" w:color="000000" w:sz="4" w:space="0"/>
              <w:bottom w:val="nil"/>
              <w:right w:val="nil"/>
            </w:tcBorders>
            <w:shd w:val="clear" w:color="auto" w:fill="FFFFFF"/>
            <w:noWrap/>
            <w:vAlign w:val="center"/>
          </w:tcPr>
          <w:p w14:paraId="7D153149">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8 </w:t>
            </w:r>
          </w:p>
        </w:tc>
        <w:tc>
          <w:tcPr>
            <w:tcW w:w="2096" w:type="pct"/>
            <w:gridSpan w:val="3"/>
            <w:tcBorders>
              <w:top w:val="single" w:color="000000" w:sz="4" w:space="0"/>
              <w:left w:val="single" w:color="000000" w:sz="4" w:space="0"/>
              <w:bottom w:val="nil"/>
              <w:right w:val="single" w:color="000000" w:sz="4" w:space="0"/>
            </w:tcBorders>
            <w:shd w:val="clear" w:color="auto" w:fill="FFFFFF"/>
            <w:noWrap/>
            <w:vAlign w:val="center"/>
          </w:tcPr>
          <w:p w14:paraId="6A33CFE0">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8 </w:t>
            </w:r>
          </w:p>
        </w:tc>
      </w:tr>
      <w:tr w14:paraId="400B3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25"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7F73FA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评价项目</w:t>
            </w:r>
          </w:p>
        </w:tc>
        <w:tc>
          <w:tcPr>
            <w:tcW w:w="977" w:type="pct"/>
            <w:vMerge w:val="restart"/>
            <w:tcBorders>
              <w:top w:val="single" w:color="000000" w:sz="4" w:space="0"/>
              <w:left w:val="single" w:color="000000" w:sz="4" w:space="0"/>
              <w:bottom w:val="single" w:color="000000" w:sz="4" w:space="0"/>
              <w:right w:val="nil"/>
            </w:tcBorders>
            <w:shd w:val="clear" w:color="auto" w:fill="FFFFFF"/>
            <w:noWrap/>
            <w:vAlign w:val="center"/>
          </w:tcPr>
          <w:p w14:paraId="4840A064">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8 </w:t>
            </w:r>
          </w:p>
        </w:tc>
        <w:tc>
          <w:tcPr>
            <w:tcW w:w="138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C64EE9">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其中：优（90分以上）</w:t>
            </w:r>
          </w:p>
        </w:tc>
        <w:tc>
          <w:tcPr>
            <w:tcW w:w="7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4B9B4A">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8 </w:t>
            </w:r>
          </w:p>
        </w:tc>
      </w:tr>
      <w:tr w14:paraId="3E74F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25"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007CC3">
            <w:pPr>
              <w:jc w:val="center"/>
              <w:rPr>
                <w:rFonts w:hint="eastAsia" w:ascii="宋体" w:hAnsi="宋体" w:eastAsia="宋体" w:cs="宋体"/>
                <w:b/>
                <w:bCs/>
                <w:i w:val="0"/>
                <w:iCs w:val="0"/>
                <w:color w:val="000000"/>
                <w:sz w:val="32"/>
                <w:szCs w:val="32"/>
                <w:u w:val="none"/>
              </w:rPr>
            </w:pPr>
          </w:p>
        </w:tc>
        <w:tc>
          <w:tcPr>
            <w:tcW w:w="977" w:type="pct"/>
            <w:vMerge w:val="continue"/>
            <w:tcBorders>
              <w:top w:val="single" w:color="000000" w:sz="4" w:space="0"/>
              <w:left w:val="single" w:color="000000" w:sz="4" w:space="0"/>
              <w:bottom w:val="single" w:color="000000" w:sz="4" w:space="0"/>
              <w:right w:val="nil"/>
            </w:tcBorders>
            <w:shd w:val="clear" w:color="auto" w:fill="FFFFFF"/>
            <w:noWrap/>
            <w:vAlign w:val="center"/>
          </w:tcPr>
          <w:p w14:paraId="611F2289">
            <w:pPr>
              <w:jc w:val="center"/>
              <w:rPr>
                <w:rFonts w:hint="eastAsia" w:ascii="宋体" w:hAnsi="宋体" w:eastAsia="宋体" w:cs="宋体"/>
                <w:i w:val="0"/>
                <w:iCs w:val="0"/>
                <w:color w:val="000000"/>
                <w:sz w:val="32"/>
                <w:szCs w:val="32"/>
                <w:u w:val="none"/>
              </w:rPr>
            </w:pPr>
          </w:p>
        </w:tc>
        <w:tc>
          <w:tcPr>
            <w:tcW w:w="138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36C91D">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良（80分-90分）</w:t>
            </w:r>
          </w:p>
        </w:tc>
        <w:tc>
          <w:tcPr>
            <w:tcW w:w="7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14A354">
            <w:pPr>
              <w:jc w:val="center"/>
              <w:rPr>
                <w:rFonts w:hint="eastAsia" w:ascii="宋体" w:hAnsi="宋体" w:eastAsia="宋体" w:cs="宋体"/>
                <w:i w:val="0"/>
                <w:iCs w:val="0"/>
                <w:color w:val="000000"/>
                <w:sz w:val="32"/>
                <w:szCs w:val="32"/>
                <w:u w:val="none"/>
              </w:rPr>
            </w:pPr>
          </w:p>
        </w:tc>
      </w:tr>
      <w:tr w14:paraId="44A6C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25"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AE899E">
            <w:pPr>
              <w:jc w:val="center"/>
              <w:rPr>
                <w:rFonts w:hint="eastAsia" w:ascii="宋体" w:hAnsi="宋体" w:eastAsia="宋体" w:cs="宋体"/>
                <w:b/>
                <w:bCs/>
                <w:i w:val="0"/>
                <w:iCs w:val="0"/>
                <w:color w:val="000000"/>
                <w:sz w:val="32"/>
                <w:szCs w:val="32"/>
                <w:u w:val="none"/>
              </w:rPr>
            </w:pPr>
          </w:p>
        </w:tc>
        <w:tc>
          <w:tcPr>
            <w:tcW w:w="977" w:type="pct"/>
            <w:vMerge w:val="continue"/>
            <w:tcBorders>
              <w:top w:val="single" w:color="000000" w:sz="4" w:space="0"/>
              <w:left w:val="single" w:color="000000" w:sz="4" w:space="0"/>
              <w:bottom w:val="single" w:color="000000" w:sz="4" w:space="0"/>
              <w:right w:val="nil"/>
            </w:tcBorders>
            <w:shd w:val="clear" w:color="auto" w:fill="FFFFFF"/>
            <w:noWrap/>
            <w:vAlign w:val="center"/>
          </w:tcPr>
          <w:p w14:paraId="1FB71E1A">
            <w:pPr>
              <w:jc w:val="center"/>
              <w:rPr>
                <w:rFonts w:hint="eastAsia" w:ascii="宋体" w:hAnsi="宋体" w:eastAsia="宋体" w:cs="宋体"/>
                <w:i w:val="0"/>
                <w:iCs w:val="0"/>
                <w:color w:val="000000"/>
                <w:sz w:val="32"/>
                <w:szCs w:val="32"/>
                <w:u w:val="none"/>
              </w:rPr>
            </w:pPr>
          </w:p>
        </w:tc>
        <w:tc>
          <w:tcPr>
            <w:tcW w:w="138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FDD61F">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中（60分-80分）</w:t>
            </w:r>
          </w:p>
        </w:tc>
        <w:tc>
          <w:tcPr>
            <w:tcW w:w="709" w:type="pct"/>
            <w:tcBorders>
              <w:top w:val="single" w:color="000000" w:sz="4" w:space="0"/>
              <w:left w:val="nil"/>
              <w:bottom w:val="single" w:color="000000" w:sz="4" w:space="0"/>
              <w:right w:val="single" w:color="000000" w:sz="4" w:space="0"/>
            </w:tcBorders>
            <w:shd w:val="clear" w:color="auto" w:fill="FFFFFF"/>
            <w:noWrap/>
            <w:vAlign w:val="center"/>
          </w:tcPr>
          <w:p w14:paraId="5F6B513A">
            <w:pPr>
              <w:jc w:val="center"/>
              <w:rPr>
                <w:rFonts w:hint="eastAsia" w:ascii="宋体" w:hAnsi="宋体" w:eastAsia="宋体" w:cs="宋体"/>
                <w:i w:val="0"/>
                <w:iCs w:val="0"/>
                <w:color w:val="000000"/>
                <w:sz w:val="32"/>
                <w:szCs w:val="32"/>
                <w:u w:val="none"/>
              </w:rPr>
            </w:pPr>
          </w:p>
        </w:tc>
      </w:tr>
      <w:tr w14:paraId="3572D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25"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8651B6">
            <w:pPr>
              <w:jc w:val="center"/>
              <w:rPr>
                <w:rFonts w:hint="eastAsia" w:ascii="宋体" w:hAnsi="宋体" w:eastAsia="宋体" w:cs="宋体"/>
                <w:b/>
                <w:bCs/>
                <w:i w:val="0"/>
                <w:iCs w:val="0"/>
                <w:color w:val="000000"/>
                <w:sz w:val="32"/>
                <w:szCs w:val="32"/>
                <w:u w:val="none"/>
              </w:rPr>
            </w:pPr>
          </w:p>
        </w:tc>
        <w:tc>
          <w:tcPr>
            <w:tcW w:w="977" w:type="pct"/>
            <w:vMerge w:val="continue"/>
            <w:tcBorders>
              <w:top w:val="single" w:color="000000" w:sz="4" w:space="0"/>
              <w:left w:val="single" w:color="000000" w:sz="4" w:space="0"/>
              <w:bottom w:val="single" w:color="000000" w:sz="4" w:space="0"/>
              <w:right w:val="nil"/>
            </w:tcBorders>
            <w:shd w:val="clear" w:color="auto" w:fill="FFFFFF"/>
            <w:noWrap/>
            <w:vAlign w:val="center"/>
          </w:tcPr>
          <w:p w14:paraId="2271E5A6">
            <w:pPr>
              <w:jc w:val="center"/>
              <w:rPr>
                <w:rFonts w:hint="eastAsia" w:ascii="宋体" w:hAnsi="宋体" w:eastAsia="宋体" w:cs="宋体"/>
                <w:i w:val="0"/>
                <w:iCs w:val="0"/>
                <w:color w:val="000000"/>
                <w:sz w:val="32"/>
                <w:szCs w:val="32"/>
                <w:u w:val="none"/>
              </w:rPr>
            </w:pPr>
          </w:p>
        </w:tc>
        <w:tc>
          <w:tcPr>
            <w:tcW w:w="138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728C2F">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差（60分以下）</w:t>
            </w:r>
          </w:p>
        </w:tc>
        <w:tc>
          <w:tcPr>
            <w:tcW w:w="709" w:type="pct"/>
            <w:tcBorders>
              <w:top w:val="single" w:color="000000" w:sz="4" w:space="0"/>
              <w:left w:val="nil"/>
              <w:bottom w:val="single" w:color="000000" w:sz="4" w:space="0"/>
              <w:right w:val="single" w:color="000000" w:sz="4" w:space="0"/>
            </w:tcBorders>
            <w:shd w:val="clear" w:color="auto" w:fill="FFFFFF"/>
            <w:noWrap/>
            <w:vAlign w:val="center"/>
          </w:tcPr>
          <w:p w14:paraId="0F062F7C">
            <w:pPr>
              <w:jc w:val="center"/>
              <w:rPr>
                <w:rFonts w:hint="eastAsia" w:ascii="宋体" w:hAnsi="宋体" w:eastAsia="宋体" w:cs="宋体"/>
                <w:i w:val="0"/>
                <w:iCs w:val="0"/>
                <w:color w:val="000000"/>
                <w:sz w:val="32"/>
                <w:szCs w:val="32"/>
                <w:u w:val="none"/>
              </w:rPr>
            </w:pPr>
          </w:p>
        </w:tc>
      </w:tr>
    </w:tbl>
    <w:p w14:paraId="7276E7A3">
      <w:pPr>
        <w:rPr>
          <w:color w:val="auto"/>
        </w:rPr>
      </w:pPr>
    </w:p>
    <w:p w14:paraId="026362AE">
      <w:pPr>
        <w:rPr>
          <w:color w:val="auto"/>
        </w:rPr>
      </w:pPr>
    </w:p>
    <w:p w14:paraId="453A8FF2">
      <w:pPr>
        <w:rPr>
          <w:color w:val="auto"/>
        </w:rPr>
      </w:pPr>
    </w:p>
    <w:p w14:paraId="08DB0876">
      <w:pPr>
        <w:rPr>
          <w:color w:val="auto"/>
        </w:rPr>
      </w:pPr>
    </w:p>
    <w:p w14:paraId="32EF153F">
      <w:pPr>
        <w:rPr>
          <w:color w:val="auto"/>
        </w:rPr>
      </w:pPr>
    </w:p>
    <w:p w14:paraId="15FB949F">
      <w:pPr>
        <w:rPr>
          <w:color w:val="auto"/>
        </w:rPr>
      </w:pPr>
    </w:p>
    <w:p w14:paraId="19563E35">
      <w:pPr>
        <w:rPr>
          <w:color w:val="auto"/>
        </w:rPr>
      </w:pPr>
    </w:p>
    <w:p w14:paraId="1B634D3E">
      <w:pPr>
        <w:rPr>
          <w:color w:val="auto"/>
        </w:rPr>
      </w:pPr>
    </w:p>
    <w:p w14:paraId="6718B054">
      <w:pPr>
        <w:rPr>
          <w:color w:val="auto"/>
        </w:rPr>
      </w:pPr>
    </w:p>
    <w:p w14:paraId="2BA1A0F5">
      <w:pPr>
        <w:rPr>
          <w:color w:val="auto"/>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A5277B"/>
    <w:multiLevelType w:val="singleLevel"/>
    <w:tmpl w:val="DFA5277B"/>
    <w:lvl w:ilvl="0" w:tentative="0">
      <w:start w:val="2"/>
      <w:numFmt w:val="decimal"/>
      <w:lvlText w:val="%1."/>
      <w:lvlJc w:val="left"/>
      <w:pPr>
        <w:tabs>
          <w:tab w:val="left" w:pos="312"/>
        </w:tabs>
        <w:ind w:left="1590" w:leftChars="0" w:firstLine="0" w:firstLineChars="0"/>
      </w:pPr>
    </w:lvl>
  </w:abstractNum>
  <w:abstractNum w:abstractNumId="1">
    <w:nsid w:val="3FC98268"/>
    <w:multiLevelType w:val="singleLevel"/>
    <w:tmpl w:val="3FC98268"/>
    <w:lvl w:ilvl="0" w:tentative="0">
      <w:start w:val="2"/>
      <w:numFmt w:val="chineseCounting"/>
      <w:suff w:val="nothing"/>
      <w:lvlText w:val="（%1）"/>
      <w:lvlJc w:val="left"/>
      <w:rPr>
        <w:rFonts w:hint="eastAsia"/>
      </w:rPr>
    </w:lvl>
  </w:abstractNum>
  <w:abstractNum w:abstractNumId="2">
    <w:nsid w:val="5CB74B90"/>
    <w:multiLevelType w:val="singleLevel"/>
    <w:tmpl w:val="5CB74B90"/>
    <w:lvl w:ilvl="0" w:tentative="0">
      <w:start w:val="2"/>
      <w:numFmt w:val="chineseCounting"/>
      <w:suff w:val="nothing"/>
      <w:lvlText w:val="（%1）"/>
      <w:lvlJc w:val="left"/>
      <w:rPr>
        <w:rFonts w:hint="eastAsia"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608"/>
    <w:rsid w:val="00013BCD"/>
    <w:rsid w:val="00027602"/>
    <w:rsid w:val="000614E0"/>
    <w:rsid w:val="000D4C09"/>
    <w:rsid w:val="000F27BE"/>
    <w:rsid w:val="00144D33"/>
    <w:rsid w:val="00194022"/>
    <w:rsid w:val="001A72EC"/>
    <w:rsid w:val="001D409C"/>
    <w:rsid w:val="00262DA7"/>
    <w:rsid w:val="002C7E8C"/>
    <w:rsid w:val="003515DB"/>
    <w:rsid w:val="0039153A"/>
    <w:rsid w:val="00397E5A"/>
    <w:rsid w:val="003A7EF0"/>
    <w:rsid w:val="003C49FB"/>
    <w:rsid w:val="003D4665"/>
    <w:rsid w:val="00467548"/>
    <w:rsid w:val="004739F8"/>
    <w:rsid w:val="004967A4"/>
    <w:rsid w:val="004A2A09"/>
    <w:rsid w:val="005656A7"/>
    <w:rsid w:val="00570193"/>
    <w:rsid w:val="0058619E"/>
    <w:rsid w:val="005E5369"/>
    <w:rsid w:val="006377E6"/>
    <w:rsid w:val="00671415"/>
    <w:rsid w:val="006D44A4"/>
    <w:rsid w:val="006F4C2C"/>
    <w:rsid w:val="007A5273"/>
    <w:rsid w:val="007D04FC"/>
    <w:rsid w:val="007D5BD8"/>
    <w:rsid w:val="007F2CE5"/>
    <w:rsid w:val="0086193F"/>
    <w:rsid w:val="00873C29"/>
    <w:rsid w:val="00883B3F"/>
    <w:rsid w:val="008E56B5"/>
    <w:rsid w:val="008F1B44"/>
    <w:rsid w:val="00996253"/>
    <w:rsid w:val="00A52608"/>
    <w:rsid w:val="00AB5E10"/>
    <w:rsid w:val="00AC4691"/>
    <w:rsid w:val="00AD40CE"/>
    <w:rsid w:val="00AE697E"/>
    <w:rsid w:val="00BB6E9C"/>
    <w:rsid w:val="00BE03EA"/>
    <w:rsid w:val="00BE0760"/>
    <w:rsid w:val="00C051CC"/>
    <w:rsid w:val="00C174A3"/>
    <w:rsid w:val="00C208E5"/>
    <w:rsid w:val="00C40C33"/>
    <w:rsid w:val="00C54086"/>
    <w:rsid w:val="00C85848"/>
    <w:rsid w:val="00C95C20"/>
    <w:rsid w:val="00D62B9E"/>
    <w:rsid w:val="00D91BAB"/>
    <w:rsid w:val="00DA09C8"/>
    <w:rsid w:val="00DA32EE"/>
    <w:rsid w:val="00DB370F"/>
    <w:rsid w:val="00DC0BCF"/>
    <w:rsid w:val="00DD22CB"/>
    <w:rsid w:val="00E00507"/>
    <w:rsid w:val="00E01723"/>
    <w:rsid w:val="00EA30AC"/>
    <w:rsid w:val="00F45A68"/>
    <w:rsid w:val="012216E3"/>
    <w:rsid w:val="019A5107"/>
    <w:rsid w:val="0455278D"/>
    <w:rsid w:val="045B719A"/>
    <w:rsid w:val="06B74A73"/>
    <w:rsid w:val="070A7892"/>
    <w:rsid w:val="07C05C3C"/>
    <w:rsid w:val="08573FC9"/>
    <w:rsid w:val="087E3938"/>
    <w:rsid w:val="08CB214F"/>
    <w:rsid w:val="0936230E"/>
    <w:rsid w:val="0984603C"/>
    <w:rsid w:val="0AE73E5B"/>
    <w:rsid w:val="0B8F7C85"/>
    <w:rsid w:val="0BF866EE"/>
    <w:rsid w:val="0C543AE8"/>
    <w:rsid w:val="0C7025AB"/>
    <w:rsid w:val="0D1B257C"/>
    <w:rsid w:val="0D6142E6"/>
    <w:rsid w:val="0E6221FC"/>
    <w:rsid w:val="0F7D4EA3"/>
    <w:rsid w:val="0FB07D63"/>
    <w:rsid w:val="10661327"/>
    <w:rsid w:val="10B94EB3"/>
    <w:rsid w:val="11811A92"/>
    <w:rsid w:val="157B667D"/>
    <w:rsid w:val="159A4183"/>
    <w:rsid w:val="16105EE8"/>
    <w:rsid w:val="16564D8C"/>
    <w:rsid w:val="173B5246"/>
    <w:rsid w:val="19CF7755"/>
    <w:rsid w:val="1A5D3AA0"/>
    <w:rsid w:val="1B6234F0"/>
    <w:rsid w:val="1B791F55"/>
    <w:rsid w:val="1C35023A"/>
    <w:rsid w:val="1C792DDD"/>
    <w:rsid w:val="1E0442DC"/>
    <w:rsid w:val="1E0D29B5"/>
    <w:rsid w:val="1E1249CC"/>
    <w:rsid w:val="1EA01D97"/>
    <w:rsid w:val="1EC44F49"/>
    <w:rsid w:val="1F1A0CDD"/>
    <w:rsid w:val="1FEB45FC"/>
    <w:rsid w:val="202B0207"/>
    <w:rsid w:val="218F0C8A"/>
    <w:rsid w:val="23671DD1"/>
    <w:rsid w:val="23916076"/>
    <w:rsid w:val="242C30EE"/>
    <w:rsid w:val="243F4BE0"/>
    <w:rsid w:val="248A0E30"/>
    <w:rsid w:val="25190278"/>
    <w:rsid w:val="256A7680"/>
    <w:rsid w:val="273C4D88"/>
    <w:rsid w:val="275D0669"/>
    <w:rsid w:val="27FD5BB8"/>
    <w:rsid w:val="281C0041"/>
    <w:rsid w:val="28724E4A"/>
    <w:rsid w:val="297758F1"/>
    <w:rsid w:val="2AB313B6"/>
    <w:rsid w:val="2B544B64"/>
    <w:rsid w:val="2C171958"/>
    <w:rsid w:val="2D3143AE"/>
    <w:rsid w:val="2E815755"/>
    <w:rsid w:val="31371F11"/>
    <w:rsid w:val="32B8586B"/>
    <w:rsid w:val="336C0139"/>
    <w:rsid w:val="343B0EE5"/>
    <w:rsid w:val="34443A58"/>
    <w:rsid w:val="35587085"/>
    <w:rsid w:val="3596712D"/>
    <w:rsid w:val="36637CE4"/>
    <w:rsid w:val="367B4843"/>
    <w:rsid w:val="36AC0F72"/>
    <w:rsid w:val="37B76C32"/>
    <w:rsid w:val="38865FC5"/>
    <w:rsid w:val="39226380"/>
    <w:rsid w:val="39BB7137"/>
    <w:rsid w:val="3BA72A3A"/>
    <w:rsid w:val="3BD179CC"/>
    <w:rsid w:val="3BD3094A"/>
    <w:rsid w:val="3F670416"/>
    <w:rsid w:val="3FC206B6"/>
    <w:rsid w:val="4211165C"/>
    <w:rsid w:val="45A44140"/>
    <w:rsid w:val="46750C7A"/>
    <w:rsid w:val="46AE266C"/>
    <w:rsid w:val="46B30BB2"/>
    <w:rsid w:val="48997963"/>
    <w:rsid w:val="498848D8"/>
    <w:rsid w:val="49D11C76"/>
    <w:rsid w:val="4AF04351"/>
    <w:rsid w:val="4BC5533C"/>
    <w:rsid w:val="4D11222B"/>
    <w:rsid w:val="4D1B1D73"/>
    <w:rsid w:val="4D636FA4"/>
    <w:rsid w:val="4DC64463"/>
    <w:rsid w:val="4E382E48"/>
    <w:rsid w:val="4E4B32B9"/>
    <w:rsid w:val="506F7A72"/>
    <w:rsid w:val="5199010F"/>
    <w:rsid w:val="52ED77AB"/>
    <w:rsid w:val="53F16CD1"/>
    <w:rsid w:val="53F53000"/>
    <w:rsid w:val="568774F1"/>
    <w:rsid w:val="56C95F12"/>
    <w:rsid w:val="56E41DA1"/>
    <w:rsid w:val="57AC7514"/>
    <w:rsid w:val="57C23A22"/>
    <w:rsid w:val="58393BDE"/>
    <w:rsid w:val="584A2143"/>
    <w:rsid w:val="586568A8"/>
    <w:rsid w:val="5876412D"/>
    <w:rsid w:val="59EB2201"/>
    <w:rsid w:val="59F03B5A"/>
    <w:rsid w:val="5A9A357E"/>
    <w:rsid w:val="5B04004B"/>
    <w:rsid w:val="5EFE197D"/>
    <w:rsid w:val="663F627B"/>
    <w:rsid w:val="66E03967"/>
    <w:rsid w:val="69574662"/>
    <w:rsid w:val="6A002279"/>
    <w:rsid w:val="6B542A21"/>
    <w:rsid w:val="6BE12A87"/>
    <w:rsid w:val="6BE322A1"/>
    <w:rsid w:val="6C0764B3"/>
    <w:rsid w:val="6CCB337F"/>
    <w:rsid w:val="6DCB4607"/>
    <w:rsid w:val="6F477F81"/>
    <w:rsid w:val="6FBE66ED"/>
    <w:rsid w:val="6FD73CD2"/>
    <w:rsid w:val="71600CAF"/>
    <w:rsid w:val="72F20C75"/>
    <w:rsid w:val="734E723C"/>
    <w:rsid w:val="741D1ECB"/>
    <w:rsid w:val="74F71DB5"/>
    <w:rsid w:val="76B8481D"/>
    <w:rsid w:val="77C50BCD"/>
    <w:rsid w:val="782C30FC"/>
    <w:rsid w:val="78552939"/>
    <w:rsid w:val="799A2925"/>
    <w:rsid w:val="79BA42F1"/>
    <w:rsid w:val="79CC1B89"/>
    <w:rsid w:val="79F6394F"/>
    <w:rsid w:val="7AC96D60"/>
    <w:rsid w:val="7C9F5E2E"/>
    <w:rsid w:val="7D61689F"/>
    <w:rsid w:val="7DCF3A7A"/>
    <w:rsid w:val="7F2616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7">
    <w:name w:val="Footer Char"/>
    <w:basedOn w:val="6"/>
    <w:link w:val="2"/>
    <w:qFormat/>
    <w:locked/>
    <w:uiPriority w:val="99"/>
    <w:rPr>
      <w:rFonts w:cs="Times New Roman"/>
      <w:sz w:val="18"/>
      <w:szCs w:val="18"/>
    </w:rPr>
  </w:style>
  <w:style w:type="character" w:customStyle="1" w:styleId="8">
    <w:name w:val="Header Char"/>
    <w:basedOn w:val="6"/>
    <w:link w:val="3"/>
    <w:qFormat/>
    <w:locked/>
    <w:uiPriority w:val="99"/>
    <w:rPr>
      <w:rFonts w:cs="Times New Roman"/>
      <w:sz w:val="18"/>
      <w:szCs w:val="18"/>
    </w:rPr>
  </w:style>
  <w:style w:type="character" w:customStyle="1" w:styleId="9">
    <w:name w:val="font71"/>
    <w:basedOn w:val="6"/>
    <w:qFormat/>
    <w:uiPriority w:val="0"/>
    <w:rPr>
      <w:rFonts w:hint="eastAsia" w:ascii="宋体" w:hAnsi="宋体" w:eastAsia="宋体" w:cs="宋体"/>
      <w:color w:val="000000"/>
      <w:sz w:val="16"/>
      <w:szCs w:val="16"/>
      <w:u w:val="none"/>
    </w:rPr>
  </w:style>
  <w:style w:type="character" w:customStyle="1" w:styleId="10">
    <w:name w:val="font21"/>
    <w:basedOn w:val="6"/>
    <w:qFormat/>
    <w:uiPriority w:val="0"/>
    <w:rPr>
      <w:rFonts w:ascii="Calibri" w:hAnsi="Calibri" w:cs="Calibri"/>
      <w:color w:val="000000"/>
      <w:sz w:val="16"/>
      <w:szCs w:val="16"/>
      <w:u w:val="none"/>
    </w:rPr>
  </w:style>
  <w:style w:type="character" w:customStyle="1" w:styleId="11">
    <w:name w:val="font41"/>
    <w:basedOn w:val="6"/>
    <w:qFormat/>
    <w:uiPriority w:val="0"/>
    <w:rPr>
      <w:rFonts w:ascii="Arial Unicode MS" w:hAnsi="Arial Unicode MS" w:eastAsia="Arial Unicode MS" w:cs="Arial Unicode MS"/>
      <w:color w:val="000000"/>
      <w:sz w:val="16"/>
      <w:szCs w:val="16"/>
      <w:u w:val="none"/>
    </w:rPr>
  </w:style>
  <w:style w:type="character" w:customStyle="1" w:styleId="12">
    <w:name w:val="font81"/>
    <w:basedOn w:val="6"/>
    <w:qFormat/>
    <w:uiPriority w:val="0"/>
    <w:rPr>
      <w:rFonts w:hint="eastAsia" w:ascii="宋体" w:hAnsi="宋体" w:eastAsia="宋体" w:cs="宋体"/>
      <w:color w:val="000000"/>
      <w:sz w:val="16"/>
      <w:szCs w:val="16"/>
      <w:u w:val="none"/>
    </w:rPr>
  </w:style>
  <w:style w:type="character" w:customStyle="1" w:styleId="13">
    <w:name w:val="font01"/>
    <w:basedOn w:val="6"/>
    <w:qFormat/>
    <w:uiPriority w:val="0"/>
    <w:rPr>
      <w:rFonts w:ascii="Arial Unicode MS" w:hAnsi="Arial Unicode MS" w:eastAsia="Arial Unicode MS" w:cs="Arial Unicode MS"/>
      <w:color w:val="000000"/>
      <w:sz w:val="16"/>
      <w:szCs w:val="16"/>
      <w:u w:val="none"/>
    </w:rPr>
  </w:style>
  <w:style w:type="character" w:customStyle="1" w:styleId="14">
    <w:name w:val="font101"/>
    <w:basedOn w:val="6"/>
    <w:qFormat/>
    <w:uiPriority w:val="0"/>
    <w:rPr>
      <w:rFonts w:ascii="Calibri" w:hAnsi="Calibri" w:cs="Calibri"/>
      <w:color w:val="000000"/>
      <w:sz w:val="16"/>
      <w:szCs w:val="16"/>
      <w:u w:val="none"/>
    </w:rPr>
  </w:style>
  <w:style w:type="character" w:customStyle="1" w:styleId="15">
    <w:name w:val="font51"/>
    <w:basedOn w:val="6"/>
    <w:qFormat/>
    <w:uiPriority w:val="0"/>
    <w:rPr>
      <w:rFonts w:hint="eastAsia" w:ascii="宋体" w:hAnsi="宋体" w:eastAsia="宋体" w:cs="宋体"/>
      <w:color w:val="000000"/>
      <w:sz w:val="16"/>
      <w:szCs w:val="16"/>
      <w:u w:val="none"/>
    </w:rPr>
  </w:style>
  <w:style w:type="character" w:customStyle="1" w:styleId="16">
    <w:name w:val="font142"/>
    <w:basedOn w:val="6"/>
    <w:qFormat/>
    <w:uiPriority w:val="0"/>
    <w:rPr>
      <w:rFonts w:ascii="Calibri" w:hAnsi="Calibri" w:cs="Calibri"/>
      <w:color w:val="000000"/>
      <w:sz w:val="16"/>
      <w:szCs w:val="16"/>
      <w:u w:val="none"/>
    </w:rPr>
  </w:style>
  <w:style w:type="character" w:customStyle="1" w:styleId="17">
    <w:name w:val="font31"/>
    <w:basedOn w:val="6"/>
    <w:qFormat/>
    <w:uiPriority w:val="0"/>
    <w:rPr>
      <w:rFonts w:hint="eastAsia" w:ascii="宋体" w:hAnsi="宋体" w:eastAsia="宋体" w:cs="宋体"/>
      <w:color w:val="000000"/>
      <w:sz w:val="16"/>
      <w:szCs w:val="16"/>
      <w:u w:val="none"/>
    </w:rPr>
  </w:style>
  <w:style w:type="character" w:customStyle="1" w:styleId="18">
    <w:name w:val="font91"/>
    <w:basedOn w:val="6"/>
    <w:qFormat/>
    <w:uiPriority w:val="0"/>
    <w:rPr>
      <w:rFonts w:ascii="Calibri" w:hAnsi="Calibri" w:cs="Calibri"/>
      <w:color w:val="000000"/>
      <w:sz w:val="16"/>
      <w:szCs w:val="16"/>
      <w:u w:val="none"/>
    </w:rPr>
  </w:style>
  <w:style w:type="character" w:customStyle="1" w:styleId="19">
    <w:name w:val="font11"/>
    <w:basedOn w:val="6"/>
    <w:qFormat/>
    <w:uiPriority w:val="0"/>
    <w:rPr>
      <w:rFonts w:ascii="Calibri" w:hAnsi="Calibri" w:cs="Calibri"/>
      <w:color w:val="000000"/>
      <w:sz w:val="16"/>
      <w:szCs w:val="16"/>
      <w:u w:val="none"/>
    </w:rPr>
  </w:style>
  <w:style w:type="character" w:customStyle="1" w:styleId="20">
    <w:name w:val="font121"/>
    <w:basedOn w:val="6"/>
    <w:qFormat/>
    <w:uiPriority w:val="0"/>
    <w:rPr>
      <w:rFonts w:ascii="Calibri" w:hAnsi="Calibri" w:cs="Calibri"/>
      <w:color w:val="000000"/>
      <w:sz w:val="16"/>
      <w:szCs w:val="16"/>
      <w:u w:val="none"/>
    </w:rPr>
  </w:style>
  <w:style w:type="character" w:customStyle="1" w:styleId="21">
    <w:name w:val="font61"/>
    <w:basedOn w:val="6"/>
    <w:qFormat/>
    <w:uiPriority w:val="0"/>
    <w:rPr>
      <w:rFonts w:hint="eastAsia" w:ascii="宋体" w:hAnsi="宋体" w:eastAsia="宋体" w:cs="宋体"/>
      <w:color w:val="000000"/>
      <w:sz w:val="16"/>
      <w:szCs w:val="16"/>
      <w:u w:val="none"/>
    </w:rPr>
  </w:style>
  <w:style w:type="character" w:customStyle="1" w:styleId="22">
    <w:name w:val="font141"/>
    <w:basedOn w:val="6"/>
    <w:qFormat/>
    <w:uiPriority w:val="0"/>
    <w:rPr>
      <w:rFonts w:ascii="Calibri" w:hAnsi="Calibri" w:cs="Calibri"/>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P R C</Company>
  <Pages>23</Pages>
  <Words>7198</Words>
  <Characters>7717</Characters>
  <Lines>0</Lines>
  <Paragraphs>0</Paragraphs>
  <TotalTime>10</TotalTime>
  <ScaleCrop>false</ScaleCrop>
  <LinksUpToDate>false</LinksUpToDate>
  <CharactersWithSpaces>7761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勇敢编辑部</cp:lastModifiedBy>
  <cp:lastPrinted>2022-01-20T01:48:00Z</cp:lastPrinted>
  <dcterms:modified xsi:type="dcterms:W3CDTF">2025-02-14T07:14:44Z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eyJoZGlkIjoiMWZhOWFkNjBiNzczM2ZkNWJlMmFkMGI2YmI1ZWNmNGIiLCJ1c2VySWQiOiIxNjU1MzMyOTYxIn0=</vt:lpwstr>
  </property>
  <property fmtid="{D5CDD505-2E9C-101B-9397-08002B2CF9AE}" pid="4" name="ICV">
    <vt:lpwstr>FADEA3889E7F4DCA96DB61C4DC3997AE_12</vt:lpwstr>
  </property>
</Properties>
</file>