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附件3</w:t>
      </w:r>
    </w:p>
    <w:p>
      <w:pPr>
        <w:spacing w:line="580" w:lineRule="exact"/>
        <w:jc w:val="center"/>
        <w:rPr>
          <w:rFonts w:hint="eastAsia" w:ascii="方正小标宋_GBK" w:hAnsi="宋体" w:eastAsia="方正小标宋_GBK" w:cs="Tahoma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 w:cs="Tahoma"/>
          <w:kern w:val="0"/>
          <w:sz w:val="44"/>
          <w:szCs w:val="44"/>
          <w:lang w:eastAsia="zh-CN"/>
        </w:rPr>
        <w:t>高新区人民检察院</w:t>
      </w:r>
      <w:r>
        <w:rPr>
          <w:rFonts w:hint="eastAsia" w:ascii="方正小标宋_GBK" w:hAnsi="宋体" w:eastAsia="方正小标宋_GBK"/>
          <w:sz w:val="44"/>
          <w:szCs w:val="44"/>
        </w:rPr>
        <w:t>20</w:t>
      </w:r>
      <w:r>
        <w:rPr>
          <w:rFonts w:hint="eastAsia" w:ascii="方正小标宋_GBK" w:hAnsi="宋体" w:eastAsia="方正小标宋_GBK"/>
          <w:sz w:val="44"/>
          <w:szCs w:val="44"/>
          <w:lang w:val="en-US" w:eastAsia="zh-CN"/>
        </w:rPr>
        <w:t>21</w:t>
      </w:r>
      <w:r>
        <w:rPr>
          <w:rFonts w:hint="eastAsia" w:ascii="方正小标宋_GBK" w:hAnsi="宋体" w:eastAsia="方正小标宋_GBK"/>
          <w:sz w:val="44"/>
          <w:szCs w:val="44"/>
        </w:rPr>
        <w:t>年度资金</w:t>
      </w: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绩效自评报告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一、基本情况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（一）总体情况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2021年</w:t>
      </w:r>
      <w:r>
        <w:rPr>
          <w:rFonts w:hint="eastAsia" w:ascii="仿宋_GB2312" w:hAnsi="宋体" w:eastAsia="仿宋_GB2312"/>
          <w:sz w:val="32"/>
          <w:szCs w:val="32"/>
        </w:rPr>
        <w:t>年度预算安排的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3个</w:t>
      </w:r>
      <w:r>
        <w:rPr>
          <w:rFonts w:hint="eastAsia" w:ascii="仿宋_GB2312" w:hAnsi="宋体" w:eastAsia="仿宋_GB2312"/>
          <w:sz w:val="32"/>
          <w:szCs w:val="32"/>
        </w:rPr>
        <w:t>专项项目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，分别是被装购置经费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7.1万元、检务公开业务经费及司法救助经费4万元及检察业务费50万元，资金共计61.1万元。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（二）具体情况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被装购置经费是根据按照《人民检察院检察制服着装管理规定》（高检发装字〔2010〕56号）相关规定，保障干警服装质量及形象的提高。</w:t>
      </w:r>
    </w:p>
    <w:p>
      <w:pPr>
        <w:spacing w:line="580" w:lineRule="exact"/>
        <w:ind w:firstLine="640" w:firstLineChars="20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司法救助是各级检察机关要主动发挥职能作用，积极开展国家司法救助工作，对符合救助条件的当事人，不论其户籍在本地或外地，均应主动开展救助工作；对符合救助条件的涉法涉诉信访人，也应根据规定及时提供救助，促进息诉息访，及早化解社会矛盾。国家司法救助以支付救助金为主要方式，重点解决符合条件特定案件当事人生活面临的急迫困难</w:t>
      </w:r>
      <w:r>
        <w:rPr>
          <w:rFonts w:hint="eastAsia" w:ascii="仿宋_GB2312" w:hAnsi="宋体" w:eastAsia="仿宋_GB2312"/>
          <w:sz w:val="32"/>
          <w:szCs w:val="32"/>
        </w:rPr>
        <w:t>包括主要内容和用途（主要解决的问题）、资金来源与预算安排、产出指标和效果指标设定情况及设定依据。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640" w:firstLineChars="200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检务公开业务是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严格落实“谁执法谁普法”的普法责任制，推动司法办案过程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公开；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提高工作水平，注重在公开中更好服务群众。通过案件信息查询网、微信公众号等平台，及时提供案件程序性信息查询服务；全面公开检察政务信息，保障群众的知情权、参与权和监督权；完善制度建设，推动检务公开工作规范化。健全的制度机制是规范检务公开的基础，我院积极建立健全检务公开制度，为深化检务公开提供了坚实的制度保障；法治宣传制度化，营造良好社会氛围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0" w:lineRule="atLeast"/>
        <w:ind w:left="0" w:right="0" w:firstLine="640" w:firstLineChars="200"/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检察业务经费是为了保障我院正常的办公、办案需要所申请的经费。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二、绩效自评工作开展情况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（一）前期准备</w:t>
      </w:r>
    </w:p>
    <w:p>
      <w:pPr>
        <w:spacing w:line="580" w:lineRule="exact"/>
        <w:ind w:firstLine="640" w:firstLineChars="200"/>
        <w:rPr>
          <w:rFonts w:hint="default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为了做好本次绩效评价工作，我院成立绩效评价工作小组，组织展开对我院预算项目绩效评价自评工作，对2020年预算项目内容、资金使用及管理、项目绩效绩效进行认真总结、分析及填报工作。</w:t>
      </w:r>
    </w:p>
    <w:p>
      <w:pPr>
        <w:numPr>
          <w:ilvl w:val="0"/>
          <w:numId w:val="1"/>
        </w:num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组织实施</w:t>
      </w:r>
    </w:p>
    <w:p>
      <w:pPr>
        <w:numPr>
          <w:ilvl w:val="0"/>
          <w:numId w:val="0"/>
        </w:numPr>
        <w:spacing w:line="580" w:lineRule="exact"/>
        <w:rPr>
          <w:rFonts w:hint="default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在我院负责人领导下，组织开展对预算项目绩效评价工作，对2020年预算项目内容、资金使用及管理、项目绩效进行认真总结、分析填报工作</w:t>
      </w:r>
    </w:p>
    <w:p>
      <w:pPr>
        <w:numPr>
          <w:ilvl w:val="0"/>
          <w:numId w:val="1"/>
        </w:numPr>
        <w:spacing w:line="580" w:lineRule="exact"/>
        <w:ind w:left="0" w:leftChars="0"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分析评价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default" w:ascii="仿宋_GB2312" w:hAnsi="宋体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kern w:val="2"/>
          <w:sz w:val="32"/>
          <w:szCs w:val="32"/>
          <w:lang w:val="en-US" w:eastAsia="zh-CN" w:bidi="ar-SA"/>
        </w:rPr>
        <w:t>我院对有关材料进行分析整理，按照绩效评价要求，认真开展此项工作，形成了绩效评价。并按要求及时上报2021年高新区部门绩效评价情况表（附件1）、预算安排的专项项目绩效目标自评表（2021年度）（附件2）、部门绩效报告（附件3）</w:t>
      </w:r>
    </w:p>
    <w:p>
      <w:pPr>
        <w:numPr>
          <w:ilvl w:val="0"/>
          <w:numId w:val="0"/>
        </w:numPr>
        <w:spacing w:line="580" w:lineRule="exact"/>
        <w:ind w:left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三、综合评价结论</w:t>
      </w:r>
    </w:p>
    <w:p>
      <w:pPr>
        <w:spacing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（一）部门全部评价项目优良率</w:t>
      </w:r>
    </w:p>
    <w:p>
      <w:pPr>
        <w:spacing w:line="580" w:lineRule="exact"/>
        <w:ind w:firstLine="640" w:firstLineChars="200"/>
        <w:rPr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本部门评价项目共计3项，其中评优项目3项，评优率100%。</w:t>
      </w:r>
    </w:p>
    <w:p>
      <w:pPr>
        <w:numPr>
          <w:ilvl w:val="0"/>
          <w:numId w:val="2"/>
        </w:numPr>
        <w:spacing w:before="156" w:beforeLines="50" w:line="580" w:lineRule="exact"/>
        <w:ind w:firstLine="643" w:firstLineChars="200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部门整体绩效目标的完成情况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560" w:lineRule="exact"/>
        <w:ind w:firstLine="640" w:firstLineChars="200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我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在资金使用和管理中，实际支出与项目规定的用途一致，资金收支平衡；资金使用都能做到公开、公平，按程序上报和审批；资金管理配备了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财务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工作人员；严格执行财务制度，无截留、挤占、挪用补偿基金等违规行为；财务制度健全，财务信息真实完整。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四、绩效</w:t>
      </w:r>
      <w:r>
        <w:rPr>
          <w:rFonts w:hint="eastAsia" w:ascii="黑体" w:hAnsi="宋体" w:eastAsia="黑体"/>
          <w:sz w:val="32"/>
          <w:szCs w:val="32"/>
          <w:lang w:eastAsia="zh-CN"/>
        </w:rPr>
        <w:t>项目</w:t>
      </w:r>
      <w:r>
        <w:rPr>
          <w:rFonts w:hint="eastAsia" w:ascii="黑体" w:hAnsi="宋体" w:eastAsia="黑体"/>
          <w:sz w:val="32"/>
          <w:szCs w:val="32"/>
        </w:rPr>
        <w:t>完成情况分析及下一步改进措施。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部门整体绩效目标虽已细化分解为具体的工作任务，部门年度的任务数或计划数也达到了对应目标；但绩效目标分解的绩效指标不够细化，未能通过清晰、可衡量的指标值予以体现。下一步，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在绩效目标的设立上，将明确项目立项依据、保障制度、实施计划、支出计划，以及项目的绩效目标，强化预算绩效管理理念。在预算执行过程中，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将实时对照绩效目标，开展绩效自评工作，促进绩效目标最终实现，实现绩效管理与预算编制有机结合</w:t>
      </w:r>
    </w:p>
    <w:p>
      <w:pPr>
        <w:spacing w:line="580" w:lineRule="exact"/>
        <w:ind w:firstLine="640" w:firstLineChars="2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五、绩效评价结果拟应用情况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（一）提高对绩效评价结果应用重要性的认识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高度重视绩效评价结果的应用工作，下一步将充分发挥绩效评价以评促管理、促效能，积极探索和建立一套与预算管理相结合、多渠道应用评价结果的有效机制，努力提高绩效意识和财政资金使用效益。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（二）建立与部门预算相结合的应用机制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  <w:lang w:eastAsia="zh-CN"/>
        </w:rPr>
        <w:t>我院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shd w:val="clear" w:color="auto" w:fill="FFFFFF"/>
        </w:rPr>
        <w:t>将加强内部协调与配合，建立与部门预算相结合的应用机制，实现绩效评价与部门预算的有机结合，促进财政资金的合理分配与有效使用。</w:t>
      </w:r>
    </w:p>
    <w:p>
      <w:pPr>
        <w:spacing w:line="580" w:lineRule="exact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附件：</w:t>
      </w:r>
      <w:r>
        <w:rPr>
          <w:rFonts w:hint="eastAsia" w:ascii="仿宋_GB2312" w:eastAsia="仿宋_GB2312" w:cs="仿宋_GB2312"/>
          <w:sz w:val="32"/>
          <w:szCs w:val="32"/>
        </w:rPr>
        <w:t>1.20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高新区</w:t>
      </w:r>
      <w:r>
        <w:rPr>
          <w:rFonts w:hint="eastAsia" w:ascii="仿宋_GB2312" w:eastAsia="仿宋_GB2312" w:cs="仿宋_GB2312"/>
          <w:sz w:val="32"/>
          <w:szCs w:val="32"/>
        </w:rPr>
        <w:t>部门绩效自评情况统计表</w:t>
      </w:r>
    </w:p>
    <w:p>
      <w:pPr>
        <w:spacing w:line="580" w:lineRule="exact"/>
        <w:ind w:left="1910" w:leftChars="300" w:hanging="1280" w:hangingChars="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2.部门预算项目绩效自评表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年度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/>
    <w:sectPr>
      <w:pgSz w:w="11906" w:h="16838"/>
      <w:pgMar w:top="1440" w:right="141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8E712D"/>
    <w:multiLevelType w:val="singleLevel"/>
    <w:tmpl w:val="D28E712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CB74B90"/>
    <w:multiLevelType w:val="singleLevel"/>
    <w:tmpl w:val="5CB74B9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608"/>
    <w:rsid w:val="00013BCD"/>
    <w:rsid w:val="00027602"/>
    <w:rsid w:val="000614E0"/>
    <w:rsid w:val="000D4C09"/>
    <w:rsid w:val="000F27BE"/>
    <w:rsid w:val="00144D33"/>
    <w:rsid w:val="00194022"/>
    <w:rsid w:val="001A72EC"/>
    <w:rsid w:val="001D409C"/>
    <w:rsid w:val="00262DA7"/>
    <w:rsid w:val="002C7E8C"/>
    <w:rsid w:val="003515DB"/>
    <w:rsid w:val="0039153A"/>
    <w:rsid w:val="00397E5A"/>
    <w:rsid w:val="003A7EF0"/>
    <w:rsid w:val="003C49FB"/>
    <w:rsid w:val="003D4665"/>
    <w:rsid w:val="00467548"/>
    <w:rsid w:val="004739F8"/>
    <w:rsid w:val="004967A4"/>
    <w:rsid w:val="004A2A09"/>
    <w:rsid w:val="005656A7"/>
    <w:rsid w:val="005E5369"/>
    <w:rsid w:val="006377E6"/>
    <w:rsid w:val="00671415"/>
    <w:rsid w:val="006F4C2C"/>
    <w:rsid w:val="007A5273"/>
    <w:rsid w:val="007D04FC"/>
    <w:rsid w:val="007D5BD8"/>
    <w:rsid w:val="007F2CE5"/>
    <w:rsid w:val="0086193F"/>
    <w:rsid w:val="00873C29"/>
    <w:rsid w:val="00883B3F"/>
    <w:rsid w:val="00996253"/>
    <w:rsid w:val="00A52608"/>
    <w:rsid w:val="00AB5E10"/>
    <w:rsid w:val="00AC4691"/>
    <w:rsid w:val="00AD40CE"/>
    <w:rsid w:val="00BB6E9C"/>
    <w:rsid w:val="00BE03EA"/>
    <w:rsid w:val="00BE0760"/>
    <w:rsid w:val="00C051CC"/>
    <w:rsid w:val="00C174A3"/>
    <w:rsid w:val="00C208E5"/>
    <w:rsid w:val="00C40C33"/>
    <w:rsid w:val="00C85848"/>
    <w:rsid w:val="00C95C20"/>
    <w:rsid w:val="00D62B9E"/>
    <w:rsid w:val="00D91BAB"/>
    <w:rsid w:val="00DA09C8"/>
    <w:rsid w:val="00DA32EE"/>
    <w:rsid w:val="00DB370F"/>
    <w:rsid w:val="00DC0BCF"/>
    <w:rsid w:val="00DD22CB"/>
    <w:rsid w:val="00E00507"/>
    <w:rsid w:val="00E01723"/>
    <w:rsid w:val="00EA30AC"/>
    <w:rsid w:val="00F45A68"/>
    <w:rsid w:val="11FB49CC"/>
    <w:rsid w:val="27D226AF"/>
    <w:rsid w:val="281C0041"/>
    <w:rsid w:val="32B8586B"/>
    <w:rsid w:val="331F473F"/>
    <w:rsid w:val="350E3B24"/>
    <w:rsid w:val="3FC206B6"/>
    <w:rsid w:val="43C34488"/>
    <w:rsid w:val="46750C7A"/>
    <w:rsid w:val="506F7A72"/>
    <w:rsid w:val="52246F24"/>
    <w:rsid w:val="6CA47B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106</Words>
  <Characters>608</Characters>
  <Lines>5</Lines>
  <Paragraphs>1</Paragraphs>
  <TotalTime>20</TotalTime>
  <ScaleCrop>false</ScaleCrop>
  <LinksUpToDate>false</LinksUpToDate>
  <CharactersWithSpaces>713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2019-12-27T07:58:00Z</dcterms:created>
  <dc:creator>靳翰博</dc:creator>
  <cp:lastModifiedBy>爱希</cp:lastModifiedBy>
  <cp:lastPrinted>2022-01-17T03:19:30Z</cp:lastPrinted>
  <dcterms:modified xsi:type="dcterms:W3CDTF">2022-01-17T03:20:00Z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