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ind w:left="2644" w:right="2646"/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2022年预算绩效运行监控报告</w:t>
      </w: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jc w:val="center"/>
        <w:rPr>
          <w:rFonts w:ascii="方正小标宋简体" w:eastAsia="方正小标宋简体"/>
          <w:sz w:val="52"/>
          <w:szCs w:val="5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pacing w:val="2"/>
          <w:sz w:val="32"/>
          <w:szCs w:val="32"/>
        </w:rPr>
        <w:t>2022</w:t>
      </w:r>
      <w:r>
        <w:rPr>
          <w:rFonts w:hint="eastAsia" w:ascii="黑体" w:hAnsi="黑体" w:eastAsia="黑体"/>
          <w:sz w:val="32"/>
          <w:szCs w:val="32"/>
        </w:rPr>
        <w:t>年9月</w:t>
      </w:r>
      <w:r>
        <w:rPr>
          <w:rFonts w:hint="eastAsia" w:ascii="黑体" w:hAnsi="黑体" w:eastAsia="黑体"/>
          <w:spacing w:val="2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唐山高新技术产业开发区行政服务中心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2022年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事中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运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行绩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监控</w:t>
      </w:r>
      <w:r>
        <w:rPr>
          <w:rFonts w:hint="eastAsia" w:ascii="方正小标宋简体" w:hAnsi="方正小标宋简体" w:eastAsia="方正小标宋简体" w:cs="方正小标宋简体"/>
          <w:spacing w:val="2"/>
          <w:sz w:val="40"/>
          <w:szCs w:val="40"/>
        </w:rPr>
        <w:t>报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告</w:t>
      </w:r>
    </w:p>
    <w:p>
      <w:pPr>
        <w:overflowPunct w:val="0"/>
        <w:autoSpaceDE w:val="0"/>
        <w:autoSpaceDN w:val="0"/>
        <w:adjustRightInd w:val="0"/>
        <w:snapToGrid w:val="0"/>
        <w:spacing w:before="19" w:beforeAutospacing="0" w:line="560" w:lineRule="exact"/>
        <w:rPr>
          <w:sz w:val="24"/>
          <w:szCs w:val="24"/>
        </w:rPr>
      </w:pP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一</w:t>
      </w:r>
      <w:r>
        <w:rPr>
          <w:rFonts w:hint="eastAsia" w:ascii="黑体" w:hAnsi="黑体" w:eastAsia="黑体"/>
          <w:color w:val="333333"/>
          <w:spacing w:val="2"/>
          <w:sz w:val="32"/>
          <w:szCs w:val="32"/>
        </w:rPr>
        <w:t>、</w:t>
      </w:r>
      <w:r>
        <w:rPr>
          <w:rFonts w:hint="eastAsia" w:ascii="黑体" w:hAnsi="黑体" w:eastAsia="黑体"/>
          <w:color w:val="333333"/>
          <w:sz w:val="32"/>
          <w:szCs w:val="32"/>
        </w:rPr>
        <w:t>预算</w:t>
      </w:r>
      <w:r>
        <w:rPr>
          <w:rFonts w:hint="eastAsia" w:ascii="黑体" w:hAnsi="黑体" w:eastAsia="黑体"/>
          <w:color w:val="333333"/>
          <w:spacing w:val="2"/>
          <w:sz w:val="32"/>
          <w:szCs w:val="32"/>
        </w:rPr>
        <w:t>安</w:t>
      </w:r>
      <w:r>
        <w:rPr>
          <w:rFonts w:hint="eastAsia" w:ascii="黑体" w:hAnsi="黑体" w:eastAsia="黑体"/>
          <w:color w:val="333333"/>
          <w:sz w:val="32"/>
          <w:szCs w:val="32"/>
        </w:rPr>
        <w:t>排情况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333333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z w:val="32"/>
          <w:szCs w:val="32"/>
        </w:rPr>
        <w:t>本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部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门2022年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度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预算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总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额641.79万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中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：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财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政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拨款641.79万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他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拨款收入0万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7"/>
          <w:sz w:val="32"/>
          <w:szCs w:val="32"/>
        </w:rPr>
        <w:t>。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包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括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人员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费388.48万元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正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常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公用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费58.31万元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项目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费195万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。调整预算数62.68万元（人员经费调整），调整后预算数为704.47万元。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二、预算执行情况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1-9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月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本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部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门预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支出504.97万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整体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执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行率为71.68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-3"/>
          <w:sz w:val="32"/>
          <w:szCs w:val="32"/>
        </w:rPr>
        <w:t>。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其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中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人员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费支出356.39万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元</w:t>
      </w:r>
      <w:r>
        <w:rPr>
          <w:rFonts w:hint="eastAsia" w:ascii="仿宋_GB2312" w:hAnsi="仿宋" w:eastAsia="仿宋_GB2312"/>
          <w:color w:val="333333"/>
          <w:spacing w:val="-5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占预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算79.00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-3"/>
          <w:sz w:val="32"/>
          <w:szCs w:val="32"/>
        </w:rPr>
        <w:t>；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正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常公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用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经费支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出3.79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万元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占预算6.50</w:t>
      </w:r>
      <w:r>
        <w:rPr>
          <w:rFonts w:hint="eastAsia" w:ascii="仿宋_GB2312" w:hAnsi="仿宋" w:eastAsia="仿宋_GB2312"/>
          <w:color w:val="333333"/>
          <w:spacing w:val="5"/>
          <w:sz w:val="32"/>
          <w:szCs w:val="32"/>
        </w:rPr>
        <w:t>%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；项目</w:t>
      </w:r>
      <w:r>
        <w:rPr>
          <w:rFonts w:hint="eastAsia" w:ascii="仿宋_GB2312" w:hAnsi="仿宋" w:eastAsia="仿宋_GB2312"/>
          <w:color w:val="333333"/>
          <w:spacing w:val="4"/>
          <w:sz w:val="32"/>
          <w:szCs w:val="32"/>
        </w:rPr>
        <w:t>经</w:t>
      </w:r>
      <w:r>
        <w:rPr>
          <w:rFonts w:hint="eastAsia" w:ascii="仿宋_GB2312" w:hAnsi="仿宋" w:eastAsia="仿宋_GB2312"/>
          <w:color w:val="333333"/>
          <w:spacing w:val="6"/>
          <w:sz w:val="32"/>
          <w:szCs w:val="32"/>
        </w:rPr>
        <w:t>费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支出144.79万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，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占预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算74.25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%。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1-9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月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，本部门三公经费支出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，占年初预算的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%。</w:t>
      </w:r>
      <w:r>
        <w:rPr>
          <w:rFonts w:hint="eastAsia" w:ascii="仿宋_GB2312" w:hAnsi="仿宋" w:eastAsia="仿宋_GB2312"/>
          <w:color w:val="333333"/>
          <w:spacing w:val="-8"/>
          <w:sz w:val="32"/>
          <w:szCs w:val="32"/>
        </w:rPr>
        <w:t>其中：公务接待费支出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万元，占年初预算的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%，公务车运行维护费支出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0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万元，占年初预算的0%；公务车购置费支出0万元，占年初预算的0%；因公出国（境）费支出0万元，占年初预算的0%；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三、绩效目标完成情况</w:t>
      </w:r>
    </w:p>
    <w:p>
      <w:pPr>
        <w:overflowPunct w:val="0"/>
        <w:autoSpaceDE w:val="0"/>
        <w:autoSpaceDN w:val="0"/>
        <w:adjustRightInd w:val="0"/>
        <w:snapToGrid w:val="0"/>
        <w:spacing w:before="73" w:beforeAutospacing="0" w:line="560" w:lineRule="exact"/>
        <w:ind w:left="760"/>
        <w:rPr>
          <w:rFonts w:ascii="楷体_GB2312" w:hAnsi="仿宋" w:eastAsia="楷体_GB2312"/>
          <w:color w:val="333333"/>
          <w:spacing w:val="1"/>
          <w:sz w:val="32"/>
          <w:szCs w:val="32"/>
        </w:rPr>
      </w:pPr>
      <w:r>
        <w:rPr>
          <w:rFonts w:hint="eastAsia" w:ascii="楷体_GB2312" w:hAnsi="仿宋" w:eastAsia="楷体_GB2312"/>
          <w:color w:val="333333"/>
          <w:spacing w:val="1"/>
          <w:sz w:val="32"/>
          <w:szCs w:val="32"/>
        </w:rPr>
        <w:t>（一）部门整体绩效目标完成情况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-2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根据年初要求完成节点绩效目标值50%。现阶段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预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算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整体</w:t>
      </w:r>
      <w:r>
        <w:rPr>
          <w:rFonts w:hint="eastAsia" w:ascii="仿宋_GB2312" w:hAnsi="仿宋" w:eastAsia="仿宋_GB2312"/>
          <w:color w:val="333333"/>
          <w:spacing w:val="2"/>
          <w:sz w:val="32"/>
          <w:szCs w:val="32"/>
        </w:rPr>
        <w:t>执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行率为71.68</w:t>
      </w:r>
      <w:r>
        <w:rPr>
          <w:rFonts w:hint="eastAsia" w:ascii="仿宋_GB2312" w:hAnsi="仿宋" w:eastAsia="仿宋_GB2312"/>
          <w:color w:val="333333"/>
          <w:spacing w:val="-2"/>
          <w:sz w:val="32"/>
          <w:szCs w:val="32"/>
        </w:rPr>
        <w:t>%。</w:t>
      </w:r>
    </w:p>
    <w:p>
      <w:pPr>
        <w:overflowPunct w:val="0"/>
        <w:autoSpaceDE w:val="0"/>
        <w:autoSpaceDN w:val="0"/>
        <w:adjustRightInd w:val="0"/>
        <w:snapToGrid w:val="0"/>
        <w:spacing w:before="73" w:beforeAutospacing="0" w:line="560" w:lineRule="exact"/>
        <w:ind w:left="760"/>
        <w:rPr>
          <w:rFonts w:ascii="楷体_GB2312" w:hAnsi="仿宋" w:eastAsia="楷体_GB2312"/>
          <w:color w:val="333333"/>
          <w:spacing w:val="1"/>
          <w:sz w:val="32"/>
          <w:szCs w:val="32"/>
        </w:rPr>
      </w:pPr>
      <w:r>
        <w:rPr>
          <w:rFonts w:hint="eastAsia" w:ascii="楷体_GB2312" w:hAnsi="仿宋" w:eastAsia="楷体_GB2312"/>
          <w:color w:val="333333"/>
          <w:spacing w:val="1"/>
          <w:sz w:val="32"/>
          <w:szCs w:val="32"/>
        </w:rPr>
        <w:t>（二）项目绩效目标完成情况</w:t>
      </w:r>
    </w:p>
    <w:p>
      <w:pPr>
        <w:overflowPunct w:val="0"/>
        <w:autoSpaceDE w:val="0"/>
        <w:autoSpaceDN w:val="0"/>
        <w:adjustRightInd w:val="0"/>
        <w:snapToGrid w:val="0"/>
        <w:spacing w:before="83" w:beforeAutospacing="0" w:line="560" w:lineRule="exact"/>
        <w:ind w:firstLine="644" w:firstLineChars="200"/>
        <w:rPr>
          <w:rFonts w:hint="eastAsia"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根据年初项目预算安排情况，分项目进行说明。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1.招投标专家评审费用项目目标完成情况。年初预算为10万元，1-9月支出1.57万元，预算执行率为15.7%。目标完成情况为：此项目尚未达到目标值。</w:t>
      </w:r>
    </w:p>
    <w:p>
      <w:pPr>
        <w:pStyle w:val="5"/>
        <w:ind w:left="110" w:firstLine="644"/>
        <w:rPr>
          <w:rFonts w:ascii="仿宋_GB2312" w:hAnsi="仿宋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</w:rPr>
        <w:t>2. 物业费及中央空调使用费项目目标完成情况。年初预算为86万元，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1-9月</w:t>
      </w:r>
      <w:r>
        <w:rPr>
          <w:rFonts w:hint="eastAsia" w:ascii="仿宋_GB2312" w:hAnsi="仿宋"/>
          <w:color w:val="333333"/>
          <w:spacing w:val="1"/>
          <w:szCs w:val="32"/>
        </w:rPr>
        <w:t>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85.97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99.97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此项目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已经完成目标值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。</w:t>
      </w:r>
    </w:p>
    <w:p>
      <w:pPr>
        <w:pStyle w:val="5"/>
        <w:ind w:left="110" w:firstLine="644"/>
        <w:rPr>
          <w:rFonts w:ascii="仿宋_GB2312" w:hAnsi="仿宋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</w:rPr>
        <w:t>3.委托评估费项目目标完成情况。年初预算为65万元，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1-9月</w:t>
      </w:r>
      <w:r>
        <w:rPr>
          <w:rFonts w:hint="eastAsia" w:ascii="仿宋_GB2312" w:hAnsi="仿宋"/>
          <w:color w:val="333333"/>
          <w:spacing w:val="1"/>
          <w:szCs w:val="32"/>
        </w:rPr>
        <w:t>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46.06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70.86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此项目尚未达到目标值。</w:t>
      </w:r>
    </w:p>
    <w:p>
      <w:pPr>
        <w:pStyle w:val="5"/>
        <w:ind w:left="110" w:firstLine="644"/>
        <w:rPr>
          <w:rFonts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"/>
          <w:color w:val="333333"/>
          <w:spacing w:val="1"/>
          <w:szCs w:val="32"/>
        </w:rPr>
        <w:t>4.政务服务大厅运行维护费项目目标完成情况。年初预算为10万元，</w:t>
      </w:r>
      <w:r>
        <w:rPr>
          <w:rFonts w:hint="eastAsia" w:ascii="仿宋_GB2312" w:hAnsi="仿宋"/>
          <w:color w:val="333333"/>
          <w:spacing w:val="1"/>
          <w:szCs w:val="32"/>
          <w:lang w:eastAsia="zh-CN"/>
        </w:rPr>
        <w:t>1-9月</w:t>
      </w:r>
      <w:r>
        <w:rPr>
          <w:rFonts w:hint="eastAsia" w:ascii="仿宋_GB2312" w:hAnsi="仿宋"/>
          <w:color w:val="333333"/>
          <w:spacing w:val="1"/>
          <w:szCs w:val="32"/>
        </w:rPr>
        <w:t>支出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6.19</w:t>
      </w:r>
      <w:r>
        <w:rPr>
          <w:rFonts w:hint="eastAsia" w:ascii="仿宋_GB2312" w:hAnsi="仿宋"/>
          <w:color w:val="333333"/>
          <w:spacing w:val="1"/>
          <w:szCs w:val="32"/>
        </w:rPr>
        <w:t>万元，预算执行率为</w:t>
      </w:r>
      <w:r>
        <w:rPr>
          <w:rFonts w:hint="eastAsia" w:ascii="仿宋_GB2312" w:hAnsi="仿宋"/>
          <w:color w:val="333333"/>
          <w:spacing w:val="1"/>
          <w:szCs w:val="32"/>
          <w:lang w:val="en-US" w:eastAsia="zh-CN"/>
        </w:rPr>
        <w:t>61.9</w:t>
      </w:r>
      <w:r>
        <w:rPr>
          <w:rFonts w:hint="eastAsia" w:ascii="仿宋_GB2312" w:hAnsi="仿宋"/>
          <w:color w:val="333333"/>
          <w:spacing w:val="1"/>
          <w:szCs w:val="32"/>
        </w:rPr>
        <w:t>%。目标完成情况为：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此项目尚未达到目标值。</w:t>
      </w:r>
    </w:p>
    <w:p>
      <w:pPr>
        <w:pStyle w:val="5"/>
        <w:ind w:left="110" w:firstLine="644"/>
        <w:rPr>
          <w:rFonts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_GB2312" w:cs="仿宋_GB2312"/>
          <w:color w:val="333333"/>
          <w:spacing w:val="1"/>
          <w:szCs w:val="32"/>
        </w:rPr>
        <w:t>5.社会信用体系建设费项目目标完成情况。年初预算为10万元，</w:t>
      </w:r>
      <w:r>
        <w:rPr>
          <w:rFonts w:hint="eastAsia" w:ascii="仿宋_GB2312" w:hAnsi="仿宋_GB2312" w:cs="仿宋_GB2312"/>
          <w:color w:val="333333"/>
          <w:spacing w:val="1"/>
          <w:szCs w:val="32"/>
          <w:lang w:eastAsia="zh-CN"/>
        </w:rPr>
        <w:t>1-9月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份支出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万元，预算执行率</w:t>
      </w:r>
      <w:r>
        <w:rPr>
          <w:rFonts w:hint="eastAsia" w:ascii="仿宋_GB2312" w:hAnsi="仿宋_GB2312" w:cs="仿宋_GB2312"/>
          <w:color w:val="333333"/>
          <w:spacing w:val="1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color w:val="333333"/>
          <w:spacing w:val="1"/>
          <w:szCs w:val="32"/>
        </w:rPr>
        <w:t>0%。目标完成情况为：此项目尚未达到目标值。</w:t>
      </w:r>
    </w:p>
    <w:p>
      <w:pPr>
        <w:pStyle w:val="5"/>
        <w:ind w:left="110" w:firstLine="644"/>
        <w:rPr>
          <w:rFonts w:ascii="仿宋_GB2312" w:hAnsi="仿宋_GB2312" w:cs="仿宋_GB2312"/>
          <w:color w:val="333333"/>
          <w:spacing w:val="1"/>
          <w:szCs w:val="32"/>
        </w:rPr>
      </w:pPr>
      <w:r>
        <w:rPr>
          <w:rFonts w:hint="eastAsia" w:ascii="仿宋_GB2312" w:hAnsi="仿宋_GB2312" w:cs="仿宋_GB2312"/>
          <w:color w:val="333333"/>
          <w:spacing w:val="1"/>
          <w:szCs w:val="32"/>
        </w:rPr>
        <w:t>6.数字化档案建设项目目标完成情况。年初预算为14万元，1-9月份支出0万元，预算执行率0%。目标完成情况为：此项目尚未支付。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四、存在的问题分析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因非集采项目比重增加，非集采费用由于采购人承担，故招投标专家评审费支出进度较慢；因发票开具情况未能及时支付委托评估费和社会信用体系建设费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故未达到节点目标值；因与第三方公司合同有细节修改，故尚未支付数字化档案建设费用</w:t>
      </w:r>
      <w:bookmarkStart w:id="0" w:name="_GoBack"/>
      <w:bookmarkEnd w:id="0"/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五、整改措施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4" w:firstLineChars="200"/>
        <w:rPr>
          <w:rFonts w:ascii="仿宋_GB2312" w:hAnsi="仿宋" w:eastAsia="仿宋_GB2312"/>
          <w:color w:val="333333"/>
          <w:spacing w:val="1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合理安排资金使用效率，切实加快资金支出进度，努力提高资金绩效。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3ZDI1M2VhMjcxM2ViNDA0NTEzODZlOWYwOWQzODgifQ=="/>
  </w:docVars>
  <w:rsids>
    <w:rsidRoot w:val="00291008"/>
    <w:rsid w:val="000466A1"/>
    <w:rsid w:val="00097778"/>
    <w:rsid w:val="002354DD"/>
    <w:rsid w:val="0027694F"/>
    <w:rsid w:val="00291008"/>
    <w:rsid w:val="002A18A5"/>
    <w:rsid w:val="002C6443"/>
    <w:rsid w:val="003463F8"/>
    <w:rsid w:val="004574E6"/>
    <w:rsid w:val="00535670"/>
    <w:rsid w:val="005E6AE5"/>
    <w:rsid w:val="0064754A"/>
    <w:rsid w:val="007D44A9"/>
    <w:rsid w:val="009F6126"/>
    <w:rsid w:val="00A901AC"/>
    <w:rsid w:val="00BF3294"/>
    <w:rsid w:val="00D353CD"/>
    <w:rsid w:val="00DC7636"/>
    <w:rsid w:val="00E53470"/>
    <w:rsid w:val="00ED2360"/>
    <w:rsid w:val="00F0150B"/>
    <w:rsid w:val="00FA3643"/>
    <w:rsid w:val="00FA7A1F"/>
    <w:rsid w:val="00FD69DC"/>
    <w:rsid w:val="04650383"/>
    <w:rsid w:val="0C2A1452"/>
    <w:rsid w:val="135D6416"/>
    <w:rsid w:val="17C55195"/>
    <w:rsid w:val="1A054004"/>
    <w:rsid w:val="244E3B80"/>
    <w:rsid w:val="26EA537B"/>
    <w:rsid w:val="2E21674A"/>
    <w:rsid w:val="37D57F18"/>
    <w:rsid w:val="39217D1F"/>
    <w:rsid w:val="3D281BFA"/>
    <w:rsid w:val="41041544"/>
    <w:rsid w:val="499962B1"/>
    <w:rsid w:val="52EE4D0E"/>
    <w:rsid w:val="576A47B0"/>
    <w:rsid w:val="57E8225A"/>
    <w:rsid w:val="5EEC1E9E"/>
    <w:rsid w:val="615C0C4D"/>
    <w:rsid w:val="6A8A18AE"/>
    <w:rsid w:val="6DAF0E74"/>
    <w:rsid w:val="73311E2C"/>
    <w:rsid w:val="76B00E51"/>
    <w:rsid w:val="7D8E51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link w:val="11"/>
    <w:qFormat/>
    <w:uiPriority w:val="0"/>
    <w:pPr>
      <w:spacing w:after="0" w:line="560" w:lineRule="exact"/>
      <w:ind w:left="105" w:leftChars="50" w:firstLine="420" w:firstLineChars="200"/>
    </w:pPr>
    <w:rPr>
      <w:rFonts w:ascii="Times New Roman" w:eastAsia="仿宋_GB2312"/>
      <w:sz w:val="32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semiHidden/>
    <w:qFormat/>
    <w:uiPriority w:val="99"/>
    <w:rPr>
      <w:sz w:val="22"/>
      <w:szCs w:val="22"/>
    </w:rPr>
  </w:style>
  <w:style w:type="character" w:customStyle="1" w:styleId="11">
    <w:name w:val="正文首行缩进 2 Char"/>
    <w:basedOn w:val="10"/>
    <w:link w:val="5"/>
    <w:qFormat/>
    <w:uiPriority w:val="0"/>
    <w:rPr>
      <w:rFonts w:ascii="Times New Roman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1004</Words>
  <Characters>1158</Characters>
  <Lines>6</Lines>
  <Paragraphs>1</Paragraphs>
  <TotalTime>2</TotalTime>
  <ScaleCrop>false</ScaleCrop>
  <LinksUpToDate>false</LinksUpToDate>
  <CharactersWithSpaces>1159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2021-07-08T02:43:00Z</dcterms:created>
  <dc:creator>Master</dc:creator>
  <cp:lastModifiedBy>55</cp:lastModifiedBy>
  <cp:lastPrinted>2023-03-22T07:13:00Z</cp:lastPrinted>
  <dcterms:modified xsi:type="dcterms:W3CDTF">2023-03-22T15:40:50Z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0DF7061A397D474D9AE3E108D12EFBF7</vt:lpwstr>
  </property>
</Properties>
</file>