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A43E2">
      <w:pPr>
        <w:rPr>
          <w:rFonts w:ascii="方正仿宋_GB2312" w:hAnsi="方正仿宋_GB2312" w:eastAsia="方正仿宋_GB2312" w:cs="方正仿宋_GB2312"/>
          <w:color w:val="auto"/>
          <w:sz w:val="36"/>
          <w:szCs w:val="36"/>
          <w:highlight w:val="none"/>
        </w:rPr>
      </w:pPr>
    </w:p>
    <w:p w14:paraId="0EB5D433">
      <w:pPr>
        <w:rPr>
          <w:rFonts w:ascii="方正仿宋_GB2312" w:hAnsi="方正仿宋_GB2312" w:eastAsia="方正仿宋_GB2312" w:cs="方正仿宋_GB2312"/>
          <w:color w:val="auto"/>
          <w:sz w:val="36"/>
          <w:szCs w:val="36"/>
          <w:highlight w:val="none"/>
        </w:rPr>
      </w:pPr>
    </w:p>
    <w:p w14:paraId="247E0BAD">
      <w:pPr>
        <w:rPr>
          <w:rFonts w:ascii="方正仿宋_GB2312" w:hAnsi="方正仿宋_GB2312" w:eastAsia="方正仿宋_GB2312" w:cs="方正仿宋_GB2312"/>
          <w:color w:val="auto"/>
          <w:sz w:val="36"/>
          <w:szCs w:val="36"/>
          <w:highlight w:val="none"/>
        </w:rPr>
      </w:pPr>
    </w:p>
    <w:p w14:paraId="3127758D">
      <w:pPr>
        <w:rPr>
          <w:rFonts w:ascii="方正仿宋_GB2312" w:hAnsi="方正仿宋_GB2312" w:eastAsia="方正仿宋_GB2312" w:cs="方正仿宋_GB2312"/>
          <w:color w:val="auto"/>
          <w:sz w:val="36"/>
          <w:szCs w:val="36"/>
          <w:highlight w:val="none"/>
        </w:rPr>
      </w:pPr>
    </w:p>
    <w:p w14:paraId="19D583F2">
      <w:pPr>
        <w:pStyle w:val="34"/>
        <w:bidi w:val="0"/>
        <w:rPr>
          <w:rFonts w:hint="eastAsia"/>
          <w:color w:val="auto"/>
          <w:highlight w:val="none"/>
        </w:rPr>
      </w:pPr>
      <w:r>
        <w:rPr>
          <w:rFonts w:hint="eastAsia"/>
          <w:color w:val="auto"/>
          <w:highlight w:val="none"/>
        </w:rPr>
        <w:t>建设项目环境影响报告表</w:t>
      </w:r>
    </w:p>
    <w:p w14:paraId="104F3DD9">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方正楷体_GB2312" w:eastAsia="方正楷体_GB2312"/>
          <w:bCs/>
          <w:color w:val="auto"/>
          <w:sz w:val="48"/>
          <w:szCs w:val="48"/>
          <w:highlight w:val="none"/>
        </w:rPr>
      </w:pPr>
      <w:r>
        <w:rPr>
          <w:rFonts w:hint="eastAsia" w:ascii="方正楷体_GB2312" w:eastAsia="方正楷体_GB2312"/>
          <w:bCs/>
          <w:color w:val="auto"/>
          <w:sz w:val="48"/>
          <w:szCs w:val="48"/>
          <w:highlight w:val="none"/>
        </w:rPr>
        <w:t>（污染影响类）</w:t>
      </w:r>
    </w:p>
    <w:p w14:paraId="26EFC30E">
      <w:pPr>
        <w:adjustRightInd w:val="0"/>
        <w:snapToGrid w:val="0"/>
        <w:spacing w:line="288" w:lineRule="auto"/>
        <w:jc w:val="center"/>
        <w:outlineLvl w:val="9"/>
        <w:rPr>
          <w:rFonts w:ascii="华文仿宋" w:hAnsi="华文仿宋" w:eastAsia="华文仿宋" w:cs="华文仿宋"/>
          <w:color w:val="auto"/>
          <w:kern w:val="44"/>
          <w:sz w:val="44"/>
          <w:szCs w:val="44"/>
          <w:highlight w:val="none"/>
        </w:rPr>
      </w:pPr>
    </w:p>
    <w:p w14:paraId="051A013B">
      <w:pPr>
        <w:jc w:val="center"/>
        <w:rPr>
          <w:rFonts w:eastAsia="仿宋"/>
          <w:color w:val="auto"/>
          <w:sz w:val="52"/>
          <w:szCs w:val="52"/>
          <w:highlight w:val="none"/>
        </w:rPr>
      </w:pPr>
    </w:p>
    <w:p w14:paraId="1FADD143">
      <w:pPr>
        <w:ind w:firstLine="1040"/>
        <w:rPr>
          <w:rFonts w:eastAsia="仿宋"/>
          <w:color w:val="auto"/>
          <w:sz w:val="44"/>
          <w:szCs w:val="44"/>
          <w:highlight w:val="none"/>
        </w:rPr>
      </w:pPr>
    </w:p>
    <w:p w14:paraId="2D64FB02">
      <w:pPr>
        <w:ind w:firstLine="1040"/>
        <w:rPr>
          <w:rFonts w:eastAsia="仿宋"/>
          <w:color w:val="auto"/>
          <w:sz w:val="44"/>
          <w:szCs w:val="44"/>
          <w:highlight w:val="none"/>
        </w:rPr>
      </w:pPr>
    </w:p>
    <w:p w14:paraId="39F4D508">
      <w:pPr>
        <w:pStyle w:val="13"/>
        <w:rPr>
          <w:rFonts w:eastAsia="仿宋"/>
          <w:color w:val="auto"/>
          <w:sz w:val="44"/>
          <w:szCs w:val="44"/>
          <w:highlight w:val="none"/>
        </w:rPr>
      </w:pPr>
    </w:p>
    <w:p w14:paraId="5867D3A8">
      <w:pPr>
        <w:ind w:firstLine="1040"/>
        <w:rPr>
          <w:rFonts w:eastAsia="仿宋"/>
          <w:color w:val="auto"/>
          <w:sz w:val="44"/>
          <w:szCs w:val="44"/>
          <w:highlight w:val="none"/>
        </w:rPr>
      </w:pPr>
    </w:p>
    <w:p w14:paraId="14FCBE13">
      <w:pPr>
        <w:keepNext w:val="0"/>
        <w:keepLines w:val="0"/>
        <w:pageBreakBefore w:val="0"/>
        <w:widowControl w:val="0"/>
        <w:kinsoku/>
        <w:wordWrap w:val="0"/>
        <w:overflowPunct/>
        <w:topLinePunct/>
        <w:autoSpaceDE/>
        <w:autoSpaceDN/>
        <w:bidi w:val="0"/>
        <w:adjustRightInd w:val="0"/>
        <w:snapToGrid w:val="0"/>
        <w:spacing w:line="288" w:lineRule="auto"/>
        <w:ind w:firstLine="360" w:firstLineChars="100"/>
        <w:jc w:val="both"/>
        <w:textAlignment w:val="auto"/>
        <w:rPr>
          <w:rFonts w:hint="eastAsia" w:ascii="方正仿宋_GB2312" w:eastAsia="方正仿宋_GB2312"/>
          <w:color w:val="auto"/>
          <w:sz w:val="36"/>
          <w:szCs w:val="36"/>
          <w:highlight w:val="none"/>
          <w:u w:val="none"/>
          <w:lang w:val="en-US" w:eastAsia="zh-CN"/>
        </w:rPr>
      </w:pPr>
    </w:p>
    <w:p w14:paraId="395B59C8">
      <w:pPr>
        <w:keepNext w:val="0"/>
        <w:keepLines w:val="0"/>
        <w:pageBreakBefore w:val="0"/>
        <w:widowControl w:val="0"/>
        <w:kinsoku/>
        <w:wordWrap w:val="0"/>
        <w:overflowPunct/>
        <w:topLinePunct/>
        <w:autoSpaceDE/>
        <w:autoSpaceDN/>
        <w:bidi w:val="0"/>
        <w:adjustRightInd w:val="0"/>
        <w:snapToGrid w:val="0"/>
        <w:spacing w:line="288" w:lineRule="auto"/>
        <w:jc w:val="both"/>
        <w:textAlignment w:val="auto"/>
        <w:rPr>
          <w:rFonts w:hint="eastAsia" w:ascii="方正仿宋_GB2312" w:eastAsia="方正仿宋_GB2312"/>
          <w:color w:val="auto"/>
          <w:sz w:val="36"/>
          <w:szCs w:val="36"/>
          <w:highlight w:val="none"/>
          <w:u w:val="none"/>
          <w:lang w:val="en-US" w:eastAsia="zh-CN"/>
        </w:rPr>
      </w:pPr>
    </w:p>
    <w:p w14:paraId="7991900C">
      <w:pPr>
        <w:keepNext w:val="0"/>
        <w:keepLines w:val="0"/>
        <w:pageBreakBefore w:val="0"/>
        <w:widowControl w:val="0"/>
        <w:kinsoku/>
        <w:wordWrap w:val="0"/>
        <w:overflowPunct/>
        <w:topLinePunct/>
        <w:autoSpaceDE/>
        <w:autoSpaceDN/>
        <w:bidi w:val="0"/>
        <w:adjustRightInd w:val="0"/>
        <w:snapToGrid w:val="0"/>
        <w:spacing w:line="288" w:lineRule="auto"/>
        <w:jc w:val="both"/>
        <w:textAlignment w:val="auto"/>
        <w:rPr>
          <w:rFonts w:hint="eastAsia" w:ascii="方正仿宋_GB2312" w:eastAsia="方正仿宋_GB2312"/>
          <w:color w:val="auto"/>
          <w:sz w:val="36"/>
          <w:szCs w:val="36"/>
          <w:highlight w:val="none"/>
          <w:u w:val="none"/>
          <w:vertAlign w:val="baseline"/>
        </w:rPr>
      </w:pPr>
      <w:r>
        <w:rPr>
          <w:rFonts w:hint="eastAsia" w:ascii="方正仿宋_GB2312" w:eastAsia="方正仿宋_GB2312"/>
          <w:color w:val="auto"/>
          <w:sz w:val="36"/>
          <w:szCs w:val="36"/>
          <w:highlight w:val="none"/>
          <w:u w:val="none"/>
          <w:lang w:val="en-US" w:eastAsia="zh-CN"/>
        </w:rPr>
        <w:t xml:space="preserve">    </w:t>
      </w: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4967D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tcBorders>
              <w:tl2br w:val="nil"/>
              <w:tr2bl w:val="nil"/>
            </w:tcBorders>
            <w:vAlign w:val="center"/>
          </w:tcPr>
          <w:p w14:paraId="4C6A0E88">
            <w:pPr>
              <w:keepNext w:val="0"/>
              <w:keepLines w:val="0"/>
              <w:pageBreakBefore w:val="0"/>
              <w:widowControl w:val="0"/>
              <w:kinsoku/>
              <w:wordWrap w:val="0"/>
              <w:overflowPunct/>
              <w:topLinePunct/>
              <w:autoSpaceDE/>
              <w:autoSpaceDN/>
              <w:bidi w:val="0"/>
              <w:adjustRightInd w:val="0"/>
              <w:snapToGrid w:val="0"/>
              <w:spacing w:line="288" w:lineRule="auto"/>
              <w:ind w:left="0" w:leftChars="0" w:firstLine="320" w:firstLineChars="100"/>
              <w:jc w:val="left"/>
              <w:textAlignment w:val="auto"/>
              <w:rPr>
                <w:rFonts w:hint="default" w:ascii="方正仿宋_GB2312" w:eastAsia="方正仿宋_GB2312"/>
                <w:color w:val="auto"/>
                <w:sz w:val="36"/>
                <w:szCs w:val="36"/>
                <w:highlight w:val="none"/>
                <w:u w:val="none"/>
                <w:vertAlign w:val="baseline"/>
                <w:lang w:val="en-US" w:eastAsia="zh-CN"/>
              </w:rPr>
            </w:pPr>
            <w:r>
              <w:rPr>
                <w:rFonts w:hint="eastAsia" w:ascii="方正仿宋_GB2312" w:eastAsia="方正仿宋_GB2312"/>
                <w:color w:val="auto"/>
                <w:spacing w:val="-20"/>
                <w:sz w:val="36"/>
                <w:szCs w:val="36"/>
                <w:highlight w:val="none"/>
                <w:u w:val="none"/>
              </w:rPr>
              <w:t>项目名称：</w:t>
            </w:r>
            <w:r>
              <w:rPr>
                <w:rFonts w:hint="eastAsia" w:ascii="方正仿宋_GB2312" w:eastAsia="方正仿宋_GB2312"/>
                <w:strike w:val="0"/>
                <w:dstrike w:val="0"/>
                <w:color w:val="auto"/>
                <w:spacing w:val="-20"/>
                <w:sz w:val="36"/>
                <w:szCs w:val="36"/>
                <w:highlight w:val="none"/>
                <w:u w:val="single"/>
                <w:lang w:val="en-US" w:eastAsia="zh-CN"/>
              </w:rPr>
              <w:t>特种机器人研发及产业化</w:t>
            </w:r>
            <w:r>
              <w:rPr>
                <w:rFonts w:hint="eastAsia" w:ascii="方正仿宋_GB2312" w:eastAsia="方正仿宋_GB2312"/>
                <w:color w:val="auto"/>
                <w:spacing w:val="-20"/>
                <w:sz w:val="36"/>
                <w:szCs w:val="36"/>
                <w:highlight w:val="none"/>
                <w:u w:val="single"/>
                <w:lang w:val="en-US" w:eastAsia="zh-CN"/>
              </w:rPr>
              <w:t>基地项目（二期）项目</w:t>
            </w:r>
          </w:p>
        </w:tc>
      </w:tr>
      <w:tr w14:paraId="70719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tcBorders>
              <w:tl2br w:val="nil"/>
              <w:tr2bl w:val="nil"/>
            </w:tcBorders>
            <w:vAlign w:val="center"/>
          </w:tcPr>
          <w:p w14:paraId="35DBA1CF">
            <w:pPr>
              <w:keepNext w:val="0"/>
              <w:keepLines w:val="0"/>
              <w:pageBreakBefore w:val="0"/>
              <w:widowControl w:val="0"/>
              <w:kinsoku/>
              <w:wordWrap w:val="0"/>
              <w:overflowPunct/>
              <w:topLinePunct/>
              <w:autoSpaceDE/>
              <w:autoSpaceDN/>
              <w:bidi w:val="0"/>
              <w:adjustRightInd w:val="0"/>
              <w:snapToGrid w:val="0"/>
              <w:spacing w:line="288" w:lineRule="auto"/>
              <w:ind w:left="0" w:leftChars="0" w:firstLine="360" w:firstLineChars="100"/>
              <w:jc w:val="left"/>
              <w:textAlignment w:val="auto"/>
              <w:rPr>
                <w:rFonts w:hint="default" w:ascii="方正仿宋_GB2312" w:eastAsia="方正仿宋_GB2312"/>
                <w:color w:val="auto"/>
                <w:sz w:val="36"/>
                <w:szCs w:val="36"/>
                <w:highlight w:val="none"/>
                <w:u w:val="none"/>
                <w:vertAlign w:val="baseline"/>
                <w:lang w:val="en-US"/>
              </w:rPr>
            </w:pPr>
            <w:r>
              <w:rPr>
                <w:rFonts w:hint="eastAsia" w:ascii="方正仿宋_GB2312" w:eastAsia="方正仿宋_GB2312"/>
                <w:color w:val="auto"/>
                <w:spacing w:val="0"/>
                <w:sz w:val="36"/>
                <w:szCs w:val="36"/>
                <w:highlight w:val="none"/>
                <w:u w:val="none"/>
              </w:rPr>
              <w:t>建设单位（盖章）：</w:t>
            </w:r>
            <w:r>
              <w:rPr>
                <w:rFonts w:hint="eastAsia" w:ascii="方正仿宋_GB2312" w:eastAsia="方正仿宋_GB2312"/>
                <w:color w:val="auto"/>
                <w:spacing w:val="0"/>
                <w:sz w:val="36"/>
                <w:szCs w:val="36"/>
                <w:highlight w:val="none"/>
                <w:u w:val="single"/>
                <w:lang w:val="en-US" w:eastAsia="zh-CN"/>
              </w:rPr>
              <w:t>中信重工开诚智能装备有限公司</w:t>
            </w:r>
          </w:p>
        </w:tc>
      </w:tr>
      <w:tr w14:paraId="4B911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tcBorders>
              <w:tl2br w:val="nil"/>
              <w:tr2bl w:val="nil"/>
            </w:tcBorders>
            <w:vAlign w:val="center"/>
          </w:tcPr>
          <w:p w14:paraId="56A53331">
            <w:pPr>
              <w:keepNext w:val="0"/>
              <w:keepLines w:val="0"/>
              <w:pageBreakBefore w:val="0"/>
              <w:widowControl w:val="0"/>
              <w:kinsoku/>
              <w:wordWrap w:val="0"/>
              <w:overflowPunct/>
              <w:topLinePunct/>
              <w:autoSpaceDE/>
              <w:autoSpaceDN/>
              <w:bidi w:val="0"/>
              <w:adjustRightInd w:val="0"/>
              <w:snapToGrid w:val="0"/>
              <w:spacing w:line="288" w:lineRule="auto"/>
              <w:ind w:left="0" w:leftChars="0" w:firstLine="360" w:firstLineChars="100"/>
              <w:jc w:val="left"/>
              <w:textAlignment w:val="auto"/>
              <w:rPr>
                <w:rFonts w:hint="default" w:ascii="方正仿宋_GB2312" w:eastAsia="方正仿宋_GB2312"/>
                <w:color w:val="auto"/>
                <w:sz w:val="36"/>
                <w:szCs w:val="36"/>
                <w:highlight w:val="none"/>
                <w:u w:val="none"/>
                <w:vertAlign w:val="baseline"/>
                <w:lang w:val="en-US"/>
              </w:rPr>
            </w:pPr>
            <w:r>
              <w:rPr>
                <w:rFonts w:hint="eastAsia" w:ascii="方正仿宋_GB2312" w:eastAsia="方正仿宋_GB2312"/>
                <w:color w:val="auto"/>
                <w:sz w:val="36"/>
                <w:szCs w:val="36"/>
                <w:highlight w:val="none"/>
                <w:u w:val="none"/>
              </w:rPr>
              <w:t>编制日期：</w:t>
            </w:r>
            <w:r>
              <w:rPr>
                <w:rFonts w:hint="eastAsia" w:ascii="方正仿宋_GB2312" w:eastAsia="方正仿宋_GB2312"/>
                <w:color w:val="auto"/>
                <w:sz w:val="36"/>
                <w:szCs w:val="36"/>
                <w:highlight w:val="none"/>
                <w:u w:val="single"/>
              </w:rPr>
              <w:t xml:space="preserve"> </w:t>
            </w:r>
            <w:r>
              <w:rPr>
                <w:rFonts w:ascii="方正仿宋_GB2312" w:eastAsia="方正仿宋_GB2312"/>
                <w:color w:val="auto"/>
                <w:sz w:val="36"/>
                <w:szCs w:val="36"/>
                <w:highlight w:val="none"/>
                <w:u w:val="single"/>
              </w:rPr>
              <w:t xml:space="preserve"> </w:t>
            </w:r>
            <w:r>
              <w:rPr>
                <w:rFonts w:hint="eastAsia" w:ascii="方正仿宋_GB2312" w:eastAsia="方正仿宋_GB2312"/>
                <w:color w:val="auto"/>
                <w:sz w:val="36"/>
                <w:szCs w:val="36"/>
                <w:highlight w:val="none"/>
                <w:u w:val="single"/>
                <w:lang w:val="en-US" w:eastAsia="zh-CN"/>
              </w:rPr>
              <w:t xml:space="preserve">           </w:t>
            </w:r>
            <w:r>
              <w:rPr>
                <w:rFonts w:hint="eastAsia" w:ascii="方正仿宋_GB2312" w:eastAsia="方正仿宋_GB2312"/>
                <w:color w:val="auto"/>
                <w:spacing w:val="-6"/>
                <w:sz w:val="36"/>
                <w:szCs w:val="36"/>
                <w:highlight w:val="none"/>
                <w:u w:val="single"/>
                <w:lang w:val="en-US" w:eastAsia="zh-CN"/>
              </w:rPr>
              <w:t>2023年10月</w:t>
            </w:r>
            <w:r>
              <w:rPr>
                <w:rFonts w:hint="eastAsia" w:ascii="方正仿宋_GB2312" w:eastAsia="方正仿宋_GB2312"/>
                <w:color w:val="auto"/>
                <w:sz w:val="36"/>
                <w:szCs w:val="36"/>
                <w:highlight w:val="none"/>
                <w:u w:val="single"/>
                <w:lang w:val="en-US" w:eastAsia="zh-CN"/>
              </w:rPr>
              <w:t xml:space="preserve">            </w:t>
            </w:r>
          </w:p>
        </w:tc>
      </w:tr>
      <w:tr w14:paraId="7C538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9060" w:type="dxa"/>
            <w:tcBorders>
              <w:tl2br w:val="nil"/>
              <w:tr2bl w:val="nil"/>
            </w:tcBorders>
            <w:vAlign w:val="center"/>
          </w:tcPr>
          <w:p w14:paraId="54DF034C">
            <w:pPr>
              <w:keepNext w:val="0"/>
              <w:keepLines w:val="0"/>
              <w:pageBreakBefore w:val="0"/>
              <w:widowControl w:val="0"/>
              <w:kinsoku/>
              <w:wordWrap w:val="0"/>
              <w:overflowPunct/>
              <w:topLinePunct/>
              <w:autoSpaceDE/>
              <w:autoSpaceDN/>
              <w:bidi w:val="0"/>
              <w:adjustRightInd w:val="0"/>
              <w:snapToGrid w:val="0"/>
              <w:spacing w:line="288" w:lineRule="auto"/>
              <w:ind w:left="0" w:leftChars="0" w:firstLine="360" w:firstLineChars="100"/>
              <w:jc w:val="left"/>
              <w:textAlignment w:val="auto"/>
              <w:rPr>
                <w:rFonts w:hint="eastAsia" w:ascii="方正仿宋_GB2312" w:eastAsia="方正仿宋_GB2312"/>
                <w:color w:val="auto"/>
                <w:sz w:val="36"/>
                <w:szCs w:val="36"/>
                <w:highlight w:val="none"/>
                <w:u w:val="none"/>
              </w:rPr>
            </w:pPr>
            <w:bookmarkStart w:id="0" w:name="_Hlk57884087"/>
          </w:p>
        </w:tc>
      </w:tr>
    </w:tbl>
    <w:p w14:paraId="308C101F">
      <w:pPr>
        <w:adjustRightInd w:val="0"/>
        <w:snapToGrid w:val="0"/>
        <w:spacing w:line="288" w:lineRule="auto"/>
        <w:ind w:firstLine="1040"/>
        <w:rPr>
          <w:rFonts w:ascii="方正仿宋_GB2312" w:eastAsia="方正仿宋_GB2312"/>
          <w:color w:val="auto"/>
          <w:sz w:val="36"/>
          <w:szCs w:val="36"/>
          <w:highlight w:val="none"/>
        </w:rPr>
      </w:pPr>
    </w:p>
    <w:bookmarkEnd w:id="0"/>
    <w:p w14:paraId="0F4AD64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方正楷体_GB2312" w:eastAsia="方正楷体_GB2312"/>
          <w:color w:val="auto"/>
          <w:sz w:val="36"/>
          <w:szCs w:val="36"/>
          <w:highlight w:val="none"/>
        </w:rPr>
      </w:pPr>
      <w:r>
        <w:rPr>
          <w:rFonts w:hint="eastAsia" w:ascii="方正楷体_GB2312" w:eastAsia="方正楷体_GB2312"/>
          <w:color w:val="auto"/>
          <w:sz w:val="36"/>
          <w:szCs w:val="36"/>
          <w:highlight w:val="none"/>
        </w:rPr>
        <w:t>中华人民共和国生态环境部制</w:t>
      </w:r>
    </w:p>
    <w:p w14:paraId="3CBD00F9">
      <w:pPr>
        <w:adjustRightInd w:val="0"/>
        <w:snapToGrid w:val="0"/>
        <w:spacing w:line="288" w:lineRule="auto"/>
        <w:jc w:val="center"/>
        <w:rPr>
          <w:rFonts w:ascii="方正仿宋_GB2312" w:eastAsia="方正仿宋_GB2312"/>
          <w:color w:val="auto"/>
          <w:sz w:val="36"/>
          <w:szCs w:val="36"/>
          <w:highlight w:val="none"/>
        </w:rPr>
        <w:sectPr>
          <w:footerReference r:id="rId5" w:type="default"/>
          <w:footerReference r:id="rId6" w:type="even"/>
          <w:pgSz w:w="11906" w:h="16838"/>
          <w:pgMar w:top="1417" w:right="1247" w:bottom="1417"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ascii="方正仿宋_GB2312" w:eastAsia="方正仿宋_GB2312"/>
          <w:color w:val="auto"/>
          <w:sz w:val="36"/>
          <w:szCs w:val="36"/>
          <w:highlight w:val="none"/>
        </w:rPr>
        <w:br w:type="page"/>
      </w:r>
    </w:p>
    <w:p w14:paraId="4366E19D">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sdt>
      <w:sdtPr>
        <w:rPr>
          <w:rFonts w:ascii="宋体" w:hAnsi="宋体" w:eastAsia="宋体" w:cs="Times New Roman"/>
          <w:color w:val="auto"/>
          <w:kern w:val="2"/>
          <w:sz w:val="21"/>
          <w:szCs w:val="24"/>
          <w:highlight w:val="none"/>
          <w:lang w:val="en-US" w:eastAsia="zh-CN" w:bidi="ar-SA"/>
        </w:rPr>
        <w:id w:val="147461741"/>
        <w15:color w:val="DBDBDB"/>
        <w:docPartObj>
          <w:docPartGallery w:val="Table of Contents"/>
          <w:docPartUnique/>
        </w:docPartObj>
      </w:sdtPr>
      <w:sdtEndPr>
        <w:rPr>
          <w:rFonts w:ascii="宋体" w:hAnsi="宋体" w:eastAsia="宋体" w:cs="Times New Roman"/>
          <w:color w:val="auto"/>
          <w:kern w:val="2"/>
          <w:sz w:val="21"/>
          <w:szCs w:val="24"/>
          <w:highlight w:val="none"/>
          <w:lang w:val="en-US" w:eastAsia="zh-CN" w:bidi="ar-SA"/>
        </w:rPr>
      </w:sdtEndPr>
      <w:sdtContent>
        <w:p w14:paraId="32B0416E">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32"/>
              <w:szCs w:val="32"/>
              <w:highlight w:val="none"/>
            </w:rPr>
            <w:t>目录</w:t>
          </w:r>
        </w:p>
        <w:p w14:paraId="2E0A5AB7">
          <w:pPr>
            <w:pStyle w:val="3"/>
            <w:tabs>
              <w:tab w:val="right" w:leader="dot" w:pos="9242"/>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TOC \o "1-1" \h \u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HYPERLINK \l _Toc10302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snapToGrid w:val="0"/>
              <w:color w:val="auto"/>
              <w:szCs w:val="30"/>
              <w:highlight w:val="none"/>
            </w:rPr>
            <w:t>一、建设项目基本情况</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_Toc10302 \h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szCs w:val="24"/>
              <w:highlight w:val="none"/>
            </w:rPr>
            <w:fldChar w:fldCharType="end"/>
          </w:r>
        </w:p>
        <w:p w14:paraId="097FA967">
          <w:pPr>
            <w:pStyle w:val="3"/>
            <w:tabs>
              <w:tab w:val="right" w:leader="dot" w:pos="9242"/>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HYPERLINK \l _Toc15867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snapToGrid w:val="0"/>
              <w:color w:val="auto"/>
              <w:szCs w:val="30"/>
              <w:highlight w:val="none"/>
            </w:rPr>
            <w:t>二、建设项目工程分析</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_Toc15867 \h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21</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szCs w:val="24"/>
              <w:highlight w:val="none"/>
            </w:rPr>
            <w:fldChar w:fldCharType="end"/>
          </w:r>
        </w:p>
        <w:p w14:paraId="30B906AD">
          <w:pPr>
            <w:pStyle w:val="3"/>
            <w:tabs>
              <w:tab w:val="right" w:leader="dot" w:pos="9242"/>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HYPERLINK \l _Toc31686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snapToGrid w:val="0"/>
              <w:color w:val="auto"/>
              <w:szCs w:val="30"/>
              <w:highlight w:val="none"/>
            </w:rPr>
            <w:t>三、区域环境质量现状、环境保护目标及评价标准</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_Toc31686 \h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49</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szCs w:val="24"/>
              <w:highlight w:val="none"/>
            </w:rPr>
            <w:fldChar w:fldCharType="end"/>
          </w:r>
        </w:p>
        <w:p w14:paraId="77B362FB">
          <w:pPr>
            <w:pStyle w:val="3"/>
            <w:tabs>
              <w:tab w:val="right" w:leader="dot" w:pos="9242"/>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HYPERLINK \l _Toc1102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snapToGrid w:val="0"/>
              <w:color w:val="auto"/>
              <w:szCs w:val="30"/>
              <w:highlight w:val="none"/>
            </w:rPr>
            <w:t>四、主要环境影响和保护措施</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_Toc1102 \h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58</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szCs w:val="24"/>
              <w:highlight w:val="none"/>
            </w:rPr>
            <w:fldChar w:fldCharType="end"/>
          </w:r>
        </w:p>
        <w:p w14:paraId="0BFFE1F8">
          <w:pPr>
            <w:pStyle w:val="3"/>
            <w:tabs>
              <w:tab w:val="right" w:leader="dot" w:pos="9242"/>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HYPERLINK \l _Toc10289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snapToGrid w:val="0"/>
              <w:color w:val="auto"/>
              <w:szCs w:val="30"/>
              <w:highlight w:val="none"/>
            </w:rPr>
            <w:t>五、环境保护措施监督检查清单</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_Toc10289 \h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93</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szCs w:val="24"/>
              <w:highlight w:val="none"/>
            </w:rPr>
            <w:fldChar w:fldCharType="end"/>
          </w:r>
        </w:p>
        <w:p w14:paraId="0C23BAF6">
          <w:pPr>
            <w:pStyle w:val="3"/>
            <w:tabs>
              <w:tab w:val="right" w:leader="dot" w:pos="9242"/>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HYPERLINK \l _Toc14984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snapToGrid w:val="0"/>
              <w:color w:val="auto"/>
              <w:szCs w:val="30"/>
              <w:highlight w:val="none"/>
              <w:lang w:val="en-US" w:eastAsia="zh-CN"/>
            </w:rPr>
            <w:t>六、结论</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_Toc14984 \h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121</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szCs w:val="24"/>
              <w:highlight w:val="none"/>
            </w:rPr>
            <w:fldChar w:fldCharType="end"/>
          </w:r>
        </w:p>
        <w:p w14:paraId="172B9646">
          <w:pPr>
            <w:pStyle w:val="3"/>
            <w:tabs>
              <w:tab w:val="right" w:leader="dot" w:pos="9242"/>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HYPERLINK \l _Toc9780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snapToGrid w:val="0"/>
              <w:color w:val="auto"/>
              <w:szCs w:val="32"/>
              <w:highlight w:val="none"/>
            </w:rPr>
            <w:t>附表</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_Toc9780 \h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122</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szCs w:val="24"/>
              <w:highlight w:val="none"/>
            </w:rPr>
            <w:fldChar w:fldCharType="end"/>
          </w:r>
        </w:p>
        <w:p w14:paraId="6EA7CB58">
          <w:pPr>
            <w:pStyle w:val="3"/>
            <w:tabs>
              <w:tab w:val="right" w:leader="dot" w:pos="9242"/>
            </w:tabs>
            <w:rPr>
              <w:color w:val="auto"/>
              <w:highlight w:val="none"/>
            </w:rPr>
          </w:pPr>
        </w:p>
        <w:p w14:paraId="0F7FC2A1">
          <w:pPr>
            <w:keepNext w:val="0"/>
            <w:keepLines w:val="0"/>
            <w:pageBreakBefore w:val="0"/>
            <w:widowControl/>
            <w:kinsoku/>
            <w:wordWrap/>
            <w:overflowPunct/>
            <w:topLinePunct w:val="0"/>
            <w:autoSpaceDE/>
            <w:autoSpaceDN/>
            <w:bidi w:val="0"/>
            <w:adjustRightInd/>
            <w:snapToGrid/>
            <w:spacing w:line="480" w:lineRule="exact"/>
            <w:textAlignment w:val="auto"/>
            <w:rPr>
              <w:color w:val="auto"/>
              <w:highlight w:val="none"/>
            </w:rPr>
          </w:pPr>
          <w:r>
            <w:rPr>
              <w:rFonts w:hint="default" w:ascii="Times New Roman" w:hAnsi="Times New Roman" w:eastAsia="宋体" w:cs="Times New Roman"/>
              <w:color w:val="auto"/>
              <w:szCs w:val="24"/>
              <w:highlight w:val="none"/>
            </w:rPr>
            <w:fldChar w:fldCharType="end"/>
          </w:r>
        </w:p>
      </w:sdtContent>
    </w:sdt>
    <w:p w14:paraId="4AFADBE6">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1C8E9CFE">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5E86F316">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snapToGrid w:val="0"/>
          <w:color w:val="auto"/>
          <w:sz w:val="30"/>
          <w:szCs w:val="30"/>
          <w:highlight w:val="none"/>
        </w:rPr>
        <w:sectPr>
          <w:footerReference r:id="rId7"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DB99CA9">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黑体" w:hAnsi="黑体" w:eastAsia="黑体"/>
          <w:snapToGrid w:val="0"/>
          <w:color w:val="auto"/>
          <w:sz w:val="30"/>
          <w:szCs w:val="30"/>
          <w:highlight w:val="none"/>
        </w:rPr>
      </w:pPr>
      <w:bookmarkStart w:id="1" w:name="_Toc10302"/>
      <w:r>
        <w:rPr>
          <w:rFonts w:hint="eastAsia" w:ascii="黑体" w:hAnsi="黑体" w:eastAsia="黑体"/>
          <w:snapToGrid w:val="0"/>
          <w:color w:val="auto"/>
          <w:sz w:val="30"/>
          <w:szCs w:val="30"/>
          <w:highlight w:val="none"/>
        </w:rPr>
        <w:t>一、建设项目基本情况</w:t>
      </w:r>
      <w:bookmarkEnd w:id="1"/>
    </w:p>
    <w:tbl>
      <w:tblPr>
        <w:tblStyle w:val="24"/>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22"/>
        <w:gridCol w:w="1979"/>
        <w:gridCol w:w="2236"/>
        <w:gridCol w:w="3417"/>
      </w:tblGrid>
      <w:tr w14:paraId="4AA76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722" w:type="dxa"/>
            <w:noWrap w:val="0"/>
            <w:tcMar>
              <w:top w:w="16" w:type="dxa"/>
              <w:left w:w="16" w:type="dxa"/>
              <w:right w:w="16" w:type="dxa"/>
            </w:tcMar>
            <w:vAlign w:val="center"/>
          </w:tcPr>
          <w:p w14:paraId="3E72F786">
            <w:pPr>
              <w:pStyle w:val="31"/>
              <w:bidi w:val="0"/>
              <w:rPr>
                <w:color w:val="auto"/>
                <w:sz w:val="24"/>
                <w:szCs w:val="24"/>
                <w:highlight w:val="none"/>
              </w:rPr>
            </w:pPr>
            <w:r>
              <w:rPr>
                <w:rFonts w:hint="eastAsia"/>
                <w:color w:val="auto"/>
                <w:sz w:val="24"/>
                <w:szCs w:val="24"/>
                <w:highlight w:val="none"/>
              </w:rPr>
              <w:t>建设项目名称</w:t>
            </w:r>
          </w:p>
        </w:tc>
        <w:tc>
          <w:tcPr>
            <w:tcW w:w="7632" w:type="dxa"/>
            <w:gridSpan w:val="3"/>
            <w:noWrap w:val="0"/>
            <w:vAlign w:val="center"/>
          </w:tcPr>
          <w:p w14:paraId="48869DDC">
            <w:pPr>
              <w:pStyle w:val="31"/>
              <w:bidi w:val="0"/>
              <w:rPr>
                <w:rFonts w:hint="default"/>
                <w:color w:val="auto"/>
                <w:sz w:val="24"/>
                <w:szCs w:val="24"/>
                <w:highlight w:val="none"/>
                <w:lang w:val="en-US" w:eastAsia="zh-CN"/>
              </w:rPr>
            </w:pPr>
            <w:r>
              <w:rPr>
                <w:rFonts w:hint="eastAsia"/>
                <w:color w:val="auto"/>
                <w:sz w:val="24"/>
                <w:szCs w:val="24"/>
                <w:highlight w:val="none"/>
                <w:shd w:val="clear"/>
                <w:lang w:val="en-US" w:eastAsia="zh-CN"/>
              </w:rPr>
              <w:t>特种机器人研发及产业化基地项目（二期）项目</w:t>
            </w:r>
          </w:p>
        </w:tc>
      </w:tr>
      <w:tr w14:paraId="3D8507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22" w:type="dxa"/>
            <w:noWrap w:val="0"/>
            <w:tcMar>
              <w:top w:w="16" w:type="dxa"/>
              <w:left w:w="16" w:type="dxa"/>
              <w:right w:w="16" w:type="dxa"/>
            </w:tcMar>
            <w:vAlign w:val="center"/>
          </w:tcPr>
          <w:p w14:paraId="1D5A6E1D">
            <w:pPr>
              <w:pStyle w:val="31"/>
              <w:bidi w:val="0"/>
              <w:rPr>
                <w:color w:val="auto"/>
                <w:sz w:val="24"/>
                <w:szCs w:val="24"/>
                <w:highlight w:val="none"/>
              </w:rPr>
            </w:pPr>
            <w:r>
              <w:rPr>
                <w:rFonts w:hint="eastAsia"/>
                <w:color w:val="auto"/>
                <w:sz w:val="24"/>
                <w:szCs w:val="24"/>
                <w:highlight w:val="none"/>
              </w:rPr>
              <w:t>项目代码</w:t>
            </w:r>
          </w:p>
        </w:tc>
        <w:tc>
          <w:tcPr>
            <w:tcW w:w="7632" w:type="dxa"/>
            <w:gridSpan w:val="3"/>
            <w:noWrap w:val="0"/>
            <w:vAlign w:val="center"/>
          </w:tcPr>
          <w:p w14:paraId="0E212906">
            <w:pPr>
              <w:pStyle w:val="31"/>
              <w:bidi w:val="0"/>
              <w:rPr>
                <w:rFonts w:hint="default"/>
                <w:color w:val="auto"/>
                <w:sz w:val="24"/>
                <w:szCs w:val="24"/>
                <w:highlight w:val="none"/>
                <w:lang w:val="en-US" w:eastAsia="zh-CN"/>
              </w:rPr>
            </w:pPr>
            <w:r>
              <w:rPr>
                <w:rFonts w:hint="eastAsia"/>
                <w:color w:val="auto"/>
                <w:sz w:val="24"/>
                <w:szCs w:val="24"/>
                <w:highlight w:val="none"/>
                <w:lang w:val="en-US" w:eastAsia="zh-CN"/>
              </w:rPr>
              <w:t>2310-130273-89-01-311691</w:t>
            </w:r>
          </w:p>
        </w:tc>
      </w:tr>
      <w:tr w14:paraId="2294B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1722" w:type="dxa"/>
            <w:noWrap w:val="0"/>
            <w:tcMar>
              <w:top w:w="16" w:type="dxa"/>
              <w:left w:w="16" w:type="dxa"/>
              <w:right w:w="16" w:type="dxa"/>
            </w:tcMar>
            <w:vAlign w:val="center"/>
          </w:tcPr>
          <w:p w14:paraId="53E7526F">
            <w:pPr>
              <w:pStyle w:val="31"/>
              <w:bidi w:val="0"/>
              <w:rPr>
                <w:rFonts w:hint="eastAsia"/>
                <w:color w:val="auto"/>
                <w:sz w:val="24"/>
                <w:szCs w:val="24"/>
                <w:highlight w:val="none"/>
              </w:rPr>
            </w:pPr>
            <w:r>
              <w:rPr>
                <w:rFonts w:hint="eastAsia"/>
                <w:color w:val="auto"/>
                <w:sz w:val="24"/>
                <w:szCs w:val="24"/>
                <w:highlight w:val="none"/>
              </w:rPr>
              <w:t>建设单位联系人</w:t>
            </w:r>
          </w:p>
        </w:tc>
        <w:tc>
          <w:tcPr>
            <w:tcW w:w="1979" w:type="dxa"/>
            <w:noWrap w:val="0"/>
            <w:vAlign w:val="center"/>
          </w:tcPr>
          <w:p w14:paraId="24B43B03">
            <w:pPr>
              <w:pStyle w:val="31"/>
              <w:bidi w:val="0"/>
              <w:rPr>
                <w:rFonts w:hint="default"/>
                <w:color w:val="auto"/>
                <w:sz w:val="24"/>
                <w:szCs w:val="24"/>
                <w:highlight w:val="none"/>
                <w:lang w:val="en-US" w:eastAsia="zh-CN"/>
              </w:rPr>
            </w:pPr>
            <w:r>
              <w:rPr>
                <w:rFonts w:hint="eastAsia"/>
                <w:color w:val="auto"/>
                <w:sz w:val="24"/>
                <w:szCs w:val="24"/>
                <w:highlight w:val="none"/>
                <w:lang w:val="en-US" w:eastAsia="zh-CN"/>
              </w:rPr>
              <w:t>韩玉亮</w:t>
            </w:r>
          </w:p>
        </w:tc>
        <w:tc>
          <w:tcPr>
            <w:tcW w:w="2236" w:type="dxa"/>
            <w:noWrap w:val="0"/>
            <w:vAlign w:val="center"/>
          </w:tcPr>
          <w:p w14:paraId="187850DF">
            <w:pPr>
              <w:pStyle w:val="31"/>
              <w:bidi w:val="0"/>
              <w:rPr>
                <w:color w:val="auto"/>
                <w:sz w:val="24"/>
                <w:szCs w:val="24"/>
                <w:highlight w:val="none"/>
              </w:rPr>
            </w:pPr>
            <w:r>
              <w:rPr>
                <w:rFonts w:hint="eastAsia"/>
                <w:color w:val="auto"/>
                <w:sz w:val="24"/>
                <w:szCs w:val="24"/>
                <w:highlight w:val="none"/>
              </w:rPr>
              <w:t>联系方式</w:t>
            </w:r>
          </w:p>
        </w:tc>
        <w:tc>
          <w:tcPr>
            <w:tcW w:w="3417" w:type="dxa"/>
            <w:noWrap w:val="0"/>
            <w:vAlign w:val="center"/>
          </w:tcPr>
          <w:p w14:paraId="44076192">
            <w:pPr>
              <w:pStyle w:val="31"/>
              <w:bidi w:val="0"/>
              <w:rPr>
                <w:rFonts w:hint="default" w:eastAsia="宋体"/>
                <w:color w:val="auto"/>
                <w:sz w:val="24"/>
                <w:szCs w:val="24"/>
                <w:highlight w:val="none"/>
                <w:lang w:val="en-US" w:eastAsia="zh-CN"/>
              </w:rPr>
            </w:pPr>
            <w:r>
              <w:rPr>
                <w:rFonts w:hint="eastAsia"/>
                <w:color w:val="auto"/>
                <w:sz w:val="24"/>
                <w:szCs w:val="24"/>
                <w:highlight w:val="none"/>
                <w:lang w:val="en-US" w:eastAsia="zh-CN"/>
              </w:rPr>
              <w:t>13400455252</w:t>
            </w:r>
          </w:p>
        </w:tc>
      </w:tr>
      <w:tr w14:paraId="66743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1722" w:type="dxa"/>
            <w:noWrap w:val="0"/>
            <w:tcMar>
              <w:top w:w="16" w:type="dxa"/>
              <w:left w:w="16" w:type="dxa"/>
              <w:right w:w="16" w:type="dxa"/>
            </w:tcMar>
            <w:vAlign w:val="center"/>
          </w:tcPr>
          <w:p w14:paraId="5646C3D1">
            <w:pPr>
              <w:pStyle w:val="31"/>
              <w:bidi w:val="0"/>
              <w:rPr>
                <w:color w:val="auto"/>
                <w:sz w:val="24"/>
                <w:szCs w:val="24"/>
                <w:highlight w:val="none"/>
              </w:rPr>
            </w:pPr>
            <w:r>
              <w:rPr>
                <w:rFonts w:hint="eastAsia"/>
                <w:color w:val="auto"/>
                <w:sz w:val="24"/>
                <w:szCs w:val="24"/>
                <w:highlight w:val="none"/>
              </w:rPr>
              <w:t>建设地点</w:t>
            </w:r>
          </w:p>
        </w:tc>
        <w:tc>
          <w:tcPr>
            <w:tcW w:w="7632" w:type="dxa"/>
            <w:gridSpan w:val="3"/>
            <w:noWrap w:val="0"/>
            <w:vAlign w:val="center"/>
          </w:tcPr>
          <w:p w14:paraId="55DAD2DF">
            <w:pPr>
              <w:pStyle w:val="31"/>
              <w:bidi w:val="0"/>
              <w:rPr>
                <w:rFonts w:hint="default"/>
                <w:color w:val="auto"/>
                <w:sz w:val="24"/>
                <w:szCs w:val="24"/>
                <w:highlight w:val="none"/>
                <w:lang w:val="en-US"/>
              </w:rPr>
            </w:pPr>
            <w:r>
              <w:rPr>
                <w:rFonts w:hint="eastAsia"/>
                <w:color w:val="auto"/>
                <w:sz w:val="24"/>
                <w:szCs w:val="24"/>
                <w:highlight w:val="none"/>
                <w:lang w:val="en-US" w:eastAsia="zh-CN"/>
              </w:rPr>
              <w:t>河北省唐山市高新技术产业开发区学院北路1686号，中信重工开诚智能装备有限公司院内</w:t>
            </w:r>
          </w:p>
        </w:tc>
      </w:tr>
      <w:tr w14:paraId="1D598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722" w:type="dxa"/>
            <w:noWrap w:val="0"/>
            <w:tcMar>
              <w:top w:w="16" w:type="dxa"/>
              <w:left w:w="16" w:type="dxa"/>
              <w:right w:w="16" w:type="dxa"/>
            </w:tcMar>
            <w:vAlign w:val="center"/>
          </w:tcPr>
          <w:p w14:paraId="2D1050AB">
            <w:pPr>
              <w:pStyle w:val="31"/>
              <w:bidi w:val="0"/>
              <w:rPr>
                <w:color w:val="auto"/>
                <w:sz w:val="24"/>
                <w:szCs w:val="24"/>
                <w:highlight w:val="none"/>
              </w:rPr>
            </w:pPr>
            <w:r>
              <w:rPr>
                <w:rFonts w:hint="eastAsia"/>
                <w:color w:val="auto"/>
                <w:sz w:val="24"/>
                <w:szCs w:val="24"/>
                <w:highlight w:val="none"/>
              </w:rPr>
              <w:t>地理坐标</w:t>
            </w:r>
          </w:p>
        </w:tc>
        <w:tc>
          <w:tcPr>
            <w:tcW w:w="7632" w:type="dxa"/>
            <w:gridSpan w:val="3"/>
            <w:noWrap w:val="0"/>
            <w:vAlign w:val="center"/>
          </w:tcPr>
          <w:p w14:paraId="0E0B671D">
            <w:pPr>
              <w:pStyle w:val="31"/>
              <w:bidi w:val="0"/>
              <w:rPr>
                <w:rFonts w:hint="eastAsia" w:eastAsia="宋体"/>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东经：118°08'</w:t>
            </w:r>
            <w:r>
              <w:rPr>
                <w:rFonts w:hint="eastAsia" w:cs="Times New Roman"/>
                <w:color w:val="auto"/>
                <w:sz w:val="24"/>
                <w:szCs w:val="24"/>
                <w:highlight w:val="none"/>
                <w:lang w:val="en-US" w:eastAsia="zh-CN"/>
              </w:rPr>
              <w:t>58.021</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北纬：</w:t>
            </w:r>
            <w:r>
              <w:rPr>
                <w:rFonts w:hint="default" w:ascii="Times New Roman" w:hAnsi="Times New Roman" w:cs="Times New Roman"/>
                <w:color w:val="auto"/>
                <w:sz w:val="24"/>
                <w:szCs w:val="24"/>
                <w:highlight w:val="none"/>
                <w:lang w:eastAsia="zh-CN"/>
              </w:rPr>
              <w:t>39°4</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6.572</w:t>
            </w:r>
            <w:r>
              <w:rPr>
                <w:rFonts w:hint="default" w:ascii="Times New Roman" w:hAnsi="Times New Roman" w:cs="Times New Roman"/>
                <w:color w:val="auto"/>
                <w:sz w:val="24"/>
                <w:szCs w:val="24"/>
                <w:highlight w:val="none"/>
                <w:lang w:eastAsia="zh-CN"/>
              </w:rPr>
              <w:t>"</w:t>
            </w:r>
          </w:p>
        </w:tc>
      </w:tr>
      <w:tr w14:paraId="4931A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04" w:hRule="atLeast"/>
          <w:jc w:val="center"/>
        </w:trPr>
        <w:tc>
          <w:tcPr>
            <w:tcW w:w="1722" w:type="dxa"/>
            <w:noWrap w:val="0"/>
            <w:tcMar>
              <w:top w:w="16" w:type="dxa"/>
              <w:left w:w="16" w:type="dxa"/>
              <w:right w:w="16" w:type="dxa"/>
            </w:tcMar>
            <w:vAlign w:val="center"/>
          </w:tcPr>
          <w:p w14:paraId="4E5D7CFB">
            <w:pPr>
              <w:pStyle w:val="31"/>
              <w:bidi w:val="0"/>
              <w:rPr>
                <w:rFonts w:hint="eastAsia"/>
                <w:color w:val="auto"/>
                <w:sz w:val="24"/>
                <w:szCs w:val="24"/>
                <w:highlight w:val="none"/>
              </w:rPr>
            </w:pPr>
            <w:r>
              <w:rPr>
                <w:rFonts w:hint="eastAsia"/>
                <w:color w:val="auto"/>
                <w:sz w:val="24"/>
                <w:szCs w:val="24"/>
                <w:highlight w:val="none"/>
              </w:rPr>
              <w:t>国民经济</w:t>
            </w:r>
          </w:p>
          <w:p w14:paraId="0A847597">
            <w:pPr>
              <w:pStyle w:val="31"/>
              <w:bidi w:val="0"/>
              <w:rPr>
                <w:color w:val="auto"/>
                <w:sz w:val="24"/>
                <w:szCs w:val="24"/>
                <w:highlight w:val="none"/>
              </w:rPr>
            </w:pPr>
            <w:r>
              <w:rPr>
                <w:rFonts w:hint="eastAsia"/>
                <w:color w:val="auto"/>
                <w:sz w:val="24"/>
                <w:szCs w:val="24"/>
                <w:highlight w:val="none"/>
              </w:rPr>
              <w:t>行业类别</w:t>
            </w:r>
          </w:p>
        </w:tc>
        <w:tc>
          <w:tcPr>
            <w:tcW w:w="1979" w:type="dxa"/>
            <w:noWrap w:val="0"/>
            <w:vAlign w:val="center"/>
          </w:tcPr>
          <w:p w14:paraId="27DEBD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eastAsia"/>
                <w:color w:val="auto"/>
                <w:highlight w:val="none"/>
                <w:lang w:val="en-US" w:eastAsia="zh-CN"/>
              </w:rPr>
              <w:t>C3360金属表面处理及热处理加工</w:t>
            </w:r>
          </w:p>
        </w:tc>
        <w:tc>
          <w:tcPr>
            <w:tcW w:w="2236" w:type="dxa"/>
            <w:noWrap w:val="0"/>
            <w:vAlign w:val="center"/>
          </w:tcPr>
          <w:p w14:paraId="5E0CACA8">
            <w:pPr>
              <w:pStyle w:val="31"/>
              <w:bidi w:val="0"/>
              <w:rPr>
                <w:rFonts w:hint="default" w:ascii="Times New Roman" w:hAnsi="Times New Roman" w:cs="Times New Roman"/>
                <w:color w:val="auto"/>
                <w:sz w:val="24"/>
                <w:szCs w:val="24"/>
                <w:highlight w:val="none"/>
              </w:rPr>
            </w:pPr>
            <w:bookmarkStart w:id="2" w:name="_Hlk49843745"/>
            <w:r>
              <w:rPr>
                <w:rFonts w:hint="default" w:ascii="Times New Roman" w:hAnsi="Times New Roman" w:cs="Times New Roman"/>
                <w:color w:val="auto"/>
                <w:sz w:val="24"/>
                <w:szCs w:val="24"/>
                <w:highlight w:val="none"/>
              </w:rPr>
              <w:t>建设项目</w:t>
            </w:r>
          </w:p>
          <w:p w14:paraId="7A634623">
            <w:pPr>
              <w:pStyle w:val="3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2"/>
          </w:p>
        </w:tc>
        <w:tc>
          <w:tcPr>
            <w:tcW w:w="3417" w:type="dxa"/>
            <w:noWrap w:val="0"/>
            <w:vAlign w:val="center"/>
          </w:tcPr>
          <w:p w14:paraId="1A3B52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三十、金属制品业33—67.金属表面处理及热处理加工—其他（年用非溶剂型低VOCs含量涂料10吨以下的除外）</w:t>
            </w:r>
          </w:p>
        </w:tc>
      </w:tr>
      <w:tr w14:paraId="748F9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1722" w:type="dxa"/>
            <w:noWrap w:val="0"/>
            <w:tcMar>
              <w:top w:w="16" w:type="dxa"/>
              <w:left w:w="16" w:type="dxa"/>
              <w:right w:w="16" w:type="dxa"/>
            </w:tcMar>
            <w:vAlign w:val="center"/>
          </w:tcPr>
          <w:p w14:paraId="4A8C09FC">
            <w:pPr>
              <w:pStyle w:val="31"/>
              <w:bidi w:val="0"/>
              <w:rPr>
                <w:b w:val="0"/>
                <w:bCs w:val="0"/>
                <w:color w:val="auto"/>
                <w:sz w:val="24"/>
                <w:szCs w:val="24"/>
                <w:highlight w:val="none"/>
              </w:rPr>
            </w:pPr>
            <w:r>
              <w:rPr>
                <w:rFonts w:hint="eastAsia"/>
                <w:b w:val="0"/>
                <w:bCs w:val="0"/>
                <w:color w:val="auto"/>
                <w:sz w:val="24"/>
                <w:szCs w:val="24"/>
                <w:highlight w:val="none"/>
              </w:rPr>
              <w:t>建设性质</w:t>
            </w:r>
          </w:p>
        </w:tc>
        <w:tc>
          <w:tcPr>
            <w:tcW w:w="1979" w:type="dxa"/>
            <w:noWrap w:val="0"/>
            <w:vAlign w:val="center"/>
          </w:tcPr>
          <w:p w14:paraId="3756B52A">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ascii="宋体" w:hAnsi="宋体" w:eastAsia="宋体" w:cs="宋体"/>
                <w:b w:val="0"/>
                <w:bCs w:val="0"/>
                <w:color w:val="auto"/>
                <w:sz w:val="24"/>
                <w:szCs w:val="24"/>
                <w:highlight w:val="none"/>
              </w:rPr>
              <w:sym w:font="Wingdings" w:char="00A8"/>
            </w:r>
            <w:r>
              <w:rPr>
                <w:rFonts w:hint="eastAsia"/>
                <w:b w:val="0"/>
                <w:bCs w:val="0"/>
                <w:color w:val="auto"/>
                <w:sz w:val="24"/>
                <w:szCs w:val="24"/>
                <w:highlight w:val="none"/>
              </w:rPr>
              <w:t>新建（迁建）</w:t>
            </w:r>
          </w:p>
          <w:p w14:paraId="6D0292C7">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改建</w:t>
            </w:r>
          </w:p>
          <w:p w14:paraId="06F163F9">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FE"/>
            </w:r>
            <w:r>
              <w:rPr>
                <w:rFonts w:hint="eastAsia"/>
                <w:b w:val="0"/>
                <w:bCs w:val="0"/>
                <w:color w:val="auto"/>
                <w:sz w:val="24"/>
                <w:szCs w:val="24"/>
                <w:highlight w:val="none"/>
              </w:rPr>
              <w:t>扩建</w:t>
            </w:r>
          </w:p>
          <w:p w14:paraId="02BF8B2A">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技术改造</w:t>
            </w:r>
          </w:p>
        </w:tc>
        <w:tc>
          <w:tcPr>
            <w:tcW w:w="2236" w:type="dxa"/>
            <w:noWrap w:val="0"/>
            <w:vAlign w:val="center"/>
          </w:tcPr>
          <w:p w14:paraId="279B20C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b w:val="0"/>
                <w:bCs w:val="0"/>
                <w:color w:val="auto"/>
                <w:sz w:val="24"/>
                <w:szCs w:val="24"/>
                <w:highlight w:val="none"/>
              </w:rPr>
            </w:pPr>
            <w:r>
              <w:rPr>
                <w:rFonts w:hint="eastAsia"/>
                <w:b w:val="0"/>
                <w:bCs w:val="0"/>
                <w:color w:val="auto"/>
                <w:sz w:val="24"/>
                <w:szCs w:val="24"/>
                <w:highlight w:val="none"/>
              </w:rPr>
              <w:t>建设项目</w:t>
            </w:r>
          </w:p>
          <w:p w14:paraId="5C9C7516">
            <w:pPr>
              <w:pStyle w:val="31"/>
              <w:keepNext w:val="0"/>
              <w:keepLines w:val="0"/>
              <w:pageBreakBefore w:val="0"/>
              <w:widowControl w:val="0"/>
              <w:kinsoku/>
              <w:wordWrap/>
              <w:overflowPunct/>
              <w:topLinePunct w:val="0"/>
              <w:autoSpaceDE/>
              <w:autoSpaceDN/>
              <w:bidi w:val="0"/>
              <w:adjustRightInd/>
              <w:snapToGrid/>
              <w:spacing w:before="0" w:after="0"/>
              <w:textAlignment w:val="auto"/>
              <w:rPr>
                <w:b w:val="0"/>
                <w:bCs w:val="0"/>
                <w:color w:val="auto"/>
                <w:sz w:val="24"/>
                <w:szCs w:val="24"/>
                <w:highlight w:val="none"/>
              </w:rPr>
            </w:pPr>
            <w:r>
              <w:rPr>
                <w:rFonts w:hint="eastAsia"/>
                <w:b w:val="0"/>
                <w:bCs w:val="0"/>
                <w:color w:val="auto"/>
                <w:sz w:val="24"/>
                <w:szCs w:val="24"/>
                <w:highlight w:val="none"/>
              </w:rPr>
              <w:t>申报情形</w:t>
            </w:r>
          </w:p>
        </w:tc>
        <w:tc>
          <w:tcPr>
            <w:tcW w:w="3417" w:type="dxa"/>
            <w:noWrap w:val="0"/>
            <w:vAlign w:val="center"/>
          </w:tcPr>
          <w:p w14:paraId="3D6BDC1D">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default" w:ascii="Times New Roman" w:hAnsi="Times New Roman" w:cs="Times New Roman"/>
                <w:b w:val="0"/>
                <w:bCs w:val="0"/>
                <w:color w:val="auto"/>
                <w:sz w:val="24"/>
                <w:szCs w:val="24"/>
                <w:highlight w:val="none"/>
              </w:rPr>
              <w:sym w:font="Wingdings" w:char="00FE"/>
            </w:r>
            <w:r>
              <w:rPr>
                <w:rFonts w:hint="eastAsia"/>
                <w:b w:val="0"/>
                <w:bCs w:val="0"/>
                <w:color w:val="auto"/>
                <w:sz w:val="24"/>
                <w:szCs w:val="24"/>
                <w:highlight w:val="none"/>
              </w:rPr>
              <w:t>首次申报项目</w:t>
            </w:r>
            <w:r>
              <w:rPr>
                <w:b w:val="0"/>
                <w:bCs w:val="0"/>
                <w:color w:val="auto"/>
                <w:sz w:val="24"/>
                <w:szCs w:val="24"/>
                <w:highlight w:val="none"/>
              </w:rPr>
              <w:t xml:space="preserve">             </w:t>
            </w:r>
          </w:p>
          <w:p w14:paraId="5096D869">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不予批准后再次申报项目</w:t>
            </w:r>
          </w:p>
          <w:p w14:paraId="320B6D49">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超五年重新审核项目</w:t>
            </w:r>
            <w:r>
              <w:rPr>
                <w:b w:val="0"/>
                <w:bCs w:val="0"/>
                <w:color w:val="auto"/>
                <w:sz w:val="24"/>
                <w:szCs w:val="24"/>
                <w:highlight w:val="none"/>
              </w:rPr>
              <w:t xml:space="preserve">     </w:t>
            </w:r>
          </w:p>
          <w:p w14:paraId="6B95B1D8">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重大变动重新报批项目</w:t>
            </w:r>
          </w:p>
        </w:tc>
      </w:tr>
      <w:tr w14:paraId="65BE6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1" w:hRule="atLeast"/>
          <w:jc w:val="center"/>
        </w:trPr>
        <w:tc>
          <w:tcPr>
            <w:tcW w:w="1722" w:type="dxa"/>
            <w:noWrap w:val="0"/>
            <w:tcMar>
              <w:top w:w="16" w:type="dxa"/>
              <w:left w:w="16" w:type="dxa"/>
              <w:right w:w="16" w:type="dxa"/>
            </w:tcMar>
            <w:vAlign w:val="center"/>
          </w:tcPr>
          <w:p w14:paraId="265A2EB8">
            <w:pPr>
              <w:pStyle w:val="31"/>
              <w:bidi w:val="0"/>
              <w:rPr>
                <w:color w:val="auto"/>
                <w:sz w:val="24"/>
                <w:szCs w:val="24"/>
                <w:highlight w:val="none"/>
              </w:rPr>
            </w:pPr>
            <w:r>
              <w:rPr>
                <w:rFonts w:hint="eastAsia"/>
                <w:color w:val="auto"/>
                <w:sz w:val="24"/>
                <w:szCs w:val="24"/>
                <w:highlight w:val="none"/>
              </w:rPr>
              <w:t>项目审批（核准</w:t>
            </w:r>
            <w:r>
              <w:rPr>
                <w:color w:val="auto"/>
                <w:sz w:val="24"/>
                <w:szCs w:val="24"/>
                <w:highlight w:val="none"/>
              </w:rPr>
              <w:t>/</w:t>
            </w:r>
            <w:r>
              <w:rPr>
                <w:rFonts w:hint="eastAsia"/>
                <w:color w:val="auto"/>
                <w:sz w:val="24"/>
                <w:szCs w:val="24"/>
                <w:highlight w:val="none"/>
              </w:rPr>
              <w:t>备案）部门（选填）</w:t>
            </w:r>
          </w:p>
        </w:tc>
        <w:tc>
          <w:tcPr>
            <w:tcW w:w="1979" w:type="dxa"/>
            <w:noWrap w:val="0"/>
            <w:vAlign w:val="center"/>
          </w:tcPr>
          <w:p w14:paraId="7C55E3A9">
            <w:pPr>
              <w:pStyle w:val="31"/>
              <w:bidi w:val="0"/>
              <w:rPr>
                <w:rFonts w:hint="default"/>
                <w:color w:val="auto"/>
                <w:sz w:val="24"/>
                <w:szCs w:val="24"/>
                <w:highlight w:val="none"/>
                <w:lang w:val="en-US" w:eastAsia="zh-CN"/>
              </w:rPr>
            </w:pPr>
            <w:r>
              <w:rPr>
                <w:rFonts w:hint="eastAsia"/>
                <w:color w:val="auto"/>
                <w:sz w:val="24"/>
                <w:szCs w:val="24"/>
                <w:highlight w:val="none"/>
                <w:lang w:val="en-US" w:eastAsia="zh-CN"/>
              </w:rPr>
              <w:t>唐山高新技术产业开发区行政审批局</w:t>
            </w:r>
          </w:p>
        </w:tc>
        <w:tc>
          <w:tcPr>
            <w:tcW w:w="2236" w:type="dxa"/>
            <w:noWrap w:val="0"/>
            <w:vAlign w:val="center"/>
          </w:tcPr>
          <w:p w14:paraId="54FAF9DF">
            <w:pPr>
              <w:pStyle w:val="31"/>
              <w:bidi w:val="0"/>
              <w:rPr>
                <w:rFonts w:hint="eastAsia"/>
                <w:color w:val="auto"/>
                <w:sz w:val="24"/>
                <w:szCs w:val="24"/>
                <w:highlight w:val="none"/>
              </w:rPr>
            </w:pPr>
            <w:r>
              <w:rPr>
                <w:rFonts w:hint="eastAsia"/>
                <w:color w:val="auto"/>
                <w:sz w:val="24"/>
                <w:szCs w:val="24"/>
                <w:highlight w:val="none"/>
              </w:rPr>
              <w:t>项目审批（核准</w:t>
            </w:r>
            <w:r>
              <w:rPr>
                <w:color w:val="auto"/>
                <w:sz w:val="24"/>
                <w:szCs w:val="24"/>
                <w:highlight w:val="none"/>
              </w:rPr>
              <w:t>/</w:t>
            </w:r>
          </w:p>
          <w:p w14:paraId="4C9901CE">
            <w:pPr>
              <w:pStyle w:val="31"/>
              <w:bidi w:val="0"/>
              <w:rPr>
                <w:rFonts w:hint="eastAsia"/>
                <w:color w:val="auto"/>
                <w:sz w:val="24"/>
                <w:szCs w:val="24"/>
                <w:highlight w:val="none"/>
              </w:rPr>
            </w:pPr>
            <w:r>
              <w:rPr>
                <w:rFonts w:hint="eastAsia"/>
                <w:color w:val="auto"/>
                <w:sz w:val="24"/>
                <w:szCs w:val="24"/>
                <w:highlight w:val="none"/>
              </w:rPr>
              <w:t>备案）文号（选填）</w:t>
            </w:r>
          </w:p>
        </w:tc>
        <w:tc>
          <w:tcPr>
            <w:tcW w:w="3417" w:type="dxa"/>
            <w:noWrap w:val="0"/>
            <w:vAlign w:val="center"/>
          </w:tcPr>
          <w:p w14:paraId="3D5BF3F5">
            <w:pPr>
              <w:pStyle w:val="31"/>
              <w:bidi w:val="0"/>
              <w:rPr>
                <w:rFonts w:hint="default"/>
                <w:color w:val="auto"/>
                <w:sz w:val="24"/>
                <w:szCs w:val="24"/>
                <w:highlight w:val="none"/>
                <w:lang w:val="en-US" w:eastAsia="zh-CN"/>
              </w:rPr>
            </w:pPr>
            <w:r>
              <w:rPr>
                <w:rFonts w:hint="eastAsia"/>
                <w:color w:val="auto"/>
                <w:sz w:val="24"/>
                <w:szCs w:val="24"/>
                <w:highlight w:val="none"/>
                <w:lang w:val="en-US" w:eastAsia="zh-CN"/>
              </w:rPr>
              <w:t>唐高备字[2023]66号</w:t>
            </w:r>
          </w:p>
        </w:tc>
      </w:tr>
      <w:tr w14:paraId="1B327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1722" w:type="dxa"/>
            <w:noWrap w:val="0"/>
            <w:tcMar>
              <w:top w:w="16" w:type="dxa"/>
              <w:left w:w="16" w:type="dxa"/>
              <w:right w:w="16" w:type="dxa"/>
            </w:tcMar>
            <w:vAlign w:val="center"/>
          </w:tcPr>
          <w:p w14:paraId="5E5E17A3">
            <w:pPr>
              <w:pStyle w:val="31"/>
              <w:bidi w:val="0"/>
              <w:rPr>
                <w:color w:val="auto"/>
                <w:sz w:val="24"/>
                <w:szCs w:val="24"/>
                <w:highlight w:val="none"/>
              </w:rPr>
            </w:pPr>
            <w:r>
              <w:rPr>
                <w:rFonts w:hint="eastAsia"/>
                <w:color w:val="auto"/>
                <w:sz w:val="24"/>
                <w:szCs w:val="24"/>
                <w:highlight w:val="none"/>
              </w:rPr>
              <w:t>总投资（万元）</w:t>
            </w:r>
          </w:p>
        </w:tc>
        <w:tc>
          <w:tcPr>
            <w:tcW w:w="1979" w:type="dxa"/>
            <w:noWrap w:val="0"/>
            <w:vAlign w:val="center"/>
          </w:tcPr>
          <w:p w14:paraId="3340EFC8">
            <w:pPr>
              <w:pStyle w:val="31"/>
              <w:bidi w:val="0"/>
              <w:rPr>
                <w:rFonts w:hint="default"/>
                <w:color w:val="auto"/>
                <w:sz w:val="24"/>
                <w:szCs w:val="24"/>
                <w:highlight w:val="none"/>
                <w:lang w:val="en-US" w:eastAsia="zh-CN"/>
              </w:rPr>
            </w:pPr>
            <w:r>
              <w:rPr>
                <w:rFonts w:hint="eastAsia"/>
                <w:color w:val="auto"/>
                <w:sz w:val="24"/>
                <w:szCs w:val="24"/>
                <w:highlight w:val="none"/>
                <w:lang w:val="en-US" w:eastAsia="zh-CN"/>
              </w:rPr>
              <w:t>21028</w:t>
            </w:r>
          </w:p>
        </w:tc>
        <w:tc>
          <w:tcPr>
            <w:tcW w:w="2236" w:type="dxa"/>
            <w:noWrap w:val="0"/>
            <w:tcMar>
              <w:top w:w="16" w:type="dxa"/>
              <w:left w:w="16" w:type="dxa"/>
              <w:right w:w="16" w:type="dxa"/>
            </w:tcMar>
            <w:vAlign w:val="center"/>
          </w:tcPr>
          <w:p w14:paraId="6CC6E3B4">
            <w:pPr>
              <w:pStyle w:val="31"/>
              <w:bidi w:val="0"/>
              <w:rPr>
                <w:color w:val="auto"/>
                <w:sz w:val="24"/>
                <w:szCs w:val="24"/>
                <w:highlight w:val="none"/>
              </w:rPr>
            </w:pPr>
            <w:r>
              <w:rPr>
                <w:rFonts w:hint="eastAsia"/>
                <w:color w:val="auto"/>
                <w:sz w:val="24"/>
                <w:szCs w:val="24"/>
                <w:highlight w:val="none"/>
              </w:rPr>
              <w:t>环保投资（万元）</w:t>
            </w:r>
          </w:p>
        </w:tc>
        <w:tc>
          <w:tcPr>
            <w:tcW w:w="3417" w:type="dxa"/>
            <w:noWrap w:val="0"/>
            <w:vAlign w:val="center"/>
          </w:tcPr>
          <w:p w14:paraId="5F75426E">
            <w:pPr>
              <w:pStyle w:val="31"/>
              <w:bidi w:val="0"/>
              <w:rPr>
                <w:rFonts w:hint="default"/>
                <w:color w:val="auto"/>
                <w:sz w:val="24"/>
                <w:szCs w:val="24"/>
                <w:highlight w:val="none"/>
                <w:lang w:val="en-US" w:eastAsia="zh-CN"/>
              </w:rPr>
            </w:pPr>
            <w:r>
              <w:rPr>
                <w:rFonts w:hint="eastAsia"/>
                <w:color w:val="auto"/>
                <w:sz w:val="24"/>
                <w:szCs w:val="24"/>
                <w:highlight w:val="none"/>
                <w:lang w:val="en-US" w:eastAsia="zh-CN"/>
              </w:rPr>
              <w:t>500</w:t>
            </w:r>
          </w:p>
        </w:tc>
      </w:tr>
      <w:tr w14:paraId="27268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722" w:type="dxa"/>
            <w:noWrap w:val="0"/>
            <w:tcMar>
              <w:top w:w="16" w:type="dxa"/>
              <w:left w:w="16" w:type="dxa"/>
              <w:right w:w="16" w:type="dxa"/>
            </w:tcMar>
            <w:vAlign w:val="center"/>
          </w:tcPr>
          <w:p w14:paraId="76F6E01B">
            <w:pPr>
              <w:pStyle w:val="31"/>
              <w:bidi w:val="0"/>
              <w:rPr>
                <w:color w:val="auto"/>
                <w:sz w:val="24"/>
                <w:szCs w:val="24"/>
                <w:highlight w:val="none"/>
              </w:rPr>
            </w:pPr>
            <w:r>
              <w:rPr>
                <w:rFonts w:hint="eastAsia"/>
                <w:color w:val="auto"/>
                <w:sz w:val="24"/>
                <w:szCs w:val="24"/>
                <w:highlight w:val="none"/>
              </w:rPr>
              <w:t>环保投资占比（</w:t>
            </w:r>
            <w:r>
              <w:rPr>
                <w:color w:val="auto"/>
                <w:sz w:val="24"/>
                <w:szCs w:val="24"/>
                <w:highlight w:val="none"/>
              </w:rPr>
              <w:t>%</w:t>
            </w:r>
            <w:r>
              <w:rPr>
                <w:rFonts w:hint="eastAsia"/>
                <w:color w:val="auto"/>
                <w:sz w:val="24"/>
                <w:szCs w:val="24"/>
                <w:highlight w:val="none"/>
              </w:rPr>
              <w:t>）</w:t>
            </w:r>
          </w:p>
        </w:tc>
        <w:tc>
          <w:tcPr>
            <w:tcW w:w="1979" w:type="dxa"/>
            <w:noWrap w:val="0"/>
            <w:vAlign w:val="center"/>
          </w:tcPr>
          <w:p w14:paraId="11F82467">
            <w:pPr>
              <w:pStyle w:val="31"/>
              <w:bidi w:val="0"/>
              <w:rPr>
                <w:rFonts w:hint="default"/>
                <w:color w:val="auto"/>
                <w:sz w:val="24"/>
                <w:szCs w:val="24"/>
                <w:highlight w:val="none"/>
                <w:lang w:val="en-US" w:eastAsia="zh-CN"/>
              </w:rPr>
            </w:pPr>
            <w:r>
              <w:rPr>
                <w:rFonts w:hint="eastAsia"/>
                <w:color w:val="auto"/>
                <w:sz w:val="24"/>
                <w:szCs w:val="24"/>
                <w:highlight w:val="none"/>
                <w:lang w:val="en-US" w:eastAsia="zh-CN"/>
              </w:rPr>
              <w:t>2.38</w:t>
            </w:r>
          </w:p>
        </w:tc>
        <w:tc>
          <w:tcPr>
            <w:tcW w:w="2236" w:type="dxa"/>
            <w:noWrap w:val="0"/>
            <w:tcMar>
              <w:top w:w="16" w:type="dxa"/>
              <w:left w:w="16" w:type="dxa"/>
              <w:right w:w="16" w:type="dxa"/>
            </w:tcMar>
            <w:vAlign w:val="center"/>
          </w:tcPr>
          <w:p w14:paraId="58912CA1">
            <w:pPr>
              <w:pStyle w:val="31"/>
              <w:bidi w:val="0"/>
              <w:rPr>
                <w:color w:val="auto"/>
                <w:sz w:val="24"/>
                <w:szCs w:val="24"/>
                <w:highlight w:val="none"/>
              </w:rPr>
            </w:pPr>
            <w:r>
              <w:rPr>
                <w:rFonts w:hint="eastAsia"/>
                <w:color w:val="auto"/>
                <w:sz w:val="24"/>
                <w:szCs w:val="24"/>
                <w:highlight w:val="none"/>
              </w:rPr>
              <w:t>施工工期</w:t>
            </w:r>
          </w:p>
        </w:tc>
        <w:tc>
          <w:tcPr>
            <w:tcW w:w="3417" w:type="dxa"/>
            <w:noWrap w:val="0"/>
            <w:vAlign w:val="center"/>
          </w:tcPr>
          <w:p w14:paraId="77422471">
            <w:pPr>
              <w:pStyle w:val="31"/>
              <w:bidi w:val="0"/>
              <w:rPr>
                <w:rFonts w:hint="default"/>
                <w:color w:val="auto"/>
                <w:sz w:val="24"/>
                <w:szCs w:val="24"/>
                <w:highlight w:val="none"/>
                <w:lang w:val="en-US" w:eastAsia="zh-CN"/>
              </w:rPr>
            </w:pPr>
            <w:r>
              <w:rPr>
                <w:rFonts w:hint="eastAsia"/>
                <w:color w:val="auto"/>
                <w:sz w:val="24"/>
                <w:szCs w:val="24"/>
                <w:highlight w:val="none"/>
                <w:lang w:val="en-US" w:eastAsia="zh-CN"/>
              </w:rPr>
              <w:t>3</w:t>
            </w:r>
            <w:r>
              <w:rPr>
                <w:rFonts w:hint="default"/>
                <w:color w:val="auto"/>
                <w:sz w:val="24"/>
                <w:szCs w:val="24"/>
                <w:highlight w:val="none"/>
                <w:lang w:val="en-US" w:eastAsia="zh-CN"/>
              </w:rPr>
              <w:t>个月</w:t>
            </w:r>
          </w:p>
        </w:tc>
      </w:tr>
      <w:tr w14:paraId="728A3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722" w:type="dxa"/>
            <w:noWrap w:val="0"/>
            <w:tcMar>
              <w:top w:w="16" w:type="dxa"/>
              <w:left w:w="16" w:type="dxa"/>
              <w:right w:w="16" w:type="dxa"/>
            </w:tcMar>
            <w:vAlign w:val="center"/>
          </w:tcPr>
          <w:p w14:paraId="06D785BE">
            <w:pPr>
              <w:pStyle w:val="31"/>
              <w:bidi w:val="0"/>
              <w:rPr>
                <w:rFonts w:hint="eastAsia"/>
                <w:color w:val="auto"/>
                <w:sz w:val="24"/>
                <w:szCs w:val="24"/>
                <w:highlight w:val="none"/>
              </w:rPr>
            </w:pPr>
            <w:r>
              <w:rPr>
                <w:rFonts w:hint="eastAsia"/>
                <w:color w:val="auto"/>
                <w:sz w:val="24"/>
                <w:szCs w:val="24"/>
                <w:highlight w:val="none"/>
              </w:rPr>
              <w:t>是否开工建设</w:t>
            </w:r>
          </w:p>
        </w:tc>
        <w:tc>
          <w:tcPr>
            <w:tcW w:w="1979" w:type="dxa"/>
            <w:noWrap w:val="0"/>
            <w:vAlign w:val="center"/>
          </w:tcPr>
          <w:p w14:paraId="72246455">
            <w:pPr>
              <w:pStyle w:val="31"/>
              <w:bidi w:val="0"/>
              <w:jc w:val="left"/>
              <w:rPr>
                <w:color w:val="auto"/>
                <w:sz w:val="24"/>
                <w:szCs w:val="24"/>
                <w:highlight w:val="none"/>
              </w:rPr>
            </w:pPr>
            <w:r>
              <w:rPr>
                <w:rFonts w:hint="eastAsia" w:ascii="宋体" w:hAnsi="宋体" w:eastAsia="宋体" w:cs="宋体"/>
                <w:b w:val="0"/>
                <w:bCs w:val="0"/>
                <w:color w:val="auto"/>
                <w:sz w:val="24"/>
                <w:szCs w:val="24"/>
                <w:highlight w:val="none"/>
              </w:rPr>
              <w:sym w:font="Wingdings" w:char="00FE"/>
            </w:r>
            <w:r>
              <w:rPr>
                <w:rFonts w:hint="eastAsia"/>
                <w:color w:val="auto"/>
                <w:sz w:val="24"/>
                <w:szCs w:val="24"/>
                <w:highlight w:val="none"/>
              </w:rPr>
              <w:t>否</w:t>
            </w:r>
          </w:p>
          <w:p w14:paraId="476BFA25">
            <w:pPr>
              <w:pStyle w:val="31"/>
              <w:bidi w:val="0"/>
              <w:jc w:val="left"/>
              <w:rPr>
                <w:color w:val="auto"/>
                <w:sz w:val="24"/>
                <w:szCs w:val="24"/>
                <w:highlight w:val="none"/>
              </w:rPr>
            </w:pPr>
            <w:r>
              <w:rPr>
                <w:rFonts w:hint="eastAsia" w:ascii="宋体" w:hAnsi="宋体" w:eastAsia="宋体" w:cs="宋体"/>
                <w:b w:val="0"/>
                <w:bCs w:val="0"/>
                <w:color w:val="auto"/>
                <w:sz w:val="24"/>
                <w:szCs w:val="24"/>
                <w:highlight w:val="none"/>
              </w:rPr>
              <w:sym w:font="Wingdings" w:char="00A8"/>
            </w:r>
            <w:r>
              <w:rPr>
                <w:rFonts w:hint="eastAsia"/>
                <w:color w:val="auto"/>
                <w:sz w:val="24"/>
                <w:szCs w:val="24"/>
                <w:highlight w:val="none"/>
              </w:rPr>
              <w:t>是：</w:t>
            </w:r>
            <w:r>
              <w:rPr>
                <w:rFonts w:hint="eastAsia"/>
                <w:color w:val="auto"/>
                <w:sz w:val="24"/>
                <w:szCs w:val="24"/>
                <w:highlight w:val="none"/>
                <w:u w:val="single"/>
                <w:lang w:val="en-US" w:eastAsia="zh-CN"/>
              </w:rPr>
              <w:t xml:space="preserve">              </w:t>
            </w:r>
            <w:r>
              <w:rPr>
                <w:rFonts w:hint="eastAsia"/>
                <w:color w:val="auto"/>
                <w:sz w:val="24"/>
                <w:szCs w:val="24"/>
                <w:highlight w:val="none"/>
              </w:rPr>
              <w:t xml:space="preserve">             </w:t>
            </w:r>
          </w:p>
        </w:tc>
        <w:tc>
          <w:tcPr>
            <w:tcW w:w="2236" w:type="dxa"/>
            <w:noWrap w:val="0"/>
            <w:tcMar>
              <w:top w:w="16" w:type="dxa"/>
              <w:left w:w="16" w:type="dxa"/>
              <w:right w:w="16" w:type="dxa"/>
            </w:tcMar>
            <w:vAlign w:val="center"/>
          </w:tcPr>
          <w:p w14:paraId="2CBCBEEB">
            <w:pPr>
              <w:pStyle w:val="31"/>
              <w:bidi w:val="0"/>
              <w:rPr>
                <w:color w:val="auto"/>
                <w:sz w:val="24"/>
                <w:szCs w:val="24"/>
                <w:highlight w:val="none"/>
              </w:rPr>
            </w:pPr>
            <w:r>
              <w:rPr>
                <w:rFonts w:hint="eastAsia"/>
                <w:color w:val="auto"/>
                <w:sz w:val="24"/>
                <w:szCs w:val="24"/>
                <w:highlight w:val="none"/>
              </w:rPr>
              <w:t>用地（用海）</w:t>
            </w:r>
          </w:p>
          <w:p w14:paraId="523EF654">
            <w:pPr>
              <w:pStyle w:val="31"/>
              <w:bidi w:val="0"/>
              <w:rPr>
                <w:rFonts w:hint="eastAsia"/>
                <w:color w:val="auto"/>
                <w:sz w:val="24"/>
                <w:szCs w:val="24"/>
                <w:highlight w:val="none"/>
              </w:rPr>
            </w:pPr>
            <w:r>
              <w:rPr>
                <w:rFonts w:hint="eastAsia"/>
                <w:color w:val="auto"/>
                <w:sz w:val="24"/>
                <w:szCs w:val="24"/>
                <w:highlight w:val="none"/>
              </w:rPr>
              <w:t>面积</w:t>
            </w:r>
            <w:r>
              <w:rPr>
                <w:rFonts w:hint="default"/>
                <w:color w:val="auto"/>
                <w:sz w:val="24"/>
                <w:szCs w:val="24"/>
                <w:highlight w:val="none"/>
              </w:rPr>
              <w:t>（m</w:t>
            </w:r>
            <w:r>
              <w:rPr>
                <w:rFonts w:hint="default"/>
                <w:color w:val="auto"/>
                <w:sz w:val="24"/>
                <w:szCs w:val="24"/>
                <w:highlight w:val="none"/>
                <w:vertAlign w:val="superscript"/>
              </w:rPr>
              <w:t>2</w:t>
            </w:r>
            <w:r>
              <w:rPr>
                <w:rFonts w:hint="default"/>
                <w:color w:val="auto"/>
                <w:sz w:val="24"/>
                <w:szCs w:val="24"/>
                <w:highlight w:val="none"/>
              </w:rPr>
              <w:t>）</w:t>
            </w:r>
          </w:p>
        </w:tc>
        <w:tc>
          <w:tcPr>
            <w:tcW w:w="3417" w:type="dxa"/>
            <w:noWrap w:val="0"/>
            <w:vAlign w:val="center"/>
          </w:tcPr>
          <w:p w14:paraId="003787E2">
            <w:pPr>
              <w:pStyle w:val="31"/>
              <w:bidi w:val="0"/>
              <w:rPr>
                <w:rFonts w:hint="default" w:eastAsia="宋体"/>
                <w:color w:val="auto"/>
                <w:sz w:val="24"/>
                <w:szCs w:val="24"/>
                <w:highlight w:val="none"/>
                <w:vertAlign w:val="baseline"/>
                <w:lang w:val="en-US" w:eastAsia="zh-CN"/>
              </w:rPr>
            </w:pPr>
            <w:r>
              <w:rPr>
                <w:rFonts w:hint="eastAsia"/>
                <w:color w:val="auto"/>
                <w:sz w:val="24"/>
                <w:szCs w:val="24"/>
                <w:highlight w:val="none"/>
                <w:lang w:val="en-US" w:eastAsia="zh-CN"/>
              </w:rPr>
              <w:t>0（在现有厂区内建设，不新增占地）</w:t>
            </w:r>
          </w:p>
        </w:tc>
      </w:tr>
      <w:tr w14:paraId="169E8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22" w:type="dxa"/>
            <w:noWrap w:val="0"/>
            <w:vAlign w:val="center"/>
          </w:tcPr>
          <w:p w14:paraId="72AC75AE">
            <w:pPr>
              <w:pStyle w:val="31"/>
              <w:bidi w:val="0"/>
              <w:jc w:val="center"/>
              <w:rPr>
                <w:color w:val="auto"/>
                <w:sz w:val="24"/>
                <w:szCs w:val="24"/>
                <w:highlight w:val="none"/>
              </w:rPr>
            </w:pPr>
            <w:r>
              <w:rPr>
                <w:rFonts w:hint="eastAsia"/>
                <w:color w:val="auto"/>
                <w:sz w:val="24"/>
                <w:szCs w:val="24"/>
                <w:highlight w:val="none"/>
              </w:rPr>
              <w:t>专项评价设置情况</w:t>
            </w:r>
          </w:p>
        </w:tc>
        <w:tc>
          <w:tcPr>
            <w:tcW w:w="7632" w:type="dxa"/>
            <w:gridSpan w:val="3"/>
            <w:noWrap w:val="0"/>
            <w:vAlign w:val="center"/>
          </w:tcPr>
          <w:p w14:paraId="65412F52">
            <w:pPr>
              <w:pStyle w:val="31"/>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无</w:t>
            </w:r>
          </w:p>
        </w:tc>
      </w:tr>
      <w:tr w14:paraId="43095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722" w:type="dxa"/>
            <w:noWrap w:val="0"/>
            <w:vAlign w:val="center"/>
          </w:tcPr>
          <w:p w14:paraId="0C472AD2">
            <w:pPr>
              <w:pStyle w:val="31"/>
              <w:bidi w:val="0"/>
              <w:rPr>
                <w:rFonts w:hint="eastAsia"/>
                <w:color w:val="auto"/>
                <w:sz w:val="24"/>
                <w:szCs w:val="24"/>
                <w:highlight w:val="none"/>
              </w:rPr>
            </w:pPr>
            <w:r>
              <w:rPr>
                <w:rFonts w:hint="eastAsia"/>
                <w:color w:val="auto"/>
                <w:sz w:val="24"/>
                <w:szCs w:val="24"/>
                <w:highlight w:val="none"/>
              </w:rPr>
              <w:t>规划情况</w:t>
            </w:r>
          </w:p>
        </w:tc>
        <w:tc>
          <w:tcPr>
            <w:tcW w:w="7632" w:type="dxa"/>
            <w:gridSpan w:val="3"/>
            <w:noWrap w:val="0"/>
            <w:vAlign w:val="center"/>
          </w:tcPr>
          <w:p w14:paraId="726A499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auto"/>
                <w:sz w:val="24"/>
                <w:szCs w:val="24"/>
                <w:highlight w:val="none"/>
                <w:lang w:val="en-US" w:eastAsia="zh-CN"/>
              </w:rPr>
            </w:pPr>
            <w:r>
              <w:rPr>
                <w:rFonts w:hint="eastAsia" w:cs="Times New Roman"/>
                <w:color w:val="auto"/>
                <w:sz w:val="24"/>
                <w:szCs w:val="24"/>
                <w:highlight w:val="none"/>
                <w:lang w:val="en-US" w:eastAsia="zh-CN"/>
              </w:rPr>
              <w:t>无</w:t>
            </w:r>
          </w:p>
        </w:tc>
      </w:tr>
      <w:tr w14:paraId="17BA4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2" w:type="dxa"/>
            <w:noWrap w:val="0"/>
            <w:vAlign w:val="center"/>
          </w:tcPr>
          <w:p w14:paraId="6CA0F160">
            <w:pPr>
              <w:pStyle w:val="31"/>
              <w:bidi w:val="0"/>
              <w:rPr>
                <w:rFonts w:hint="eastAsia"/>
                <w:color w:val="auto"/>
                <w:sz w:val="24"/>
                <w:szCs w:val="24"/>
                <w:highlight w:val="none"/>
              </w:rPr>
            </w:pPr>
            <w:r>
              <w:rPr>
                <w:rFonts w:hint="eastAsia"/>
                <w:color w:val="auto"/>
                <w:sz w:val="24"/>
                <w:szCs w:val="24"/>
                <w:highlight w:val="none"/>
              </w:rPr>
              <w:t>规划环境影响评价情况</w:t>
            </w:r>
          </w:p>
        </w:tc>
        <w:tc>
          <w:tcPr>
            <w:tcW w:w="7632" w:type="dxa"/>
            <w:gridSpan w:val="3"/>
            <w:noWrap w:val="0"/>
            <w:vAlign w:val="center"/>
          </w:tcPr>
          <w:p w14:paraId="74ECAA79">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textAlignment w:val="auto"/>
              <w:rPr>
                <w:rFonts w:hint="default"/>
                <w:color w:val="auto"/>
                <w:highlight w:val="none"/>
                <w:lang w:eastAsia="zh-CN"/>
              </w:rPr>
            </w:pPr>
            <w:r>
              <w:rPr>
                <w:rFonts w:hint="eastAsia"/>
                <w:color w:val="auto"/>
                <w:highlight w:val="none"/>
                <w:lang w:val="en-US" w:eastAsia="zh-CN"/>
              </w:rPr>
              <w:t>文件名称：</w:t>
            </w:r>
            <w:r>
              <w:rPr>
                <w:rFonts w:hint="default" w:ascii="Times New Roman" w:hAnsi="Times New Roman" w:eastAsia="宋体" w:cs="Times New Roman"/>
                <w:color w:val="auto"/>
                <w:sz w:val="24"/>
                <w:szCs w:val="24"/>
                <w:highlight w:val="none"/>
                <w:lang w:val="en-US" w:eastAsia="zh-CN"/>
              </w:rPr>
              <w:t>《唐山市高新技术开发区环境影响报告书》</w:t>
            </w:r>
            <w:r>
              <w:rPr>
                <w:rFonts w:hint="eastAsia"/>
                <w:color w:val="auto"/>
                <w:highlight w:val="none"/>
                <w:lang w:eastAsia="zh-CN"/>
              </w:rPr>
              <w:t>；</w:t>
            </w:r>
          </w:p>
          <w:p w14:paraId="57AE5C3B">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both"/>
              <w:textAlignment w:val="auto"/>
              <w:outlineLvl w:val="9"/>
              <w:rPr>
                <w:rFonts w:hint="default"/>
                <w:color w:val="auto"/>
                <w:highlight w:val="none"/>
                <w:lang w:eastAsia="zh-CN"/>
              </w:rPr>
            </w:pPr>
            <w:r>
              <w:rPr>
                <w:rFonts w:hint="eastAsia"/>
                <w:color w:val="auto"/>
                <w:highlight w:val="none"/>
                <w:lang w:val="en-US" w:eastAsia="zh-CN"/>
              </w:rPr>
              <w:t>召集审查机关：</w:t>
            </w:r>
            <w:r>
              <w:rPr>
                <w:rFonts w:hint="default"/>
                <w:color w:val="auto"/>
                <w:highlight w:val="none"/>
                <w:lang w:eastAsia="zh-CN"/>
              </w:rPr>
              <w:t>河北省</w:t>
            </w:r>
            <w:r>
              <w:rPr>
                <w:rFonts w:hint="eastAsia"/>
                <w:color w:val="auto"/>
                <w:highlight w:val="none"/>
                <w:lang w:val="en-US" w:eastAsia="zh-CN"/>
              </w:rPr>
              <w:t>环境保护局</w:t>
            </w:r>
            <w:r>
              <w:rPr>
                <w:rFonts w:hint="eastAsia"/>
                <w:color w:val="auto"/>
                <w:highlight w:val="none"/>
                <w:lang w:eastAsia="zh-CN"/>
              </w:rPr>
              <w:t>；</w:t>
            </w:r>
          </w:p>
          <w:p w14:paraId="38F24DAB">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jc w:val="both"/>
              <w:textAlignment w:val="auto"/>
              <w:outlineLvl w:val="9"/>
              <w:rPr>
                <w:rFonts w:hint="default"/>
                <w:color w:val="auto"/>
                <w:highlight w:val="none"/>
                <w:lang w:val="en-US" w:eastAsia="zh-CN"/>
              </w:rPr>
            </w:pPr>
            <w:r>
              <w:rPr>
                <w:rFonts w:hint="eastAsia"/>
                <w:color w:val="auto"/>
                <w:highlight w:val="none"/>
                <w:lang w:val="en-US" w:eastAsia="zh-CN"/>
              </w:rPr>
              <w:t>审查文件及文号：</w:t>
            </w:r>
            <w:r>
              <w:rPr>
                <w:rFonts w:hint="default"/>
                <w:color w:val="auto"/>
                <w:highlight w:val="none"/>
                <w:lang w:eastAsia="zh-CN"/>
              </w:rPr>
              <w:t>《</w:t>
            </w:r>
            <w:r>
              <w:rPr>
                <w:rFonts w:hint="eastAsia"/>
                <w:color w:val="auto"/>
                <w:highlight w:val="none"/>
              </w:rPr>
              <w:t>关于</w:t>
            </w:r>
            <w:r>
              <w:rPr>
                <w:rFonts w:hint="eastAsia"/>
                <w:color w:val="auto"/>
                <w:highlight w:val="none"/>
                <w:lang w:val="en-US" w:eastAsia="zh-CN"/>
              </w:rPr>
              <w:t>唐山市高新技术开发区环境影响报告书的批复</w:t>
            </w:r>
            <w:r>
              <w:rPr>
                <w:rFonts w:hint="default"/>
                <w:color w:val="auto"/>
                <w:highlight w:val="none"/>
                <w:lang w:eastAsia="zh-CN"/>
              </w:rPr>
              <w:t>》（</w:t>
            </w:r>
            <w:r>
              <w:rPr>
                <w:rFonts w:hint="eastAsia"/>
                <w:color w:val="auto"/>
                <w:highlight w:val="none"/>
              </w:rPr>
              <w:t>冀</w:t>
            </w:r>
            <w:r>
              <w:rPr>
                <w:rFonts w:hint="eastAsia"/>
                <w:color w:val="auto"/>
                <w:highlight w:val="none"/>
                <w:lang w:val="en-US" w:eastAsia="zh-CN"/>
              </w:rPr>
              <w:t>环管[2000]256号）。</w:t>
            </w:r>
          </w:p>
        </w:tc>
      </w:tr>
      <w:tr w14:paraId="72BDA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2" w:type="dxa"/>
            <w:noWrap w:val="0"/>
            <w:vAlign w:val="center"/>
          </w:tcPr>
          <w:p w14:paraId="70FB91B9">
            <w:pPr>
              <w:pStyle w:val="31"/>
              <w:bidi w:val="0"/>
              <w:rPr>
                <w:rFonts w:hint="eastAsia"/>
                <w:color w:val="auto"/>
                <w:sz w:val="24"/>
                <w:szCs w:val="24"/>
                <w:highlight w:val="none"/>
              </w:rPr>
            </w:pPr>
            <w:r>
              <w:rPr>
                <w:rFonts w:hint="eastAsia"/>
                <w:color w:val="auto"/>
                <w:sz w:val="24"/>
                <w:szCs w:val="24"/>
                <w:highlight w:val="none"/>
              </w:rPr>
              <w:t>规划及规划环境影响评价符合性分析</w:t>
            </w:r>
          </w:p>
        </w:tc>
        <w:tc>
          <w:tcPr>
            <w:tcW w:w="7632" w:type="dxa"/>
            <w:gridSpan w:val="3"/>
            <w:noWrap w:val="0"/>
            <w:vAlign w:val="center"/>
          </w:tcPr>
          <w:p w14:paraId="51C9038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outlineLvl w:val="9"/>
              <w:rPr>
                <w:rFonts w:hint="default" w:ascii="Times New Roman" w:hAnsi="Times New Roman" w:eastAsia="宋体" w:cs="Times New Roman"/>
                <w:color w:val="auto"/>
                <w:kern w:val="0"/>
                <w:sz w:val="24"/>
                <w:szCs w:val="24"/>
                <w:highlight w:val="none"/>
                <w:shd w:val="clear" w:color="auto" w:fill="auto"/>
                <w:lang w:eastAsia="zh-CN"/>
              </w:rPr>
            </w:pPr>
            <w:r>
              <w:rPr>
                <w:rFonts w:hint="default" w:ascii="Times New Roman" w:hAnsi="Times New Roman" w:eastAsia="宋体" w:cs="Times New Roman"/>
                <w:color w:val="auto"/>
                <w:kern w:val="0"/>
                <w:sz w:val="24"/>
                <w:szCs w:val="24"/>
                <w:highlight w:val="none"/>
                <w:shd w:val="clear" w:color="auto" w:fill="auto"/>
                <w:lang w:val="en-US" w:eastAsia="zh-CN"/>
              </w:rPr>
              <w:t>根据</w:t>
            </w:r>
            <w:r>
              <w:rPr>
                <w:rFonts w:hint="eastAsia"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唐山市高新技术开发区环境影响报告书</w:t>
            </w:r>
            <w:r>
              <w:rPr>
                <w:rFonts w:hint="eastAsia"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的批复中规定可知，高新区在项目选择上要严格按照开发区发展规划和环境功能区划要求，上高科技含量、高附加值、无污染或轻污染的项目，严禁建设物耗、能耗高的重污染项目</w:t>
            </w:r>
            <w:r>
              <w:rPr>
                <w:rFonts w:hint="default" w:ascii="Times New Roman" w:hAnsi="Times New Roman" w:eastAsia="宋体" w:cs="Times New Roman"/>
                <w:color w:val="auto"/>
                <w:kern w:val="0"/>
                <w:sz w:val="24"/>
                <w:szCs w:val="24"/>
                <w:highlight w:val="none"/>
                <w:shd w:val="clear" w:color="auto" w:fill="auto"/>
                <w:lang w:eastAsia="zh-CN"/>
              </w:rPr>
              <w:t>。</w:t>
            </w:r>
          </w:p>
          <w:p w14:paraId="2669FCD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本项目主要对外购壳体进行除锈、除油、喷漆表面处理，加工后的壳体用于机器人生产，同时新增部分高压实验设备，用于组装后成品的检测，项目所用漆料均属于低VOCs含量原辅材料，调漆、喷漆、刮腻子、腻子打磨、除油过程产生的废气采用干式喷漆柜处理后，与烘干/晾干、漆料和危废储存过程产生的废气一起引入过滤棉箱过滤+沸石转轮吸附+催化燃烧装置处理，处理后达标排放，打磨过程产生的废气经脉冲布袋除尘器处理后达标排放，污染物排放量较小，不属于</w:t>
            </w:r>
            <w:r>
              <w:rPr>
                <w:rFonts w:hint="default" w:ascii="Times New Roman" w:hAnsi="Times New Roman" w:eastAsia="宋体" w:cs="Times New Roman"/>
                <w:color w:val="auto"/>
                <w:kern w:val="0"/>
                <w:sz w:val="24"/>
                <w:szCs w:val="24"/>
                <w:highlight w:val="none"/>
                <w:shd w:val="clear" w:color="auto" w:fill="auto"/>
                <w:lang w:val="en-US" w:eastAsia="zh-CN"/>
              </w:rPr>
              <w:t>物耗、能耗高的重污染项目</w:t>
            </w:r>
            <w:r>
              <w:rPr>
                <w:rFonts w:hint="eastAsia" w:cs="Times New Roman"/>
                <w:color w:val="auto"/>
                <w:kern w:val="0"/>
                <w:sz w:val="24"/>
                <w:szCs w:val="24"/>
                <w:highlight w:val="none"/>
                <w:shd w:val="clear" w:color="auto" w:fill="auto"/>
                <w:lang w:val="en-US"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符合</w:t>
            </w:r>
            <w:r>
              <w:rPr>
                <w:rFonts w:hint="default"/>
                <w:color w:val="auto"/>
                <w:highlight w:val="none"/>
                <w:lang w:eastAsia="zh-CN"/>
              </w:rPr>
              <w:t>《</w:t>
            </w:r>
            <w:r>
              <w:rPr>
                <w:rFonts w:hint="eastAsia"/>
                <w:color w:val="auto"/>
                <w:highlight w:val="none"/>
              </w:rPr>
              <w:t>关于</w:t>
            </w:r>
            <w:r>
              <w:rPr>
                <w:rFonts w:hint="eastAsia"/>
                <w:color w:val="auto"/>
                <w:highlight w:val="none"/>
                <w:lang w:val="en-US" w:eastAsia="zh-CN"/>
              </w:rPr>
              <w:t>唐山市高新技术开发区环境影响报告书的批复</w:t>
            </w:r>
            <w:r>
              <w:rPr>
                <w:rFonts w:hint="default"/>
                <w:color w:val="auto"/>
                <w:highlight w:val="none"/>
                <w:lang w:eastAsia="zh-CN"/>
              </w:rPr>
              <w:t>》（</w:t>
            </w:r>
            <w:r>
              <w:rPr>
                <w:rFonts w:hint="eastAsia"/>
                <w:color w:val="auto"/>
                <w:highlight w:val="none"/>
              </w:rPr>
              <w:t>冀</w:t>
            </w:r>
            <w:r>
              <w:rPr>
                <w:rFonts w:hint="eastAsia"/>
                <w:color w:val="auto"/>
                <w:highlight w:val="none"/>
                <w:lang w:val="en-US" w:eastAsia="zh-CN"/>
              </w:rPr>
              <w:t>环管[2000]256号）要求。</w:t>
            </w:r>
          </w:p>
        </w:tc>
      </w:tr>
      <w:tr w14:paraId="090D8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7" w:hRule="atLeast"/>
          <w:jc w:val="center"/>
        </w:trPr>
        <w:tc>
          <w:tcPr>
            <w:tcW w:w="1722" w:type="dxa"/>
            <w:noWrap w:val="0"/>
            <w:vAlign w:val="center"/>
          </w:tcPr>
          <w:p w14:paraId="7D8B134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其他符合性分析</w:t>
            </w:r>
          </w:p>
        </w:tc>
        <w:tc>
          <w:tcPr>
            <w:tcW w:w="7632" w:type="dxa"/>
            <w:gridSpan w:val="3"/>
            <w:noWrap w:val="0"/>
            <w:vAlign w:val="center"/>
          </w:tcPr>
          <w:p w14:paraId="511FB055">
            <w:pPr>
              <w:pStyle w:val="21"/>
              <w:keepNext w:val="0"/>
              <w:keepLines w:val="0"/>
              <w:pageBreakBefore w:val="0"/>
              <w:widowControl w:val="0"/>
              <w:suppressLineNumbers w:val="0"/>
              <w:kinsoku/>
              <w:wordWrap/>
              <w:overflowPunct/>
              <w:topLinePunct w:val="0"/>
              <w:bidi w:val="0"/>
              <w:snapToGrid/>
              <w:spacing w:before="0" w:beforeAutospacing="0" w:after="0" w:afterAutospacing="0" w:line="480" w:lineRule="exact"/>
              <w:ind w:left="0" w:leftChars="0" w:right="0" w:firstLine="0" w:firstLineChars="0"/>
              <w:jc w:val="both"/>
              <w:textAlignment w:val="auto"/>
              <w:rPr>
                <w:rFonts w:hint="default" w:ascii="Times New Roman" w:hAnsi="Times New Roman" w:cs="Times New Roman"/>
                <w:b/>
                <w:bCs w:val="0"/>
                <w:color w:val="auto"/>
                <w:sz w:val="24"/>
                <w:szCs w:val="24"/>
                <w:highlight w:val="none"/>
              </w:rPr>
            </w:pPr>
            <w:r>
              <w:rPr>
                <w:rFonts w:hint="eastAsia" w:ascii="Times New Roman" w:hAnsi="Times New Roman" w:cs="Times New Roman"/>
                <w:b/>
                <w:bCs w:val="0"/>
                <w:color w:val="auto"/>
                <w:kern w:val="2"/>
                <w:sz w:val="24"/>
                <w:szCs w:val="24"/>
                <w:highlight w:val="none"/>
                <w:lang w:val="en-US" w:eastAsia="zh-CN" w:bidi="ar"/>
              </w:rPr>
              <w:t>1、产业政策</w:t>
            </w:r>
            <w:r>
              <w:rPr>
                <w:rFonts w:hint="default" w:ascii="Times New Roman" w:hAnsi="Times New Roman" w:cs="Times New Roman"/>
                <w:b/>
                <w:bCs w:val="0"/>
                <w:color w:val="auto"/>
                <w:kern w:val="2"/>
                <w:sz w:val="24"/>
                <w:szCs w:val="24"/>
                <w:highlight w:val="none"/>
                <w:lang w:bidi="ar"/>
              </w:rPr>
              <w:t>相符性分析</w:t>
            </w:r>
          </w:p>
          <w:p w14:paraId="74FD891D">
            <w:pPr>
              <w:keepNext w:val="0"/>
              <w:keepLines w:val="0"/>
              <w:pageBreakBefore w:val="0"/>
              <w:widowControl w:val="0"/>
              <w:tabs>
                <w:tab w:val="left" w:pos="3150"/>
              </w:tabs>
              <w:kinsoku/>
              <w:wordWrap/>
              <w:overflowPunct/>
              <w:topLinePunct w:val="0"/>
              <w:bidi w:val="0"/>
              <w:spacing w:line="480" w:lineRule="exact"/>
              <w:ind w:firstLine="480" w:firstLineChars="200"/>
              <w:textAlignment w:val="auto"/>
              <w:rPr>
                <w:rFonts w:hint="eastAsia"/>
                <w:color w:val="auto"/>
                <w:sz w:val="24"/>
                <w:szCs w:val="24"/>
                <w:highlight w:val="none"/>
                <w:lang w:val="en-US" w:eastAsia="zh-CN"/>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属于</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河北省禁止投资的产业目录（2014年版）</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中禁止投资的产业项目；不属于《市场准入负面清单（202</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年版）》中禁止类项目；</w:t>
            </w:r>
            <w:r>
              <w:rPr>
                <w:rFonts w:hint="eastAsia" w:cs="Times New Roman"/>
                <w:color w:val="auto"/>
                <w:sz w:val="24"/>
                <w:highlight w:val="none"/>
                <w:lang w:val="en-US" w:eastAsia="zh-CN"/>
              </w:rPr>
              <w:t>同时不在</w:t>
            </w:r>
            <w:r>
              <w:rPr>
                <w:rFonts w:ascii="Times New Roman" w:hAnsi="Times New Roman" w:eastAsia="宋体" w:cs="Times New Roman"/>
                <w:color w:val="auto"/>
                <w:sz w:val="24"/>
                <w:highlight w:val="none"/>
              </w:rPr>
              <w:t>《产业结构调整指导目录（201</w:t>
            </w:r>
            <w:r>
              <w:rPr>
                <w:rFonts w:hint="eastAsia" w:ascii="Times New Roman" w:hAnsi="Times New Roman" w:eastAsia="宋体" w:cs="Times New Roman"/>
                <w:color w:val="auto"/>
                <w:sz w:val="24"/>
                <w:highlight w:val="none"/>
              </w:rPr>
              <w:t>9</w:t>
            </w:r>
            <w:r>
              <w:rPr>
                <w:rFonts w:ascii="Times New Roman" w:hAnsi="Times New Roman" w:eastAsia="宋体" w:cs="Times New Roman"/>
                <w:color w:val="auto"/>
                <w:sz w:val="24"/>
                <w:highlight w:val="none"/>
              </w:rPr>
              <w:t>年本）》</w:t>
            </w:r>
            <w:r>
              <w:rPr>
                <w:rFonts w:hint="eastAsia" w:cs="Times New Roman"/>
                <w:color w:val="auto"/>
                <w:sz w:val="24"/>
                <w:highlight w:val="none"/>
                <w:lang w:eastAsia="zh-CN"/>
              </w:rPr>
              <w:t>（</w:t>
            </w:r>
            <w:r>
              <w:rPr>
                <w:rFonts w:hint="eastAsia" w:cs="Times New Roman"/>
                <w:color w:val="auto"/>
                <w:sz w:val="24"/>
                <w:highlight w:val="none"/>
                <w:lang w:val="en-US" w:eastAsia="zh-CN"/>
              </w:rPr>
              <w:t>2021年修订</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中限制类、淘汰类项目之列</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并</w:t>
            </w:r>
            <w:r>
              <w:rPr>
                <w:rFonts w:hint="eastAsia"/>
                <w:color w:val="auto"/>
                <w:sz w:val="24"/>
                <w:szCs w:val="24"/>
                <w:highlight w:val="none"/>
                <w:lang w:val="en-US" w:eastAsia="zh-CN"/>
              </w:rPr>
              <w:t>且本项目已通过唐山高新技术产业开发区行政审批局备案（唐高备字[2023]66号），因此，本项目符合国家及地方产业政策。</w:t>
            </w:r>
          </w:p>
          <w:p w14:paraId="25FE3FE4">
            <w:pPr>
              <w:numPr>
                <w:ilvl w:val="0"/>
                <w:numId w:val="0"/>
              </w:numPr>
              <w:ind w:leftChars="0"/>
              <w:rPr>
                <w:rFonts w:hint="default" w:ascii="Times New Roman" w:hAnsi="Times New Roman" w:cs="Times New Roman"/>
                <w:b/>
                <w:bCs/>
                <w:smallCaps w:val="0"/>
                <w:color w:val="auto"/>
                <w:spacing w:val="0"/>
                <w:position w:val="0"/>
                <w:sz w:val="24"/>
                <w:szCs w:val="24"/>
                <w:highlight w:val="none"/>
                <w:lang w:val="en-US" w:eastAsia="zh-CN"/>
              </w:rPr>
            </w:pPr>
            <w:r>
              <w:rPr>
                <w:rFonts w:hint="eastAsia" w:ascii="Times New Roman" w:hAnsi="Times New Roman" w:cs="Times New Roman"/>
                <w:b/>
                <w:bCs/>
                <w:smallCaps w:val="0"/>
                <w:color w:val="auto"/>
                <w:spacing w:val="0"/>
                <w:position w:val="0"/>
                <w:sz w:val="24"/>
                <w:szCs w:val="24"/>
                <w:highlight w:val="none"/>
                <w:lang w:val="en-US" w:eastAsia="zh-CN"/>
              </w:rPr>
              <w:t>2、</w:t>
            </w:r>
            <w:r>
              <w:rPr>
                <w:rFonts w:hint="eastAsia" w:cs="Times New Roman"/>
                <w:b/>
                <w:bCs/>
                <w:smallCaps w:val="0"/>
                <w:color w:val="auto"/>
                <w:spacing w:val="0"/>
                <w:position w:val="0"/>
                <w:sz w:val="24"/>
                <w:szCs w:val="24"/>
                <w:highlight w:val="none"/>
                <w:lang w:val="en-US" w:eastAsia="zh-CN"/>
              </w:rPr>
              <w:t>项目选址合理性分析</w:t>
            </w:r>
          </w:p>
          <w:p w14:paraId="766661F7">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规划符合性分析</w:t>
            </w:r>
          </w:p>
          <w:p w14:paraId="3FAB7FB5">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hint="eastAsia" w:eastAsia="宋体" w:cs="Times New Roman"/>
                <w:color w:val="auto"/>
                <w:sz w:val="24"/>
                <w:szCs w:val="24"/>
                <w:highlight w:val="none"/>
                <w:lang w:val="zh-CN" w:eastAsia="zh-CN"/>
              </w:rPr>
            </w:pPr>
            <w:r>
              <w:rPr>
                <w:rFonts w:ascii="Times New Roman" w:hAnsi="Times New Roman" w:eastAsia="宋体" w:cs="Times New Roman"/>
                <w:color w:val="auto"/>
                <w:sz w:val="24"/>
                <w:szCs w:val="24"/>
                <w:highlight w:val="none"/>
                <w:lang w:val="zh-CN"/>
              </w:rPr>
              <w:t>本项目</w:t>
            </w:r>
            <w:r>
              <w:rPr>
                <w:rFonts w:hint="eastAsia" w:ascii="Times New Roman" w:hAnsi="Times New Roman" w:eastAsia="宋体" w:cs="Times New Roman"/>
                <w:color w:val="auto"/>
                <w:sz w:val="24"/>
                <w:szCs w:val="24"/>
                <w:highlight w:val="none"/>
                <w:lang w:val="zh-CN"/>
              </w:rPr>
              <w:t>位于</w:t>
            </w:r>
            <w:r>
              <w:rPr>
                <w:rFonts w:hint="eastAsia"/>
                <w:color w:val="auto"/>
                <w:sz w:val="24"/>
                <w:szCs w:val="24"/>
                <w:highlight w:val="none"/>
                <w:lang w:val="en-US" w:eastAsia="zh-CN"/>
              </w:rPr>
              <w:t>河北省唐山市高新技术产业开发区学院北路1686号，中信重工开诚智能装备有限公司院内</w:t>
            </w:r>
            <w:r>
              <w:rPr>
                <w:rFonts w:hint="eastAsia" w:cs="Times New Roman"/>
                <w:color w:val="auto"/>
                <w:sz w:val="24"/>
                <w:szCs w:val="24"/>
                <w:highlight w:val="none"/>
                <w:lang w:val="en-US" w:eastAsia="zh-CN"/>
              </w:rPr>
              <w:t>，</w:t>
            </w:r>
            <w:r>
              <w:rPr>
                <w:rFonts w:hint="eastAsia"/>
                <w:color w:val="auto"/>
                <w:sz w:val="24"/>
                <w:szCs w:val="24"/>
                <w:highlight w:val="none"/>
              </w:rPr>
              <w:t>根据项目土地使用证可知，</w:t>
            </w:r>
            <w:r>
              <w:rPr>
                <w:color w:val="auto"/>
                <w:sz w:val="24"/>
                <w:szCs w:val="24"/>
                <w:highlight w:val="none"/>
              </w:rPr>
              <w:t>本项目占地类型为工业用地</w:t>
            </w:r>
            <w:r>
              <w:rPr>
                <w:rFonts w:hint="default" w:ascii="Times New Roman" w:hAnsi="Times New Roman" w:cs="Times New Roman"/>
                <w:color w:val="auto"/>
                <w:kern w:val="24"/>
                <w:sz w:val="24"/>
                <w:szCs w:val="24"/>
                <w:highlight w:val="none"/>
                <w:lang w:eastAsia="zh-CN"/>
              </w:rPr>
              <w:t>，符合用地性质</w:t>
            </w:r>
            <w:r>
              <w:rPr>
                <w:rFonts w:hint="eastAsia" w:eastAsia="宋体" w:cs="Times New Roman"/>
                <w:color w:val="auto"/>
                <w:sz w:val="24"/>
                <w:szCs w:val="24"/>
                <w:highlight w:val="none"/>
                <w:lang w:val="zh-CN" w:eastAsia="zh-CN"/>
              </w:rPr>
              <w:t>。</w:t>
            </w:r>
            <w:r>
              <w:rPr>
                <w:rFonts w:hint="eastAsia"/>
                <w:color w:val="auto"/>
                <w:sz w:val="24"/>
                <w:szCs w:val="24"/>
                <w:highlight w:val="none"/>
                <w:lang w:val="en-US" w:eastAsia="zh-CN"/>
              </w:rPr>
              <w:t>本项目主要对外购壳体进行除锈、除油、喷漆表面处理，加工后的壳体用于机器人生产，同时新增部分高压实验设备，用于组装后成品的检测，项目所用漆料均属于低VOCs含量原辅材料，调漆、喷漆、刮腻子、腻子打磨、除油过程产生的废气采用干式喷漆柜处理后，与烘干/晾干、漆料和危废储存过程产生的废气一起引入过滤棉箱过滤+沸石转轮吸附+催化燃烧装置处理，处理后达标排放，打磨过程产生的废气经脉冲布袋除尘器处理后达标排放，污染物排放量较小，不属于</w:t>
            </w:r>
            <w:r>
              <w:rPr>
                <w:rFonts w:hint="default" w:ascii="Times New Roman" w:hAnsi="Times New Roman" w:eastAsia="宋体" w:cs="Times New Roman"/>
                <w:color w:val="auto"/>
                <w:kern w:val="0"/>
                <w:sz w:val="24"/>
                <w:szCs w:val="24"/>
                <w:highlight w:val="none"/>
                <w:shd w:val="clear" w:color="auto" w:fill="auto"/>
                <w:lang w:val="en-US" w:eastAsia="zh-CN"/>
              </w:rPr>
              <w:t>物耗、能耗高的重污染项目</w:t>
            </w:r>
            <w:r>
              <w:rPr>
                <w:rFonts w:hint="eastAsia" w:cs="Times New Roman"/>
                <w:color w:val="auto"/>
                <w:kern w:val="0"/>
                <w:sz w:val="24"/>
                <w:szCs w:val="24"/>
                <w:highlight w:val="none"/>
                <w:shd w:val="clear" w:color="auto" w:fill="auto"/>
                <w:lang w:val="en-US"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符合</w:t>
            </w:r>
            <w:r>
              <w:rPr>
                <w:rFonts w:hint="default"/>
                <w:color w:val="auto"/>
                <w:sz w:val="24"/>
                <w:szCs w:val="24"/>
                <w:highlight w:val="none"/>
                <w:lang w:eastAsia="zh-CN"/>
              </w:rPr>
              <w:t>《</w:t>
            </w:r>
            <w:r>
              <w:rPr>
                <w:rFonts w:hint="eastAsia"/>
                <w:color w:val="auto"/>
                <w:sz w:val="24"/>
                <w:szCs w:val="24"/>
                <w:highlight w:val="none"/>
              </w:rPr>
              <w:t>关于</w:t>
            </w:r>
            <w:r>
              <w:rPr>
                <w:rFonts w:hint="eastAsia"/>
                <w:color w:val="auto"/>
                <w:sz w:val="24"/>
                <w:szCs w:val="24"/>
                <w:highlight w:val="none"/>
                <w:lang w:val="en-US" w:eastAsia="zh-CN"/>
              </w:rPr>
              <w:t>唐山市高新技术开发区环境影响报告书的批复</w:t>
            </w:r>
            <w:r>
              <w:rPr>
                <w:rFonts w:hint="default"/>
                <w:color w:val="auto"/>
                <w:sz w:val="24"/>
                <w:szCs w:val="24"/>
                <w:highlight w:val="none"/>
                <w:lang w:eastAsia="zh-CN"/>
              </w:rPr>
              <w:t>》（</w:t>
            </w:r>
            <w:r>
              <w:rPr>
                <w:rFonts w:hint="eastAsia"/>
                <w:color w:val="auto"/>
                <w:sz w:val="24"/>
                <w:szCs w:val="24"/>
                <w:highlight w:val="none"/>
              </w:rPr>
              <w:t>冀</w:t>
            </w:r>
            <w:r>
              <w:rPr>
                <w:rFonts w:hint="eastAsia"/>
                <w:color w:val="auto"/>
                <w:sz w:val="24"/>
                <w:szCs w:val="24"/>
                <w:highlight w:val="none"/>
                <w:lang w:val="en-US" w:eastAsia="zh-CN"/>
              </w:rPr>
              <w:t>环管[2000]256号）要求</w:t>
            </w:r>
            <w:r>
              <w:rPr>
                <w:rFonts w:hint="eastAsia" w:eastAsia="宋体" w:cs="Times New Roman"/>
                <w:color w:val="auto"/>
                <w:sz w:val="24"/>
                <w:szCs w:val="24"/>
                <w:highlight w:val="none"/>
                <w:lang w:val="zh-CN" w:eastAsia="zh-CN"/>
              </w:rPr>
              <w:t>。</w:t>
            </w:r>
          </w:p>
          <w:p w14:paraId="4787C3AA">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选址符合性分析</w:t>
            </w:r>
          </w:p>
          <w:p w14:paraId="51F2ECB3">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lang w:val="zh-CN"/>
              </w:rPr>
              <w:t>项目所在区域环境空气质量执行《环境空气质量标准》（GB3095-2012）中二级标准及其修改单；声环境质量执行《声环境质量标准》（GB3096-2008）</w:t>
            </w:r>
            <w:r>
              <w:rPr>
                <w:rFonts w:hint="eastAsia" w:cs="Times New Roman"/>
                <w:color w:val="auto"/>
                <w:sz w:val="24"/>
                <w:szCs w:val="24"/>
                <w:highlight w:val="none"/>
                <w:lang w:val="en-US" w:eastAsia="zh-CN"/>
              </w:rPr>
              <w:t>1</w:t>
            </w:r>
            <w:r>
              <w:rPr>
                <w:rFonts w:ascii="Times New Roman" w:hAnsi="Times New Roman" w:eastAsia="宋体" w:cs="Times New Roman"/>
                <w:color w:val="auto"/>
                <w:sz w:val="24"/>
                <w:szCs w:val="24"/>
                <w:highlight w:val="none"/>
                <w:lang w:val="zh-CN"/>
              </w:rPr>
              <w:t>类区标准。</w:t>
            </w:r>
            <w:r>
              <w:rPr>
                <w:rFonts w:hint="eastAsia" w:cs="Times New Roman"/>
                <w:color w:val="auto"/>
                <w:sz w:val="24"/>
                <w:szCs w:val="24"/>
                <w:highlight w:val="none"/>
                <w:lang w:eastAsia="zh-CN"/>
              </w:rPr>
              <w:t>项目所在区域环境空气属于不达标区，根据《京津冀及周边地区、汾渭平原2020—2021年秋冬季大气污染综合治理攻坚行动方案》、《唐山市2023年第一季度大气污染综合治理工作方案》可知，按照“分级、分类、分区域、分气象”原则，实施精准治理、精细管控，做到问题、时间、区位、对象和措施“五个精准”，推动大气环境质量持续有效改善，项目所在区域空气质量将会逐步得到改善</w:t>
            </w:r>
            <w:r>
              <w:rPr>
                <w:rFonts w:ascii="Times New Roman" w:hAnsi="Times New Roman" w:eastAsia="宋体" w:cs="Times New Roman"/>
                <w:color w:val="auto"/>
                <w:sz w:val="24"/>
                <w:szCs w:val="24"/>
                <w:highlight w:val="none"/>
              </w:rPr>
              <w:t>。</w:t>
            </w:r>
          </w:p>
          <w:p w14:paraId="05B33910">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项目不在河北省生态保护红线区范围内，项目评价范围内无自然保护区、重点文物、风景名胜等需特殊保护区域，项目</w:t>
            </w:r>
            <w:r>
              <w:rPr>
                <w:rFonts w:hint="eastAsia"/>
                <w:color w:val="auto"/>
                <w:sz w:val="24"/>
                <w:szCs w:val="24"/>
                <w:highlight w:val="none"/>
                <w:lang w:val="en-US" w:eastAsia="zh-CN"/>
              </w:rPr>
              <w:t>厂界外500m范围内的大气环境保护目标为西侧31m处的高新实验小学（距离教学楼100m）、西南侧68m处的唐山市高新中学（距离教学楼170m）和南侧56m处的国贸府，</w:t>
            </w:r>
            <w:r>
              <w:rPr>
                <w:rFonts w:ascii="Times New Roman" w:hAnsi="Times New Roman" w:eastAsia="宋体" w:cs="Times New Roman"/>
                <w:color w:val="auto"/>
                <w:kern w:val="24"/>
                <w:sz w:val="24"/>
                <w:highlight w:val="none"/>
                <w:lang w:val="zh-CN"/>
              </w:rPr>
              <w:t>采取环评提出的各项环保治理措施后，项目的实施对</w:t>
            </w:r>
            <w:r>
              <w:rPr>
                <w:rFonts w:hint="eastAsia" w:cs="Times New Roman"/>
                <w:color w:val="auto"/>
                <w:kern w:val="24"/>
                <w:sz w:val="24"/>
                <w:highlight w:val="none"/>
                <w:lang w:val="en-US" w:eastAsia="zh-CN"/>
              </w:rPr>
              <w:t>环境敏感目标</w:t>
            </w:r>
            <w:r>
              <w:rPr>
                <w:rFonts w:ascii="Times New Roman" w:hAnsi="Times New Roman" w:eastAsia="宋体" w:cs="Times New Roman"/>
                <w:color w:val="auto"/>
                <w:kern w:val="24"/>
                <w:sz w:val="24"/>
                <w:highlight w:val="none"/>
                <w:lang w:val="zh-CN"/>
              </w:rPr>
              <w:t>产生</w:t>
            </w:r>
            <w:r>
              <w:rPr>
                <w:rFonts w:hint="eastAsia" w:ascii="Times New Roman" w:hAnsi="Times New Roman" w:eastAsia="宋体" w:cs="Times New Roman"/>
                <w:color w:val="auto"/>
                <w:kern w:val="24"/>
                <w:sz w:val="24"/>
                <w:highlight w:val="none"/>
                <w:lang w:val="zh-CN" w:eastAsia="zh-CN"/>
              </w:rPr>
              <w:t>的</w:t>
            </w:r>
            <w:r>
              <w:rPr>
                <w:rFonts w:ascii="Times New Roman" w:hAnsi="Times New Roman" w:eastAsia="宋体" w:cs="Times New Roman"/>
                <w:color w:val="auto"/>
                <w:kern w:val="24"/>
                <w:sz w:val="24"/>
                <w:highlight w:val="none"/>
                <w:lang w:val="zh-CN"/>
              </w:rPr>
              <w:t>影响</w:t>
            </w:r>
            <w:r>
              <w:rPr>
                <w:rFonts w:hint="eastAsia" w:ascii="Times New Roman" w:hAnsi="Times New Roman" w:eastAsia="宋体" w:cs="Times New Roman"/>
                <w:color w:val="auto"/>
                <w:kern w:val="24"/>
                <w:sz w:val="24"/>
                <w:highlight w:val="none"/>
                <w:lang w:val="zh-CN" w:eastAsia="zh-CN"/>
              </w:rPr>
              <w:t>较小</w:t>
            </w:r>
            <w:r>
              <w:rPr>
                <w:rFonts w:ascii="Times New Roman" w:hAnsi="Times New Roman" w:eastAsia="宋体" w:cs="Times New Roman"/>
                <w:color w:val="auto"/>
                <w:kern w:val="24"/>
                <w:sz w:val="24"/>
                <w:highlight w:val="none"/>
              </w:rPr>
              <w:t>。</w:t>
            </w:r>
            <w:r>
              <w:rPr>
                <w:rFonts w:hint="eastAsia"/>
                <w:color w:val="auto"/>
                <w:sz w:val="24"/>
                <w:szCs w:val="24"/>
                <w:highlight w:val="none"/>
                <w:lang w:val="en-US" w:eastAsia="zh-CN"/>
              </w:rPr>
              <w:t>因此，本项目选址合理。</w:t>
            </w:r>
          </w:p>
          <w:p w14:paraId="7373B1E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sz w:val="24"/>
                <w:szCs w:val="24"/>
                <w:highlight w:val="none"/>
              </w:rPr>
            </w:pPr>
            <w:r>
              <w:rPr>
                <w:rFonts w:hint="eastAsia"/>
                <w:b/>
                <w:bCs/>
                <w:color w:val="auto"/>
                <w:sz w:val="24"/>
                <w:szCs w:val="24"/>
                <w:highlight w:val="none"/>
                <w:lang w:val="en-US" w:eastAsia="zh-CN"/>
              </w:rPr>
              <w:t>3、与“</w:t>
            </w:r>
            <w:r>
              <w:rPr>
                <w:rFonts w:hint="default"/>
                <w:b/>
                <w:bCs/>
                <w:color w:val="auto"/>
                <w:sz w:val="24"/>
                <w:szCs w:val="24"/>
                <w:highlight w:val="none"/>
              </w:rPr>
              <w:t>三线一单</w:t>
            </w:r>
            <w:r>
              <w:rPr>
                <w:rFonts w:hint="eastAsia"/>
                <w:b/>
                <w:bCs/>
                <w:color w:val="auto"/>
                <w:sz w:val="24"/>
                <w:szCs w:val="24"/>
                <w:highlight w:val="none"/>
                <w:lang w:val="en-US" w:eastAsia="zh-CN"/>
              </w:rPr>
              <w:t>”</w:t>
            </w:r>
            <w:r>
              <w:rPr>
                <w:rFonts w:hint="default"/>
                <w:b/>
                <w:bCs/>
                <w:color w:val="auto"/>
                <w:sz w:val="24"/>
                <w:szCs w:val="24"/>
                <w:highlight w:val="none"/>
              </w:rPr>
              <w:t>相符性分析</w:t>
            </w:r>
          </w:p>
          <w:p w14:paraId="79FCAF17">
            <w:pPr>
              <w:bidi w:val="0"/>
              <w:rPr>
                <w:rFonts w:hint="default"/>
                <w:color w:val="auto"/>
                <w:highlight w:val="none"/>
                <w:lang w:val="en-US" w:eastAsia="zh-CN"/>
              </w:rPr>
            </w:pPr>
            <w:r>
              <w:rPr>
                <w:rFonts w:hint="default"/>
                <w:color w:val="auto"/>
                <w:highlight w:val="none"/>
                <w:lang w:val="en-US" w:eastAsia="zh-CN"/>
              </w:rPr>
              <w:t>根据《关于以改善环境质量为核心加强环境影响评价管理的通知》 （环环评[2016]150号），要求以生态保护红线、环境质量底线、资源利用上线和环境准入负面清单（以下简称</w:t>
            </w:r>
            <w:r>
              <w:rPr>
                <w:rFonts w:hint="eastAsia" w:ascii="宋体" w:hAnsi="宋体" w:eastAsia="宋体" w:cs="宋体"/>
                <w:color w:val="auto"/>
                <w:highlight w:val="none"/>
                <w:lang w:val="en-US" w:eastAsia="zh-CN"/>
              </w:rPr>
              <w:t>“三线一单”</w:t>
            </w:r>
            <w:r>
              <w:rPr>
                <w:rFonts w:hint="default"/>
                <w:color w:val="auto"/>
                <w:highlight w:val="none"/>
                <w:lang w:val="en-US" w:eastAsia="zh-CN"/>
              </w:rPr>
              <w:t>）为手段，强化空间、总量和准入环境管理。本项目建设与上述要求的符合性分析如下：</w:t>
            </w:r>
          </w:p>
          <w:p w14:paraId="6E22093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宋体" w:cs="Times New Roman"/>
                <w:caps w:val="0"/>
                <w:smallCaps w:val="0"/>
                <w:color w:val="auto"/>
                <w:spacing w:val="0"/>
                <w:kern w:val="0"/>
                <w:position w:val="0"/>
                <w:sz w:val="24"/>
                <w:szCs w:val="24"/>
                <w:highlight w:val="none"/>
                <w:lang w:val="en-US" w:eastAsia="zh-CN"/>
              </w:rPr>
            </w:pPr>
            <w:r>
              <w:rPr>
                <w:rFonts w:hint="eastAsia" w:ascii="Times New Roman" w:hAnsi="Times New Roman" w:eastAsia="宋体" w:cs="Times New Roman"/>
                <w:caps w:val="0"/>
                <w:smallCaps w:val="0"/>
                <w:color w:val="auto"/>
                <w:spacing w:val="0"/>
                <w:kern w:val="0"/>
                <w:position w:val="0"/>
                <w:sz w:val="24"/>
                <w:szCs w:val="24"/>
                <w:highlight w:val="none"/>
                <w:lang w:val="en-US" w:eastAsia="zh-CN"/>
              </w:rPr>
              <w:t>（1）</w:t>
            </w:r>
            <w:r>
              <w:rPr>
                <w:rFonts w:hint="default" w:ascii="Times New Roman" w:hAnsi="Times New Roman" w:eastAsia="宋体" w:cs="Times New Roman"/>
                <w:caps w:val="0"/>
                <w:smallCaps w:val="0"/>
                <w:color w:val="auto"/>
                <w:spacing w:val="0"/>
                <w:kern w:val="0"/>
                <w:position w:val="0"/>
                <w:sz w:val="24"/>
                <w:szCs w:val="24"/>
                <w:highlight w:val="none"/>
                <w:lang w:val="en-US" w:eastAsia="zh-CN"/>
              </w:rPr>
              <w:t>生态保护红线</w:t>
            </w:r>
          </w:p>
          <w:p w14:paraId="3ED28C3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宋体" w:cs="Times New Roman"/>
                <w:caps w:val="0"/>
                <w:smallCaps w:val="0"/>
                <w:color w:val="auto"/>
                <w:spacing w:val="0"/>
                <w:kern w:val="0"/>
                <w:position w:val="0"/>
                <w:sz w:val="24"/>
                <w:szCs w:val="24"/>
                <w:highlight w:val="none"/>
                <w:lang w:val="en-US" w:eastAsia="zh-CN"/>
              </w:rPr>
            </w:pPr>
            <w:r>
              <w:rPr>
                <w:rFonts w:hint="default" w:ascii="Times New Roman" w:hAnsi="Times New Roman" w:eastAsia="宋体" w:cs="Times New Roman"/>
                <w:caps w:val="0"/>
                <w:smallCaps w:val="0"/>
                <w:color w:val="auto"/>
                <w:spacing w:val="0"/>
                <w:kern w:val="0"/>
                <w:position w:val="0"/>
                <w:sz w:val="24"/>
                <w:szCs w:val="24"/>
                <w:highlight w:val="none"/>
                <w:lang w:val="en-US" w:eastAsia="zh-CN"/>
              </w:rPr>
              <w:t>根据《河北省生态保护红线》，唐山市生态保护红线区分布在开平区、古治区、丰南区、丰润区、滦县、滦南县、乐亭县、玉田县、遵化市、迁西县、迁安市、曹妃甸区，包括重点生态功能区（主要为水源涵养、土壤保持、洪水调蓄和生物多样性保护区）、生态环境敏感脆弱区（主要为河湖滨岸带）、禁止开发区（自然保护区、饮用水水源保护区、森林公园、湿地公园、地质公园、水产种质资源保护区、风景名胜区）。</w:t>
            </w:r>
          </w:p>
          <w:p w14:paraId="2BE85D7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宋体" w:cs="Times New Roman"/>
                <w:caps w:val="0"/>
                <w:smallCaps w:val="0"/>
                <w:color w:val="auto"/>
                <w:spacing w:val="0"/>
                <w:kern w:val="0"/>
                <w:position w:val="0"/>
                <w:sz w:val="24"/>
                <w:szCs w:val="24"/>
                <w:highlight w:val="none"/>
                <w:lang w:val="en-US" w:eastAsia="zh-CN"/>
              </w:rPr>
            </w:pPr>
            <w:r>
              <w:rPr>
                <w:rFonts w:hint="default" w:ascii="Times New Roman" w:hAnsi="Times New Roman" w:eastAsia="宋体" w:cs="Times New Roman"/>
                <w:caps w:val="0"/>
                <w:smallCaps w:val="0"/>
                <w:color w:val="auto"/>
                <w:spacing w:val="0"/>
                <w:kern w:val="0"/>
                <w:position w:val="0"/>
                <w:sz w:val="24"/>
                <w:szCs w:val="24"/>
                <w:highlight w:val="none"/>
                <w:lang w:val="en-US" w:eastAsia="zh-CN"/>
              </w:rPr>
              <w:t>项目位于</w:t>
            </w:r>
            <w:r>
              <w:rPr>
                <w:rFonts w:hint="eastAsia"/>
                <w:color w:val="auto"/>
                <w:sz w:val="24"/>
                <w:szCs w:val="24"/>
                <w:highlight w:val="none"/>
                <w:lang w:val="en-US" w:eastAsia="zh-CN"/>
              </w:rPr>
              <w:t>河北省唐山市高新技术产业开发区学院北路1686号，中信重工开诚智能装备有限公司院内</w:t>
            </w:r>
            <w:r>
              <w:rPr>
                <w:rFonts w:hint="default" w:ascii="Times New Roman" w:hAnsi="Times New Roman" w:eastAsia="宋体" w:cs="Times New Roman"/>
                <w:caps w:val="0"/>
                <w:smallCaps w:val="0"/>
                <w:color w:val="auto"/>
                <w:spacing w:val="0"/>
                <w:kern w:val="0"/>
                <w:position w:val="0"/>
                <w:sz w:val="24"/>
                <w:szCs w:val="24"/>
                <w:highlight w:val="none"/>
                <w:lang w:val="en-US" w:eastAsia="zh-CN"/>
              </w:rPr>
              <w:t>，不在生态保护红线范围内。</w:t>
            </w:r>
          </w:p>
          <w:p w14:paraId="199472ED">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环境质量底线</w:t>
            </w:r>
          </w:p>
          <w:p w14:paraId="5CE39587">
            <w:pPr>
              <w:bidi w:val="0"/>
              <w:rPr>
                <w:rFonts w:hint="default" w:ascii="Times New Roman" w:hAnsi="Times New Roman" w:eastAsia="宋体" w:cs="Times New Roman"/>
                <w:color w:val="auto"/>
                <w:sz w:val="21"/>
                <w:szCs w:val="21"/>
                <w:highlight w:val="none"/>
              </w:rPr>
            </w:pPr>
            <w:r>
              <w:rPr>
                <w:rFonts w:ascii="Times New Roman" w:hAnsi="Times New Roman" w:eastAsia="宋体" w:cs="Times New Roman"/>
                <w:color w:val="auto"/>
                <w:sz w:val="24"/>
                <w:szCs w:val="24"/>
                <w:highlight w:val="none"/>
                <w:lang w:val="zh-CN"/>
              </w:rPr>
              <w:t>项目所在区域环境空气质量执行《环境空气质量标准》（GB3095-2012）中二级标准及其修改单；声环境质量执行《声环境质量标准》（GB3096-2008）</w:t>
            </w:r>
            <w:r>
              <w:rPr>
                <w:rFonts w:hint="eastAsia" w:cs="Times New Roman"/>
                <w:color w:val="auto"/>
                <w:sz w:val="24"/>
                <w:szCs w:val="24"/>
                <w:highlight w:val="none"/>
                <w:lang w:val="en-US" w:eastAsia="zh-CN"/>
              </w:rPr>
              <w:t>1</w:t>
            </w:r>
            <w:r>
              <w:rPr>
                <w:rFonts w:ascii="Times New Roman" w:hAnsi="Times New Roman" w:eastAsia="宋体" w:cs="Times New Roman"/>
                <w:color w:val="auto"/>
                <w:sz w:val="24"/>
                <w:szCs w:val="24"/>
                <w:highlight w:val="none"/>
                <w:lang w:val="zh-CN"/>
              </w:rPr>
              <w:t>类区标准。</w:t>
            </w:r>
            <w:r>
              <w:rPr>
                <w:rFonts w:hint="eastAsia" w:cs="Times New Roman"/>
                <w:color w:val="auto"/>
                <w:sz w:val="24"/>
                <w:szCs w:val="24"/>
                <w:highlight w:val="none"/>
                <w:lang w:eastAsia="zh-CN"/>
              </w:rPr>
              <w:t>项目所在区域环境空气属于不达标区，根据《京津冀及周边地区、汾渭平原2020—2021年秋冬季大气污染综合治理攻坚行动方案》、《唐山市2023年第一季度大气污染综合治理工作方案》可知，按照“分级、分类、分区域、分气象”原则，实施精准治理、精细管控，做到问题、时间、区位、对象和措施“五个精准”，推动大气环境质量持续有效改善，项目所在区域空气质量将会逐步得到改善</w:t>
            </w:r>
            <w:r>
              <w:rPr>
                <w:rFonts w:hint="eastAsia" w:ascii="Times New Roman" w:hAnsi="Times New Roman" w:eastAsia="宋体" w:cs="Times New Roman"/>
                <w:caps w:val="0"/>
                <w:smallCaps w:val="0"/>
                <w:color w:val="auto"/>
                <w:spacing w:val="0"/>
                <w:kern w:val="0"/>
                <w:position w:val="0"/>
                <w:sz w:val="24"/>
                <w:szCs w:val="24"/>
                <w:highlight w:val="none"/>
                <w:lang w:val="en-US" w:eastAsia="zh-CN" w:bidi="ar-SA"/>
              </w:rPr>
              <w:t>。</w:t>
            </w:r>
            <w:r>
              <w:rPr>
                <w:rFonts w:hint="default" w:ascii="Times New Roman" w:hAnsi="Times New Roman" w:eastAsia="宋体" w:cs="Times New Roman"/>
                <w:caps w:val="0"/>
                <w:smallCaps w:val="0"/>
                <w:color w:val="auto"/>
                <w:spacing w:val="0"/>
                <w:kern w:val="0"/>
                <w:position w:val="0"/>
                <w:sz w:val="24"/>
                <w:szCs w:val="24"/>
                <w:highlight w:val="none"/>
                <w:lang w:val="en-US" w:eastAsia="zh-TW" w:bidi="ar-SA"/>
              </w:rPr>
              <w:t>项目的实施不会对周围环境产生明显影响，不会改变区域的环境质量功能类别。</w:t>
            </w:r>
          </w:p>
          <w:p w14:paraId="147C5530">
            <w:pPr>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资源利用上线</w:t>
            </w:r>
          </w:p>
          <w:p w14:paraId="67BDCE3E">
            <w:pPr>
              <w:pageBreakBefore w:val="0"/>
              <w:kinsoku/>
              <w:overflowPunct/>
              <w:topLinePunct w:val="0"/>
              <w:bidi w:val="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highlight w:val="none"/>
              </w:rPr>
              <w:t>资源是环境的载体，资源利用上线是各地区能源、水、土地等资源消耗不得突破的</w:t>
            </w:r>
            <w:r>
              <w:rPr>
                <w:rFonts w:hint="eastAsia" w:ascii="宋体" w:hAnsi="宋体" w:eastAsia="宋体" w:cs="宋体"/>
                <w:color w:val="auto"/>
                <w:highlight w:val="none"/>
              </w:rPr>
              <w:t>“天花板”</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本项目生产过程不用水，生活用水由园区供水管网提供，可满足项目用水需求</w:t>
            </w:r>
            <w:r>
              <w:rPr>
                <w:rFonts w:hint="eastAsia" w:cs="Times New Roman"/>
                <w:color w:val="auto"/>
                <w:sz w:val="24"/>
                <w:szCs w:val="24"/>
                <w:highlight w:val="none"/>
                <w:lang w:val="en-US" w:eastAsia="zh-CN" w:bidi="ar"/>
              </w:rPr>
              <w:t>；</w:t>
            </w:r>
            <w:r>
              <w:rPr>
                <w:rFonts w:hint="eastAsia" w:ascii="Times New Roman" w:hAnsi="Times New Roman" w:eastAsia="宋体" w:cs="Times New Roman"/>
                <w:color w:val="auto"/>
                <w:sz w:val="24"/>
                <w:szCs w:val="24"/>
                <w:highlight w:val="none"/>
                <w:lang w:eastAsia="zh-CN" w:bidi="ar"/>
              </w:rPr>
              <w:t>用</w:t>
            </w:r>
            <w:r>
              <w:rPr>
                <w:rFonts w:hint="default" w:ascii="Times New Roman" w:hAnsi="Times New Roman" w:eastAsia="宋体" w:cs="Times New Roman"/>
                <w:color w:val="auto"/>
                <w:sz w:val="24"/>
                <w:szCs w:val="24"/>
                <w:highlight w:val="none"/>
                <w:lang w:bidi="ar"/>
              </w:rPr>
              <w:t>电由本地电网供给，可满足项目用电需求</w:t>
            </w:r>
            <w:r>
              <w:rPr>
                <w:rFonts w:hint="eastAsia" w:cs="Times New Roman"/>
                <w:color w:val="auto"/>
                <w:sz w:val="24"/>
                <w:szCs w:val="24"/>
                <w:highlight w:val="none"/>
                <w:lang w:eastAsia="zh-CN" w:bidi="ar"/>
              </w:rPr>
              <w:t>；</w:t>
            </w:r>
            <w:r>
              <w:rPr>
                <w:rFonts w:hint="eastAsia" w:cs="Times New Roman"/>
                <w:color w:val="auto"/>
                <w:sz w:val="24"/>
                <w:szCs w:val="24"/>
                <w:highlight w:val="none"/>
                <w:lang w:val="en-US" w:eastAsia="zh-CN" w:bidi="ar"/>
              </w:rPr>
              <w:t>项目在现有厂区内</w:t>
            </w:r>
            <w:r>
              <w:rPr>
                <w:rFonts w:hint="eastAsia"/>
                <w:color w:val="auto"/>
                <w:szCs w:val="21"/>
                <w:highlight w:val="none"/>
                <w:lang w:val="en-US" w:eastAsia="zh-CN"/>
              </w:rPr>
              <w:t>进行建设，不新增占地</w:t>
            </w:r>
            <w:r>
              <w:rPr>
                <w:rFonts w:hint="default" w:ascii="Times New Roman" w:hAnsi="Times New Roman" w:eastAsia="宋体" w:cs="Times New Roman"/>
                <w:color w:val="auto"/>
                <w:sz w:val="24"/>
                <w:szCs w:val="24"/>
                <w:highlight w:val="none"/>
                <w:lang w:bidi="ar"/>
              </w:rPr>
              <w:t>。因此，本项目符合资源利用上线要求。</w:t>
            </w:r>
          </w:p>
          <w:p w14:paraId="122BCE6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宋体" w:cs="Times New Roman"/>
                <w:caps w:val="0"/>
                <w:smallCaps w:val="0"/>
                <w:color w:val="auto"/>
                <w:spacing w:val="0"/>
                <w:kern w:val="0"/>
                <w:position w:val="0"/>
                <w:sz w:val="24"/>
                <w:szCs w:val="24"/>
                <w:highlight w:val="none"/>
                <w:lang w:val="en-US" w:eastAsia="zh-CN"/>
              </w:rPr>
            </w:pPr>
            <w:r>
              <w:rPr>
                <w:rFonts w:hint="eastAsia" w:ascii="Times New Roman" w:hAnsi="Times New Roman" w:eastAsia="宋体" w:cs="Times New Roman"/>
                <w:caps w:val="0"/>
                <w:smallCaps w:val="0"/>
                <w:color w:val="auto"/>
                <w:spacing w:val="0"/>
                <w:kern w:val="0"/>
                <w:position w:val="0"/>
                <w:sz w:val="24"/>
                <w:szCs w:val="24"/>
                <w:highlight w:val="none"/>
                <w:lang w:val="en-US" w:eastAsia="zh-CN"/>
              </w:rPr>
              <w:t>（4）</w:t>
            </w:r>
            <w:r>
              <w:rPr>
                <w:rFonts w:hint="default" w:ascii="Times New Roman" w:hAnsi="Times New Roman" w:eastAsia="宋体" w:cs="Times New Roman"/>
                <w:caps w:val="0"/>
                <w:smallCaps w:val="0"/>
                <w:color w:val="auto"/>
                <w:spacing w:val="0"/>
                <w:kern w:val="0"/>
                <w:position w:val="0"/>
                <w:sz w:val="24"/>
                <w:szCs w:val="24"/>
                <w:highlight w:val="none"/>
                <w:lang w:val="en-US" w:eastAsia="zh-CN"/>
              </w:rPr>
              <w:t>环境准入负面清单</w:t>
            </w:r>
          </w:p>
          <w:p w14:paraId="7C0CC33A">
            <w:pPr>
              <w:bidi w:val="0"/>
              <w:rPr>
                <w:rFonts w:hint="default"/>
                <w:color w:val="auto"/>
                <w:highlight w:val="none"/>
              </w:rPr>
            </w:pPr>
            <w:r>
              <w:rPr>
                <w:rFonts w:hint="default"/>
                <w:color w:val="auto"/>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14:paraId="7C9B267E">
            <w:pPr>
              <w:keepNext w:val="0"/>
              <w:keepLines w:val="0"/>
              <w:pageBreakBefore w:val="0"/>
              <w:widowControl w:val="0"/>
              <w:tabs>
                <w:tab w:val="left" w:pos="3150"/>
              </w:tabs>
              <w:kinsoku/>
              <w:wordWrap/>
              <w:overflowPunct/>
              <w:topLinePunct w:val="0"/>
              <w:bidi w:val="0"/>
              <w:spacing w:line="480" w:lineRule="exact"/>
              <w:ind w:firstLine="480" w:firstLineChars="200"/>
              <w:textAlignment w:val="auto"/>
              <w:rPr>
                <w:rFonts w:hint="eastAsia"/>
                <w:color w:val="auto"/>
                <w:highlight w:val="none"/>
                <w:lang w:val="en-US" w:eastAsia="zh-CN"/>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属于</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河北省禁止投资的产业目录（2014年版）</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中禁止投资的产业项目；不属于《市场准入负面清单（202</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年版）》中禁止类项目；</w:t>
            </w:r>
            <w:r>
              <w:rPr>
                <w:rFonts w:hint="eastAsia" w:cs="Times New Roman"/>
                <w:color w:val="auto"/>
                <w:sz w:val="24"/>
                <w:highlight w:val="none"/>
                <w:lang w:val="en-US" w:eastAsia="zh-CN"/>
              </w:rPr>
              <w:t>同时不在</w:t>
            </w:r>
            <w:r>
              <w:rPr>
                <w:rFonts w:ascii="Times New Roman" w:hAnsi="Times New Roman" w:eastAsia="宋体" w:cs="Times New Roman"/>
                <w:color w:val="auto"/>
                <w:sz w:val="24"/>
                <w:highlight w:val="none"/>
              </w:rPr>
              <w:t>《产业结构调整指导目录（201</w:t>
            </w:r>
            <w:r>
              <w:rPr>
                <w:rFonts w:hint="eastAsia" w:ascii="Times New Roman" w:hAnsi="Times New Roman" w:eastAsia="宋体" w:cs="Times New Roman"/>
                <w:color w:val="auto"/>
                <w:sz w:val="24"/>
                <w:highlight w:val="none"/>
              </w:rPr>
              <w:t>9</w:t>
            </w:r>
            <w:r>
              <w:rPr>
                <w:rFonts w:ascii="Times New Roman" w:hAnsi="Times New Roman" w:eastAsia="宋体" w:cs="Times New Roman"/>
                <w:color w:val="auto"/>
                <w:sz w:val="24"/>
                <w:highlight w:val="none"/>
              </w:rPr>
              <w:t>年本）》</w:t>
            </w:r>
            <w:r>
              <w:rPr>
                <w:rFonts w:hint="eastAsia" w:cs="Times New Roman"/>
                <w:color w:val="auto"/>
                <w:sz w:val="24"/>
                <w:highlight w:val="none"/>
                <w:lang w:eastAsia="zh-CN"/>
              </w:rPr>
              <w:t>（</w:t>
            </w:r>
            <w:r>
              <w:rPr>
                <w:rFonts w:hint="eastAsia" w:cs="Times New Roman"/>
                <w:color w:val="auto"/>
                <w:sz w:val="24"/>
                <w:highlight w:val="none"/>
                <w:lang w:val="en-US" w:eastAsia="zh-CN"/>
              </w:rPr>
              <w:t>2021年修订</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中限制类、淘汰类项目之列</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并</w:t>
            </w:r>
            <w:r>
              <w:rPr>
                <w:rFonts w:hint="eastAsia"/>
                <w:color w:val="auto"/>
                <w:sz w:val="24"/>
                <w:szCs w:val="24"/>
                <w:highlight w:val="none"/>
                <w:lang w:val="en-US" w:eastAsia="zh-CN"/>
              </w:rPr>
              <w:t>且本项目已通过唐山高新技术产业开发区行政审批局备案（唐高备字[2023]66号），因此，本项目符合国家及地方产业政策。</w:t>
            </w:r>
          </w:p>
          <w:p w14:paraId="48B38953">
            <w:pPr>
              <w:bidi w:val="0"/>
              <w:rPr>
                <w:rFonts w:hint="default"/>
                <w:color w:val="auto"/>
                <w:highlight w:val="none"/>
                <w:lang w:val="en-US" w:eastAsia="zh-CN"/>
              </w:rPr>
            </w:pPr>
            <w:r>
              <w:rPr>
                <w:rFonts w:hint="eastAsia"/>
                <w:color w:val="auto"/>
                <w:highlight w:val="none"/>
                <w:lang w:val="en-US" w:eastAsia="zh-CN"/>
              </w:rPr>
              <w:t>综上，本项目符合“三线一单”要求。</w:t>
            </w:r>
          </w:p>
          <w:p w14:paraId="4E03278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sz w:val="24"/>
                <w:szCs w:val="24"/>
                <w:highlight w:val="none"/>
              </w:rPr>
            </w:pPr>
            <w:r>
              <w:rPr>
                <w:rFonts w:hint="eastAsia"/>
                <w:b/>
                <w:bCs/>
                <w:color w:val="auto"/>
                <w:sz w:val="24"/>
                <w:szCs w:val="24"/>
                <w:highlight w:val="none"/>
                <w:lang w:val="en-US" w:eastAsia="zh-CN"/>
              </w:rPr>
              <w:t>4、与唐山市“</w:t>
            </w:r>
            <w:r>
              <w:rPr>
                <w:rFonts w:hint="default"/>
                <w:b/>
                <w:bCs/>
                <w:color w:val="auto"/>
                <w:sz w:val="24"/>
                <w:szCs w:val="24"/>
                <w:highlight w:val="none"/>
              </w:rPr>
              <w:t>三线一单</w:t>
            </w:r>
            <w:r>
              <w:rPr>
                <w:rFonts w:hint="eastAsia"/>
                <w:b/>
                <w:bCs/>
                <w:color w:val="auto"/>
                <w:sz w:val="24"/>
                <w:szCs w:val="24"/>
                <w:highlight w:val="none"/>
                <w:lang w:val="en-US" w:eastAsia="zh-CN"/>
              </w:rPr>
              <w:t>”</w:t>
            </w:r>
            <w:r>
              <w:rPr>
                <w:rFonts w:hint="default"/>
                <w:b/>
                <w:bCs/>
                <w:color w:val="auto"/>
                <w:sz w:val="24"/>
                <w:szCs w:val="24"/>
                <w:highlight w:val="none"/>
              </w:rPr>
              <w:t>相符性分析</w:t>
            </w:r>
          </w:p>
          <w:p w14:paraId="6E92A9DD">
            <w:pPr>
              <w:bidi w:val="0"/>
              <w:rPr>
                <w:rFonts w:hint="default"/>
                <w:color w:val="auto"/>
                <w:highlight w:val="none"/>
              </w:rPr>
            </w:pPr>
            <w:r>
              <w:rPr>
                <w:rFonts w:hint="eastAsia"/>
                <w:color w:val="auto"/>
                <w:highlight w:val="none"/>
                <w:lang w:val="en-US" w:eastAsia="zh-CN"/>
              </w:rPr>
              <w:t>根据《唐山市人民政府关于实施“三线一单”生态环境分区管控的意见》（唐政字[2021] 48号）、《唐山市生态环境准入清单动态更新成果》，本项目与其对比分析如下：</w:t>
            </w:r>
          </w:p>
          <w:p w14:paraId="4261EE05">
            <w:pPr>
              <w:bidi w:val="0"/>
              <w:rPr>
                <w:rFonts w:hint="default"/>
                <w:color w:val="auto"/>
                <w:highlight w:val="none"/>
              </w:rPr>
            </w:pPr>
            <w:r>
              <w:rPr>
                <w:rFonts w:hint="eastAsia"/>
                <w:color w:val="auto"/>
                <w:highlight w:val="none"/>
                <w:lang w:val="en-US" w:eastAsia="zh-CN"/>
              </w:rPr>
              <w:t>本项目</w:t>
            </w:r>
            <w:r>
              <w:rPr>
                <w:rFonts w:hint="default"/>
                <w:color w:val="auto"/>
                <w:highlight w:val="none"/>
              </w:rPr>
              <w:t>位于</w:t>
            </w:r>
            <w:r>
              <w:rPr>
                <w:rFonts w:hint="eastAsia"/>
                <w:color w:val="auto"/>
                <w:sz w:val="24"/>
                <w:szCs w:val="24"/>
                <w:highlight w:val="none"/>
                <w:lang w:val="en-US" w:eastAsia="zh-CN"/>
              </w:rPr>
              <w:t>河北省唐山市高新技术产业开发区学院北路1686号，中信重工开诚智能装备有限公司院内</w:t>
            </w:r>
            <w:r>
              <w:rPr>
                <w:rFonts w:hint="eastAsia"/>
                <w:color w:val="auto"/>
                <w:highlight w:val="none"/>
                <w:lang w:eastAsia="zh-CN"/>
              </w:rPr>
              <w:t>，</w:t>
            </w:r>
            <w:r>
              <w:rPr>
                <w:rFonts w:hint="eastAsia"/>
                <w:color w:val="auto"/>
                <w:highlight w:val="none"/>
                <w:lang w:val="en-US" w:eastAsia="zh-CN"/>
              </w:rPr>
              <w:t>不在生态保护红线区、自然保护区、风景名胜区、森林公园、湿地公园、地质公园、水产种质资源保护区、自然文化遗产、湿地空间、饮用水地下水源保护区、一般生态空间范围内，为重点管控单元，项目与唐山市生态环境准入清单符合性分析见下表。</w:t>
            </w:r>
          </w:p>
          <w:p w14:paraId="22E09F6E">
            <w:pPr>
              <w:bidi w:val="0"/>
              <w:rPr>
                <w:rFonts w:hint="eastAsia"/>
                <w:color w:val="auto"/>
                <w:highlight w:val="none"/>
                <w:lang w:val="en-US" w:eastAsia="zh-CN"/>
              </w:rPr>
            </w:pPr>
          </w:p>
          <w:p w14:paraId="4D2B3082">
            <w:pPr>
              <w:bidi w:val="0"/>
              <w:rPr>
                <w:rFonts w:hint="eastAsia"/>
                <w:color w:val="auto"/>
                <w:highlight w:val="none"/>
                <w:lang w:val="en-US" w:eastAsia="zh-CN"/>
              </w:rPr>
            </w:pPr>
          </w:p>
          <w:p w14:paraId="186D9BDC">
            <w:pPr>
              <w:bidi w:val="0"/>
              <w:rPr>
                <w:rFonts w:hint="eastAsia"/>
                <w:color w:val="auto"/>
                <w:highlight w:val="none"/>
                <w:lang w:val="en-US" w:eastAsia="zh-CN"/>
              </w:rPr>
            </w:pPr>
          </w:p>
          <w:p w14:paraId="7D989DB2">
            <w:pPr>
              <w:bidi w:val="0"/>
              <w:rPr>
                <w:rFonts w:hint="eastAsia"/>
                <w:color w:val="auto"/>
                <w:highlight w:val="none"/>
                <w:lang w:val="en-US" w:eastAsia="zh-CN"/>
              </w:rPr>
            </w:pPr>
          </w:p>
          <w:p w14:paraId="5C09CD24">
            <w:pPr>
              <w:bidi w:val="0"/>
              <w:rPr>
                <w:rFonts w:hint="eastAsia"/>
                <w:color w:val="auto"/>
                <w:highlight w:val="none"/>
                <w:lang w:val="en-US" w:eastAsia="zh-CN"/>
              </w:rPr>
            </w:pPr>
          </w:p>
          <w:p w14:paraId="034CBE21">
            <w:pPr>
              <w:bidi w:val="0"/>
              <w:rPr>
                <w:rFonts w:hint="eastAsia"/>
                <w:color w:val="auto"/>
                <w:highlight w:val="none"/>
                <w:lang w:val="en-US" w:eastAsia="zh-CN"/>
              </w:rPr>
            </w:pPr>
          </w:p>
          <w:p w14:paraId="084E406E">
            <w:pPr>
              <w:bidi w:val="0"/>
              <w:rPr>
                <w:rFonts w:hint="eastAsia"/>
                <w:color w:val="auto"/>
                <w:highlight w:val="none"/>
                <w:lang w:val="en-US" w:eastAsia="zh-CN"/>
              </w:rPr>
            </w:pPr>
          </w:p>
          <w:p w14:paraId="6485559E">
            <w:pPr>
              <w:bidi w:val="0"/>
              <w:rPr>
                <w:rFonts w:hint="eastAsia"/>
                <w:color w:val="auto"/>
                <w:highlight w:val="none"/>
                <w:lang w:val="en-US" w:eastAsia="zh-CN"/>
              </w:rPr>
            </w:pPr>
          </w:p>
          <w:p w14:paraId="76E600FF">
            <w:pPr>
              <w:bidi w:val="0"/>
              <w:ind w:left="0" w:leftChars="0" w:firstLine="0" w:firstLineChars="0"/>
              <w:rPr>
                <w:rFonts w:hint="eastAsia"/>
                <w:color w:val="auto"/>
                <w:highlight w:val="none"/>
                <w:lang w:val="en-US" w:eastAsia="zh-CN"/>
              </w:rPr>
            </w:pPr>
          </w:p>
        </w:tc>
      </w:tr>
    </w:tbl>
    <w:p w14:paraId="1262F024">
      <w:pPr>
        <w:rPr>
          <w:color w:val="auto"/>
          <w:highlight w:val="none"/>
        </w:rPr>
        <w:sectPr>
          <w:footerReference r:id="rId8"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5"/>
        <w:tblW w:w="1417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3330"/>
      </w:tblGrid>
      <w:tr w14:paraId="32A46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3" w:type="dxa"/>
            <w:tcBorders>
              <w:tl2br w:val="nil"/>
              <w:tr2bl w:val="nil"/>
            </w:tcBorders>
            <w:vAlign w:val="top"/>
          </w:tcPr>
          <w:p w14:paraId="1CCAA41A">
            <w:pPr>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24"/>
                <w:szCs w:val="24"/>
                <w:highlight w:val="none"/>
                <w:vertAlign w:val="baseline"/>
                <w:lang w:val="en-US" w:eastAsia="zh-CN"/>
              </w:rPr>
            </w:pPr>
          </w:p>
        </w:tc>
        <w:tc>
          <w:tcPr>
            <w:tcW w:w="13330" w:type="dxa"/>
            <w:tcBorders>
              <w:tl2br w:val="nil"/>
              <w:tr2bl w:val="nil"/>
            </w:tcBorders>
            <w:vAlign w:val="top"/>
          </w:tcPr>
          <w:p w14:paraId="27A047D1">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6</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与</w:t>
            </w:r>
            <w:r>
              <w:rPr>
                <w:rFonts w:hint="eastAsia" w:ascii="Times New Roman" w:hAnsi="Times New Roman" w:cs="Times New Roman"/>
                <w:b/>
                <w:bCs/>
                <w:color w:val="auto"/>
                <w:sz w:val="21"/>
                <w:szCs w:val="21"/>
                <w:highlight w:val="none"/>
                <w:lang w:val="en-US" w:eastAsia="zh-CN"/>
              </w:rPr>
              <w:t>陆域环境管控单元生态环境准入清单</w:t>
            </w:r>
            <w:r>
              <w:rPr>
                <w:rFonts w:hint="default" w:ascii="Times New Roman" w:hAnsi="Times New Roman" w:cs="Times New Roman"/>
                <w:b/>
                <w:bCs/>
                <w:color w:val="auto"/>
                <w:sz w:val="21"/>
                <w:szCs w:val="21"/>
                <w:highlight w:val="none"/>
              </w:rPr>
              <w:t>相符性分析</w:t>
            </w:r>
            <w:r>
              <w:rPr>
                <w:rFonts w:hint="eastAsia" w:cs="Times New Roman"/>
                <w:b/>
                <w:bCs/>
                <w:color w:val="auto"/>
                <w:sz w:val="21"/>
                <w:szCs w:val="21"/>
                <w:highlight w:val="none"/>
                <w:lang w:val="en-US" w:eastAsia="zh-CN"/>
              </w:rPr>
              <w:t>一览表</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6"/>
              <w:gridCol w:w="925"/>
              <w:gridCol w:w="783"/>
              <w:gridCol w:w="909"/>
              <w:gridCol w:w="1091"/>
              <w:gridCol w:w="925"/>
              <w:gridCol w:w="4475"/>
              <w:gridCol w:w="2350"/>
              <w:gridCol w:w="855"/>
            </w:tblGrid>
            <w:tr w14:paraId="2A5EF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726" w:type="dxa"/>
                  <w:tcBorders>
                    <w:tl2br w:val="nil"/>
                    <w:tr2bl w:val="nil"/>
                  </w:tcBorders>
                  <w:noWrap w:val="0"/>
                  <w:vAlign w:val="center"/>
                </w:tcPr>
                <w:p w14:paraId="079369E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编号</w:t>
                  </w:r>
                </w:p>
              </w:tc>
              <w:tc>
                <w:tcPr>
                  <w:tcW w:w="925" w:type="dxa"/>
                  <w:tcBorders>
                    <w:tl2br w:val="nil"/>
                    <w:tr2bl w:val="nil"/>
                  </w:tcBorders>
                  <w:noWrap w:val="0"/>
                  <w:vAlign w:val="center"/>
                </w:tcPr>
                <w:p w14:paraId="5C37C38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区县</w:t>
                  </w:r>
                </w:p>
              </w:tc>
              <w:tc>
                <w:tcPr>
                  <w:tcW w:w="783" w:type="dxa"/>
                  <w:tcBorders>
                    <w:tl2br w:val="nil"/>
                    <w:tr2bl w:val="nil"/>
                  </w:tcBorders>
                  <w:noWrap w:val="0"/>
                  <w:vAlign w:val="center"/>
                </w:tcPr>
                <w:p w14:paraId="63DD80A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乡镇</w:t>
                  </w:r>
                </w:p>
              </w:tc>
              <w:tc>
                <w:tcPr>
                  <w:tcW w:w="909" w:type="dxa"/>
                  <w:tcBorders>
                    <w:tl2br w:val="nil"/>
                    <w:tr2bl w:val="nil"/>
                  </w:tcBorders>
                  <w:noWrap w:val="0"/>
                  <w:vAlign w:val="center"/>
                </w:tcPr>
                <w:p w14:paraId="0B3C645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单元类别</w:t>
                  </w:r>
                </w:p>
              </w:tc>
              <w:tc>
                <w:tcPr>
                  <w:tcW w:w="1091" w:type="dxa"/>
                  <w:tcBorders>
                    <w:tl2br w:val="nil"/>
                    <w:tr2bl w:val="nil"/>
                  </w:tcBorders>
                  <w:noWrap w:val="0"/>
                  <w:vAlign w:val="center"/>
                </w:tcPr>
                <w:p w14:paraId="7FB9707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环境要素类别</w:t>
                  </w:r>
                </w:p>
              </w:tc>
              <w:tc>
                <w:tcPr>
                  <w:tcW w:w="925" w:type="dxa"/>
                  <w:tcBorders>
                    <w:tl2br w:val="nil"/>
                    <w:tr2bl w:val="nil"/>
                  </w:tcBorders>
                  <w:noWrap w:val="0"/>
                  <w:vAlign w:val="center"/>
                </w:tcPr>
                <w:p w14:paraId="5B0A973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维度</w:t>
                  </w:r>
                </w:p>
              </w:tc>
              <w:tc>
                <w:tcPr>
                  <w:tcW w:w="4475" w:type="dxa"/>
                  <w:tcBorders>
                    <w:tl2br w:val="nil"/>
                    <w:tr2bl w:val="nil"/>
                  </w:tcBorders>
                  <w:noWrap w:val="0"/>
                  <w:vAlign w:val="center"/>
                </w:tcPr>
                <w:p w14:paraId="6FEE4FC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管控措施</w:t>
                  </w:r>
                </w:p>
              </w:tc>
              <w:tc>
                <w:tcPr>
                  <w:tcW w:w="2350" w:type="dxa"/>
                  <w:tcBorders>
                    <w:tl2br w:val="nil"/>
                    <w:tr2bl w:val="nil"/>
                  </w:tcBorders>
                  <w:noWrap w:val="0"/>
                  <w:vAlign w:val="center"/>
                </w:tcPr>
                <w:p w14:paraId="7B71699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项目情况</w:t>
                  </w:r>
                </w:p>
              </w:tc>
              <w:tc>
                <w:tcPr>
                  <w:tcW w:w="855" w:type="dxa"/>
                  <w:tcBorders>
                    <w:tl2br w:val="nil"/>
                    <w:tr2bl w:val="nil"/>
                  </w:tcBorders>
                  <w:noWrap w:val="0"/>
                  <w:vAlign w:val="center"/>
                </w:tcPr>
                <w:p w14:paraId="62E212D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eastAsia" w:cs="Times New Roman"/>
                      <w:color w:val="auto"/>
                      <w:spacing w:val="0"/>
                      <w:kern w:val="0"/>
                      <w:sz w:val="21"/>
                      <w:szCs w:val="21"/>
                      <w:highlight w:val="none"/>
                      <w:lang w:val="en-US" w:eastAsia="zh-CN"/>
                    </w:rPr>
                    <w:t>本项目</w:t>
                  </w:r>
                  <w:r>
                    <w:rPr>
                      <w:rFonts w:hint="default" w:ascii="Times New Roman" w:hAnsi="Times New Roman" w:eastAsia="宋体" w:cs="Times New Roman"/>
                      <w:color w:val="auto"/>
                      <w:spacing w:val="0"/>
                      <w:kern w:val="0"/>
                      <w:sz w:val="21"/>
                      <w:szCs w:val="21"/>
                      <w:highlight w:val="none"/>
                      <w:lang w:eastAsia="zh-CN"/>
                    </w:rPr>
                    <w:t>符合性</w:t>
                  </w:r>
                </w:p>
              </w:tc>
            </w:tr>
            <w:tr w14:paraId="6D07C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5" w:hRule="atLeast"/>
                <w:jc w:val="center"/>
              </w:trPr>
              <w:tc>
                <w:tcPr>
                  <w:tcW w:w="726" w:type="dxa"/>
                  <w:vMerge w:val="restart"/>
                  <w:tcBorders>
                    <w:tl2br w:val="nil"/>
                    <w:tr2bl w:val="nil"/>
                  </w:tcBorders>
                  <w:noWrap w:val="0"/>
                  <w:vAlign w:val="center"/>
                </w:tcPr>
                <w:p w14:paraId="1CE04F2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ZH1302</w:t>
                  </w:r>
                  <w:r>
                    <w:rPr>
                      <w:rFonts w:hint="eastAsia" w:cs="Times New Roman"/>
                      <w:color w:val="auto"/>
                      <w:spacing w:val="0"/>
                      <w:kern w:val="0"/>
                      <w:sz w:val="21"/>
                      <w:szCs w:val="21"/>
                      <w:highlight w:val="none"/>
                      <w:lang w:val="en-US" w:eastAsia="zh-CN"/>
                    </w:rPr>
                    <w:t>7320001</w:t>
                  </w:r>
                </w:p>
              </w:tc>
              <w:tc>
                <w:tcPr>
                  <w:tcW w:w="925" w:type="dxa"/>
                  <w:vMerge w:val="restart"/>
                  <w:tcBorders>
                    <w:tl2br w:val="nil"/>
                    <w:tr2bl w:val="nil"/>
                  </w:tcBorders>
                  <w:noWrap w:val="0"/>
                  <w:vAlign w:val="center"/>
                </w:tcPr>
                <w:p w14:paraId="29093DD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唐山高新技术产业开发区</w:t>
                  </w:r>
                </w:p>
              </w:tc>
              <w:tc>
                <w:tcPr>
                  <w:tcW w:w="783" w:type="dxa"/>
                  <w:vMerge w:val="restart"/>
                  <w:tcBorders>
                    <w:tl2br w:val="nil"/>
                    <w:tr2bl w:val="nil"/>
                  </w:tcBorders>
                  <w:noWrap w:val="0"/>
                  <w:vAlign w:val="center"/>
                </w:tcPr>
                <w:p w14:paraId="6B42E80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高新区街道、庆北街道</w:t>
                  </w:r>
                </w:p>
              </w:tc>
              <w:tc>
                <w:tcPr>
                  <w:tcW w:w="909" w:type="dxa"/>
                  <w:vMerge w:val="restart"/>
                  <w:tcBorders>
                    <w:tl2br w:val="nil"/>
                    <w:tr2bl w:val="nil"/>
                  </w:tcBorders>
                  <w:noWrap w:val="0"/>
                  <w:vAlign w:val="center"/>
                </w:tcPr>
                <w:p w14:paraId="38C2E60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重点管控单元</w:t>
                  </w:r>
                </w:p>
              </w:tc>
              <w:tc>
                <w:tcPr>
                  <w:tcW w:w="1091" w:type="dxa"/>
                  <w:vMerge w:val="restart"/>
                  <w:tcBorders>
                    <w:tl2br w:val="nil"/>
                    <w:tr2bl w:val="nil"/>
                  </w:tcBorders>
                  <w:noWrap w:val="0"/>
                  <w:vAlign w:val="center"/>
                </w:tcPr>
                <w:p w14:paraId="2B107CC7">
                  <w:pPr>
                    <w:keepNext w:val="0"/>
                    <w:keepLines w:val="0"/>
                    <w:pageBreakBefore w:val="0"/>
                    <w:widowControl/>
                    <w:numPr>
                      <w:ilvl w:val="0"/>
                      <w:numId w:val="1"/>
                    </w:numPr>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大气受体敏感、高排放重点管控区</w:t>
                  </w:r>
                </w:p>
                <w:p w14:paraId="69AD2158">
                  <w:pPr>
                    <w:keepNext w:val="0"/>
                    <w:keepLines w:val="0"/>
                    <w:pageBreakBefore w:val="0"/>
                    <w:widowControl/>
                    <w:numPr>
                      <w:ilvl w:val="0"/>
                      <w:numId w:val="1"/>
                    </w:numPr>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水环境工业污染重点管控区</w:t>
                  </w:r>
                </w:p>
                <w:p w14:paraId="3858E2AF">
                  <w:pPr>
                    <w:keepNext w:val="0"/>
                    <w:keepLines w:val="0"/>
                    <w:pageBreakBefore w:val="0"/>
                    <w:widowControl/>
                    <w:numPr>
                      <w:ilvl w:val="0"/>
                      <w:numId w:val="1"/>
                    </w:numPr>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地下水风险防控重点管控区</w:t>
                  </w:r>
                </w:p>
                <w:p w14:paraId="0C74B2F1">
                  <w:pPr>
                    <w:keepNext w:val="0"/>
                    <w:keepLines w:val="0"/>
                    <w:pageBreakBefore w:val="0"/>
                    <w:widowControl/>
                    <w:numPr>
                      <w:ilvl w:val="0"/>
                      <w:numId w:val="1"/>
                    </w:numPr>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唐山高新技术产业开发区中心区、唐山市规划城区</w:t>
                  </w:r>
                </w:p>
                <w:p w14:paraId="7CD4B52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925" w:type="dxa"/>
                  <w:tcBorders>
                    <w:tl2br w:val="nil"/>
                    <w:tr2bl w:val="nil"/>
                  </w:tcBorders>
                  <w:noWrap w:val="0"/>
                  <w:vAlign w:val="center"/>
                </w:tcPr>
                <w:p w14:paraId="24FA7E6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空间布局约束</w:t>
                  </w:r>
                </w:p>
              </w:tc>
              <w:tc>
                <w:tcPr>
                  <w:tcW w:w="4475" w:type="dxa"/>
                  <w:tcBorders>
                    <w:tl2br w:val="nil"/>
                    <w:tr2bl w:val="nil"/>
                  </w:tcBorders>
                  <w:noWrap w:val="0"/>
                  <w:vAlign w:val="center"/>
                </w:tcPr>
                <w:p w14:paraId="3D0A077E">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 xml:space="preserve">1、开发区内北郊饮用水水源地二级保护区执行全市总体准入要求中饮用水地下水源保护区的管控要求。 </w:t>
                  </w:r>
                </w:p>
                <w:p w14:paraId="1038F1DB">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 xml:space="preserve">2、一环线以内禁止布局搅拌站、沥青拌合站。 </w:t>
                  </w:r>
                </w:p>
                <w:p w14:paraId="37464ED3">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w:t>
                  </w:r>
                  <w:r>
                    <w:rPr>
                      <w:rFonts w:hint="eastAsia" w:cs="Times New Roman"/>
                      <w:color w:val="auto"/>
                      <w:spacing w:val="0"/>
                      <w:kern w:val="0"/>
                      <w:sz w:val="21"/>
                      <w:szCs w:val="21"/>
                      <w:highlight w:val="none"/>
                      <w:lang w:val="en-US" w:eastAsia="zh-CN"/>
                    </w:rPr>
                    <w:t>二环线内，禁止新建铸造、轧钢、石灰窑、砖瓦窑、家具制造（涉VOCs）</w:t>
                  </w:r>
                  <w:r>
                    <w:rPr>
                      <w:rFonts w:hint="eastAsia" w:ascii="Times New Roman" w:hAnsi="Times New Roman" w:eastAsia="宋体" w:cs="Times New Roman"/>
                      <w:color w:val="auto"/>
                      <w:spacing w:val="0"/>
                      <w:kern w:val="0"/>
                      <w:sz w:val="21"/>
                      <w:szCs w:val="21"/>
                      <w:highlight w:val="none"/>
                      <w:lang w:val="en-US" w:eastAsia="zh-CN"/>
                    </w:rPr>
                    <w:t>、</w:t>
                  </w:r>
                  <w:r>
                    <w:rPr>
                      <w:rFonts w:hint="eastAsia" w:cs="Times New Roman"/>
                      <w:color w:val="auto"/>
                      <w:spacing w:val="0"/>
                      <w:kern w:val="0"/>
                      <w:sz w:val="21"/>
                      <w:szCs w:val="21"/>
                      <w:highlight w:val="none"/>
                      <w:lang w:val="en-US" w:eastAsia="zh-CN"/>
                    </w:rPr>
                    <w:t>化工行业企业。</w:t>
                  </w:r>
                  <w:r>
                    <w:rPr>
                      <w:rFonts w:hint="eastAsia" w:ascii="Times New Roman" w:hAnsi="Times New Roman" w:eastAsia="宋体" w:cs="Times New Roman"/>
                      <w:color w:val="auto"/>
                      <w:spacing w:val="0"/>
                      <w:kern w:val="0"/>
                      <w:sz w:val="21"/>
                      <w:szCs w:val="21"/>
                      <w:highlight w:val="none"/>
                      <w:lang w:val="en-US" w:eastAsia="zh-CN"/>
                    </w:rPr>
                    <w:t xml:space="preserve"> </w:t>
                  </w:r>
                </w:p>
                <w:p w14:paraId="7DEDD2FF">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4、禁止国</w:t>
                  </w:r>
                  <w:r>
                    <w:rPr>
                      <w:rFonts w:hint="default" w:ascii="Times New Roman" w:hAnsi="Times New Roman" w:eastAsia="宋体" w:cs="Times New Roman"/>
                      <w:color w:val="auto"/>
                      <w:spacing w:val="0"/>
                      <w:kern w:val="0"/>
                      <w:sz w:val="21"/>
                      <w:szCs w:val="21"/>
                      <w:highlight w:val="none"/>
                      <w:lang w:val="en-US" w:eastAsia="zh-CN"/>
                    </w:rPr>
                    <w:t>Ⅳ</w:t>
                  </w:r>
                  <w:r>
                    <w:rPr>
                      <w:rFonts w:hint="eastAsia" w:ascii="Times New Roman" w:hAnsi="Times New Roman" w:eastAsia="宋体" w:cs="Times New Roman"/>
                      <w:color w:val="auto"/>
                      <w:spacing w:val="0"/>
                      <w:kern w:val="0"/>
                      <w:sz w:val="21"/>
                      <w:szCs w:val="21"/>
                      <w:highlight w:val="none"/>
                      <w:lang w:val="en-US" w:eastAsia="zh-CN"/>
                    </w:rPr>
                    <w:t>及以下排放标准的柴油货车进入禁用区；禁止有可见黑烟的机动车进入禁用区。</w:t>
                  </w:r>
                </w:p>
              </w:tc>
              <w:tc>
                <w:tcPr>
                  <w:tcW w:w="2350" w:type="dxa"/>
                  <w:tcBorders>
                    <w:tl2br w:val="nil"/>
                    <w:tr2bl w:val="nil"/>
                  </w:tcBorders>
                  <w:noWrap w:val="0"/>
                  <w:vAlign w:val="center"/>
                </w:tcPr>
                <w:p w14:paraId="705776B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本项目不在</w:t>
                  </w:r>
                  <w:r>
                    <w:rPr>
                      <w:rFonts w:hint="default" w:ascii="Times New Roman" w:hAnsi="Times New Roman" w:eastAsia="宋体" w:cs="Times New Roman"/>
                      <w:color w:val="auto"/>
                      <w:spacing w:val="0"/>
                      <w:kern w:val="0"/>
                      <w:sz w:val="21"/>
                      <w:szCs w:val="21"/>
                      <w:highlight w:val="none"/>
                      <w:lang w:val="zh-CN"/>
                    </w:rPr>
                    <w:t>北郊饮用水水源地二级保护区</w:t>
                  </w:r>
                  <w:r>
                    <w:rPr>
                      <w:rFonts w:hint="eastAsia" w:ascii="Times New Roman" w:hAnsi="Times New Roman" w:eastAsia="宋体" w:cs="Times New Roman"/>
                      <w:color w:val="auto"/>
                      <w:spacing w:val="0"/>
                      <w:kern w:val="0"/>
                      <w:sz w:val="21"/>
                      <w:szCs w:val="21"/>
                      <w:highlight w:val="none"/>
                      <w:lang w:val="zh-CN"/>
                    </w:rPr>
                    <w:t>，</w:t>
                  </w:r>
                  <w:r>
                    <w:rPr>
                      <w:rFonts w:hint="eastAsia" w:ascii="Times New Roman" w:hAnsi="Times New Roman" w:eastAsia="宋体" w:cs="Times New Roman"/>
                      <w:color w:val="auto"/>
                      <w:spacing w:val="0"/>
                      <w:kern w:val="0"/>
                      <w:sz w:val="21"/>
                      <w:szCs w:val="21"/>
                      <w:highlight w:val="none"/>
                      <w:lang w:val="en-US" w:eastAsia="zh-CN"/>
                    </w:rPr>
                    <w:t>为金属表面处理及热处理加工，本项目建成后对进出厂区车辆进行要求，严禁国</w:t>
                  </w:r>
                  <w:r>
                    <w:rPr>
                      <w:rFonts w:hint="default" w:ascii="Times New Roman" w:hAnsi="Times New Roman" w:eastAsia="宋体" w:cs="Times New Roman"/>
                      <w:color w:val="auto"/>
                      <w:spacing w:val="0"/>
                      <w:kern w:val="0"/>
                      <w:sz w:val="21"/>
                      <w:szCs w:val="21"/>
                      <w:highlight w:val="none"/>
                      <w:lang w:val="en-US" w:eastAsia="zh-CN"/>
                    </w:rPr>
                    <w:t>Ⅳ</w:t>
                  </w:r>
                  <w:r>
                    <w:rPr>
                      <w:rFonts w:hint="eastAsia" w:ascii="Times New Roman" w:hAnsi="Times New Roman" w:eastAsia="宋体" w:cs="Times New Roman"/>
                      <w:color w:val="auto"/>
                      <w:spacing w:val="0"/>
                      <w:kern w:val="0"/>
                      <w:sz w:val="21"/>
                      <w:szCs w:val="21"/>
                      <w:highlight w:val="none"/>
                      <w:lang w:val="en-US" w:eastAsia="zh-CN"/>
                    </w:rPr>
                    <w:t>及以下排放标准柴油货车驶入</w:t>
                  </w:r>
                  <w:r>
                    <w:rPr>
                      <w:rFonts w:hint="eastAsia" w:cs="Times New Roman"/>
                      <w:color w:val="auto"/>
                      <w:spacing w:val="0"/>
                      <w:kern w:val="0"/>
                      <w:sz w:val="21"/>
                      <w:szCs w:val="21"/>
                      <w:highlight w:val="none"/>
                      <w:lang w:val="en-US" w:eastAsia="zh-CN"/>
                    </w:rPr>
                    <w:t>。</w:t>
                  </w:r>
                </w:p>
              </w:tc>
              <w:tc>
                <w:tcPr>
                  <w:tcW w:w="855" w:type="dxa"/>
                  <w:tcBorders>
                    <w:tl2br w:val="nil"/>
                    <w:tr2bl w:val="nil"/>
                  </w:tcBorders>
                  <w:noWrap w:val="0"/>
                  <w:vAlign w:val="center"/>
                </w:tcPr>
                <w:p w14:paraId="3C10389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6EA51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10" w:hRule="atLeast"/>
                <w:jc w:val="center"/>
              </w:trPr>
              <w:tc>
                <w:tcPr>
                  <w:tcW w:w="726" w:type="dxa"/>
                  <w:vMerge w:val="continue"/>
                  <w:tcBorders>
                    <w:tl2br w:val="nil"/>
                    <w:tr2bl w:val="nil"/>
                  </w:tcBorders>
                  <w:noWrap w:val="0"/>
                  <w:vAlign w:val="center"/>
                </w:tcPr>
                <w:p w14:paraId="10C3766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925" w:type="dxa"/>
                  <w:vMerge w:val="continue"/>
                  <w:tcBorders>
                    <w:tl2br w:val="nil"/>
                    <w:tr2bl w:val="nil"/>
                  </w:tcBorders>
                  <w:noWrap w:val="0"/>
                  <w:vAlign w:val="center"/>
                </w:tcPr>
                <w:p w14:paraId="62C6C2B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83" w:type="dxa"/>
                  <w:vMerge w:val="continue"/>
                  <w:tcBorders>
                    <w:tl2br w:val="nil"/>
                    <w:tr2bl w:val="nil"/>
                  </w:tcBorders>
                  <w:noWrap w:val="0"/>
                  <w:vAlign w:val="center"/>
                </w:tcPr>
                <w:p w14:paraId="5F5C114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909" w:type="dxa"/>
                  <w:vMerge w:val="continue"/>
                  <w:tcBorders>
                    <w:tl2br w:val="nil"/>
                    <w:tr2bl w:val="nil"/>
                  </w:tcBorders>
                  <w:noWrap w:val="0"/>
                  <w:vAlign w:val="center"/>
                </w:tcPr>
                <w:p w14:paraId="2AA2C58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1091" w:type="dxa"/>
                  <w:vMerge w:val="continue"/>
                  <w:tcBorders>
                    <w:tl2br w:val="nil"/>
                    <w:tr2bl w:val="nil"/>
                  </w:tcBorders>
                  <w:noWrap w:val="0"/>
                  <w:vAlign w:val="center"/>
                </w:tcPr>
                <w:p w14:paraId="430CA63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925" w:type="dxa"/>
                  <w:tcBorders>
                    <w:tl2br w:val="nil"/>
                    <w:tr2bl w:val="nil"/>
                  </w:tcBorders>
                  <w:noWrap w:val="0"/>
                  <w:vAlign w:val="center"/>
                </w:tcPr>
                <w:p w14:paraId="4A1AEE4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污染物排放管控</w:t>
                  </w:r>
                </w:p>
              </w:tc>
              <w:tc>
                <w:tcPr>
                  <w:tcW w:w="4475" w:type="dxa"/>
                  <w:tcBorders>
                    <w:tl2br w:val="nil"/>
                    <w:tr2bl w:val="nil"/>
                  </w:tcBorders>
                  <w:noWrap w:val="0"/>
                  <w:vAlign w:val="center"/>
                </w:tcPr>
                <w:p w14:paraId="2B1AB11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left="0" w:leftChars="0"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val="zh-CN"/>
                    </w:rPr>
                    <w:t>对</w:t>
                  </w:r>
                  <w:r>
                    <w:rPr>
                      <w:rFonts w:hint="eastAsia" w:cs="Times New Roman"/>
                      <w:color w:val="auto"/>
                      <w:spacing w:val="0"/>
                      <w:kern w:val="0"/>
                      <w:sz w:val="21"/>
                      <w:szCs w:val="21"/>
                      <w:highlight w:val="none"/>
                      <w:lang w:val="en-US" w:eastAsia="zh-CN"/>
                    </w:rPr>
                    <w:t>一</w:t>
                  </w:r>
                  <w:r>
                    <w:rPr>
                      <w:rFonts w:hint="default" w:ascii="Times New Roman" w:hAnsi="Times New Roman" w:eastAsia="宋体" w:cs="Times New Roman"/>
                      <w:color w:val="auto"/>
                      <w:spacing w:val="0"/>
                      <w:kern w:val="0"/>
                      <w:sz w:val="21"/>
                      <w:szCs w:val="21"/>
                      <w:highlight w:val="none"/>
                      <w:lang w:val="zh-CN"/>
                    </w:rPr>
                    <w:t>环线内汽修企业的喷漆工序加强源头控制，禁止使用等离子、活性炭吸附、光催化氧化等单级治理技术处理VOCs废气，必须使用双级或多级质量技术处理措施</w:t>
                  </w:r>
                  <w:r>
                    <w:rPr>
                      <w:rFonts w:hint="eastAsia" w:cs="Times New Roman"/>
                      <w:color w:val="auto"/>
                      <w:spacing w:val="0"/>
                      <w:kern w:val="0"/>
                      <w:sz w:val="21"/>
                      <w:szCs w:val="21"/>
                      <w:highlight w:val="none"/>
                      <w:lang w:val="zh-CN"/>
                    </w:rPr>
                    <w:t>。</w:t>
                  </w:r>
                </w:p>
              </w:tc>
              <w:tc>
                <w:tcPr>
                  <w:tcW w:w="2350" w:type="dxa"/>
                  <w:tcBorders>
                    <w:tl2br w:val="nil"/>
                    <w:tr2bl w:val="nil"/>
                  </w:tcBorders>
                  <w:noWrap w:val="0"/>
                  <w:vAlign w:val="center"/>
                </w:tcPr>
                <w:p w14:paraId="43AD014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rPr>
                    <w:t>本项目不属于汽修企业</w:t>
                  </w:r>
                  <w:r>
                    <w:rPr>
                      <w:rFonts w:hint="eastAsia" w:cs="Times New Roman"/>
                      <w:color w:val="auto"/>
                      <w:spacing w:val="0"/>
                      <w:kern w:val="0"/>
                      <w:sz w:val="21"/>
                      <w:szCs w:val="21"/>
                      <w:highlight w:val="none"/>
                      <w:lang w:val="en-US" w:eastAsia="zh-CN"/>
                    </w:rPr>
                    <w:t>，调漆、喷漆、刮腻子、腻子打磨、除油、烘干/晾干、漆料和危废储存过程产生的废气采用干式喷漆柜+过滤棉箱过滤+沸石转轮+催化燃烧装置处理。</w:t>
                  </w:r>
                </w:p>
              </w:tc>
              <w:tc>
                <w:tcPr>
                  <w:tcW w:w="855" w:type="dxa"/>
                  <w:tcBorders>
                    <w:tl2br w:val="nil"/>
                    <w:tr2bl w:val="nil"/>
                  </w:tcBorders>
                  <w:noWrap w:val="0"/>
                  <w:vAlign w:val="center"/>
                </w:tcPr>
                <w:p w14:paraId="011FC33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0C9602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8" w:hRule="atLeast"/>
                <w:jc w:val="center"/>
              </w:trPr>
              <w:tc>
                <w:tcPr>
                  <w:tcW w:w="726" w:type="dxa"/>
                  <w:vMerge w:val="continue"/>
                  <w:tcBorders>
                    <w:tl2br w:val="nil"/>
                    <w:tr2bl w:val="nil"/>
                  </w:tcBorders>
                  <w:noWrap w:val="0"/>
                  <w:vAlign w:val="center"/>
                </w:tcPr>
                <w:p w14:paraId="676FF00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925" w:type="dxa"/>
                  <w:vMerge w:val="continue"/>
                  <w:tcBorders>
                    <w:tl2br w:val="nil"/>
                    <w:tr2bl w:val="nil"/>
                  </w:tcBorders>
                  <w:noWrap w:val="0"/>
                  <w:vAlign w:val="center"/>
                </w:tcPr>
                <w:p w14:paraId="7665EF0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83" w:type="dxa"/>
                  <w:vMerge w:val="continue"/>
                  <w:tcBorders>
                    <w:tl2br w:val="nil"/>
                    <w:tr2bl w:val="nil"/>
                  </w:tcBorders>
                  <w:noWrap w:val="0"/>
                  <w:vAlign w:val="center"/>
                </w:tcPr>
                <w:p w14:paraId="0B9A1DE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909" w:type="dxa"/>
                  <w:vMerge w:val="continue"/>
                  <w:tcBorders>
                    <w:tl2br w:val="nil"/>
                    <w:tr2bl w:val="nil"/>
                  </w:tcBorders>
                  <w:noWrap w:val="0"/>
                  <w:vAlign w:val="center"/>
                </w:tcPr>
                <w:p w14:paraId="1D00A8B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1091" w:type="dxa"/>
                  <w:vMerge w:val="continue"/>
                  <w:tcBorders>
                    <w:tl2br w:val="nil"/>
                    <w:tr2bl w:val="nil"/>
                  </w:tcBorders>
                  <w:noWrap w:val="0"/>
                  <w:vAlign w:val="center"/>
                </w:tcPr>
                <w:p w14:paraId="1D000CA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925" w:type="dxa"/>
                  <w:tcBorders>
                    <w:tl2br w:val="nil"/>
                    <w:tr2bl w:val="nil"/>
                  </w:tcBorders>
                  <w:noWrap w:val="0"/>
                  <w:vAlign w:val="center"/>
                </w:tcPr>
                <w:p w14:paraId="2D74B90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环境风险防控</w:t>
                  </w:r>
                </w:p>
              </w:tc>
              <w:tc>
                <w:tcPr>
                  <w:tcW w:w="4475" w:type="dxa"/>
                  <w:tcBorders>
                    <w:tl2br w:val="nil"/>
                    <w:tr2bl w:val="nil"/>
                  </w:tcBorders>
                  <w:noWrap w:val="0"/>
                  <w:vAlign w:val="center"/>
                </w:tcPr>
                <w:p w14:paraId="47746EB6">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w:t>
                  </w:r>
                  <w:r>
                    <w:rPr>
                      <w:rFonts w:hint="default" w:ascii="Times New Roman" w:hAnsi="Times New Roman" w:eastAsia="宋体" w:cs="Times New Roman"/>
                      <w:color w:val="auto"/>
                      <w:spacing w:val="0"/>
                      <w:kern w:val="0"/>
                      <w:sz w:val="21"/>
                      <w:szCs w:val="21"/>
                      <w:highlight w:val="none"/>
                      <w:lang w:val="zh-CN"/>
                    </w:rPr>
                    <w:t>开发区及入区企业需组织编制《环境风险应急预案》，成立应急组织机构，定期开展应急演练，提高区域环境风险防范能力。</w:t>
                  </w:r>
                </w:p>
                <w:p w14:paraId="318BCF46">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val="zh-CN"/>
                    </w:rPr>
                    <w:t>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r>
                    <w:rPr>
                      <w:rFonts w:hint="default" w:ascii="Times New Roman" w:hAnsi="Times New Roman" w:eastAsia="宋体" w:cs="Times New Roman"/>
                      <w:color w:val="auto"/>
                      <w:spacing w:val="0"/>
                      <w:kern w:val="0"/>
                      <w:sz w:val="21"/>
                      <w:szCs w:val="21"/>
                      <w:highlight w:val="none"/>
                    </w:rPr>
                    <w:t>。</w:t>
                  </w:r>
                </w:p>
              </w:tc>
              <w:tc>
                <w:tcPr>
                  <w:tcW w:w="2350" w:type="dxa"/>
                  <w:tcBorders>
                    <w:tl2br w:val="nil"/>
                    <w:tr2bl w:val="nil"/>
                  </w:tcBorders>
                  <w:noWrap w:val="0"/>
                  <w:vAlign w:val="center"/>
                </w:tcPr>
                <w:p w14:paraId="748FA26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rPr>
                    <w:t>本项目</w:t>
                  </w:r>
                  <w:r>
                    <w:rPr>
                      <w:rFonts w:hint="eastAsia" w:cs="Times New Roman"/>
                      <w:color w:val="auto"/>
                      <w:spacing w:val="0"/>
                      <w:kern w:val="0"/>
                      <w:sz w:val="21"/>
                      <w:szCs w:val="21"/>
                      <w:highlight w:val="none"/>
                      <w:lang w:val="en-US" w:eastAsia="zh-CN"/>
                    </w:rPr>
                    <w:t>完成后编制</w:t>
                  </w:r>
                  <w:r>
                    <w:rPr>
                      <w:rFonts w:hint="default" w:ascii="Times New Roman" w:hAnsi="Times New Roman" w:eastAsia="宋体" w:cs="Times New Roman"/>
                      <w:color w:val="auto"/>
                      <w:spacing w:val="0"/>
                      <w:kern w:val="0"/>
                      <w:sz w:val="21"/>
                      <w:szCs w:val="21"/>
                      <w:highlight w:val="none"/>
                      <w:lang w:val="zh-CN"/>
                    </w:rPr>
                    <w:t>《环境风险应急预案》</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并</w:t>
                  </w:r>
                  <w:r>
                    <w:rPr>
                      <w:rFonts w:hint="default" w:ascii="Times New Roman" w:hAnsi="Times New Roman" w:eastAsia="宋体" w:cs="Times New Roman"/>
                      <w:color w:val="auto"/>
                      <w:spacing w:val="0"/>
                      <w:kern w:val="0"/>
                      <w:sz w:val="21"/>
                      <w:szCs w:val="21"/>
                      <w:highlight w:val="none"/>
                    </w:rPr>
                    <w:t>建立有效的事故风险防范体系</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本项目不属于土壤污染重点监管单位，</w:t>
                  </w:r>
                  <w:r>
                    <w:rPr>
                      <w:rFonts w:hint="eastAsia" w:cs="Times New Roman"/>
                      <w:color w:val="auto"/>
                      <w:spacing w:val="0"/>
                      <w:kern w:val="0"/>
                      <w:sz w:val="21"/>
                      <w:szCs w:val="21"/>
                      <w:highlight w:val="none"/>
                      <w:lang w:val="en-US" w:eastAsia="zh-CN"/>
                    </w:rPr>
                    <w:t>利用厂区内空地进行建设</w:t>
                  </w:r>
                  <w:r>
                    <w:rPr>
                      <w:rFonts w:hint="eastAsia" w:ascii="Times New Roman" w:hAnsi="Times New Roman" w:eastAsia="宋体" w:cs="Times New Roman"/>
                      <w:color w:val="auto"/>
                      <w:spacing w:val="0"/>
                      <w:kern w:val="0"/>
                      <w:sz w:val="21"/>
                      <w:szCs w:val="21"/>
                      <w:highlight w:val="none"/>
                      <w:lang w:val="en-US" w:eastAsia="zh-CN"/>
                    </w:rPr>
                    <w:t>，不涉及</w:t>
                  </w:r>
                  <w:r>
                    <w:rPr>
                      <w:rFonts w:hint="default" w:ascii="Times New Roman" w:hAnsi="Times New Roman" w:eastAsia="宋体" w:cs="Times New Roman"/>
                      <w:color w:val="auto"/>
                      <w:spacing w:val="0"/>
                      <w:kern w:val="0"/>
                      <w:sz w:val="21"/>
                      <w:szCs w:val="21"/>
                      <w:highlight w:val="none"/>
                      <w:lang w:val="zh-CN"/>
                    </w:rPr>
                    <w:t>拆除设施、设备或者建筑物、构筑物</w:t>
                  </w:r>
                  <w:r>
                    <w:rPr>
                      <w:rFonts w:hint="eastAsia" w:cs="Times New Roman"/>
                      <w:color w:val="auto"/>
                      <w:spacing w:val="0"/>
                      <w:kern w:val="0"/>
                      <w:sz w:val="21"/>
                      <w:szCs w:val="21"/>
                      <w:highlight w:val="none"/>
                      <w:lang w:val="zh-CN"/>
                    </w:rPr>
                    <w:t>。</w:t>
                  </w:r>
                </w:p>
              </w:tc>
              <w:tc>
                <w:tcPr>
                  <w:tcW w:w="855" w:type="dxa"/>
                  <w:tcBorders>
                    <w:tl2br w:val="nil"/>
                    <w:tr2bl w:val="nil"/>
                  </w:tcBorders>
                  <w:noWrap w:val="0"/>
                  <w:vAlign w:val="center"/>
                </w:tcPr>
                <w:p w14:paraId="02CC2C2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14:paraId="0A3D4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74" w:hRule="atLeast"/>
                <w:jc w:val="center"/>
              </w:trPr>
              <w:tc>
                <w:tcPr>
                  <w:tcW w:w="726" w:type="dxa"/>
                  <w:vMerge w:val="continue"/>
                  <w:tcBorders>
                    <w:tl2br w:val="nil"/>
                    <w:tr2bl w:val="nil"/>
                  </w:tcBorders>
                  <w:noWrap w:val="0"/>
                  <w:vAlign w:val="center"/>
                </w:tcPr>
                <w:p w14:paraId="422FCA1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925" w:type="dxa"/>
                  <w:vMerge w:val="continue"/>
                  <w:tcBorders>
                    <w:tl2br w:val="nil"/>
                    <w:tr2bl w:val="nil"/>
                  </w:tcBorders>
                  <w:noWrap w:val="0"/>
                  <w:vAlign w:val="center"/>
                </w:tcPr>
                <w:p w14:paraId="6244785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83" w:type="dxa"/>
                  <w:vMerge w:val="continue"/>
                  <w:tcBorders>
                    <w:tl2br w:val="nil"/>
                    <w:tr2bl w:val="nil"/>
                  </w:tcBorders>
                  <w:noWrap w:val="0"/>
                  <w:vAlign w:val="center"/>
                </w:tcPr>
                <w:p w14:paraId="53B7BF7D">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909" w:type="dxa"/>
                  <w:vMerge w:val="continue"/>
                  <w:tcBorders>
                    <w:tl2br w:val="nil"/>
                    <w:tr2bl w:val="nil"/>
                  </w:tcBorders>
                  <w:noWrap w:val="0"/>
                  <w:vAlign w:val="center"/>
                </w:tcPr>
                <w:p w14:paraId="5B19CAD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1091" w:type="dxa"/>
                  <w:vMerge w:val="continue"/>
                  <w:tcBorders>
                    <w:tl2br w:val="nil"/>
                    <w:tr2bl w:val="nil"/>
                  </w:tcBorders>
                  <w:noWrap w:val="0"/>
                  <w:vAlign w:val="center"/>
                </w:tcPr>
                <w:p w14:paraId="546E8C0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925" w:type="dxa"/>
                  <w:tcBorders>
                    <w:tl2br w:val="nil"/>
                    <w:tr2bl w:val="nil"/>
                  </w:tcBorders>
                  <w:noWrap w:val="0"/>
                  <w:vAlign w:val="center"/>
                </w:tcPr>
                <w:p w14:paraId="4F43DCB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资源利用效率要求</w:t>
                  </w:r>
                </w:p>
              </w:tc>
              <w:tc>
                <w:tcPr>
                  <w:tcW w:w="4475" w:type="dxa"/>
                  <w:tcBorders>
                    <w:tl2br w:val="nil"/>
                    <w:tr2bl w:val="nil"/>
                  </w:tcBorders>
                  <w:noWrap w:val="0"/>
                  <w:vAlign w:val="center"/>
                </w:tcPr>
                <w:p w14:paraId="79C97C1B">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w:t>
                  </w:r>
                  <w:r>
                    <w:rPr>
                      <w:rFonts w:hint="default" w:ascii="Times New Roman" w:hAnsi="Times New Roman" w:eastAsia="宋体" w:cs="Times New Roman"/>
                      <w:color w:val="auto"/>
                      <w:spacing w:val="0"/>
                      <w:kern w:val="0"/>
                      <w:sz w:val="21"/>
                      <w:szCs w:val="21"/>
                      <w:highlight w:val="none"/>
                      <w:lang w:val="zh-CN"/>
                    </w:rPr>
                    <w:t>高新区街道、庆北街道为浅层地下水限采区，一般不得开凿新的取水井。确需取用地下水的，应当由省人民政府水行政主管部门统筹安排，按照总量控制原则通过按比例核减其他取水单位的地下水取水量和年度用水计划，进行合理配置</w:t>
                  </w:r>
                  <w:r>
                    <w:rPr>
                      <w:rFonts w:hint="default" w:ascii="Times New Roman" w:hAnsi="Times New Roman" w:eastAsia="宋体" w:cs="Times New Roman"/>
                      <w:color w:val="auto"/>
                      <w:spacing w:val="0"/>
                      <w:kern w:val="0"/>
                      <w:sz w:val="21"/>
                      <w:szCs w:val="21"/>
                      <w:highlight w:val="none"/>
                    </w:rPr>
                    <w:t>。</w:t>
                  </w:r>
                </w:p>
                <w:p w14:paraId="309B7DAF">
                  <w:pPr>
                    <w:keepNext w:val="0"/>
                    <w:keepLines w:val="0"/>
                    <w:pageBreakBefore w:val="0"/>
                    <w:widowControl/>
                    <w:suppressLineNumbers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val="zh-CN"/>
                    </w:rPr>
                    <w:t>推进海绵城市建设，加快城镇供水管网改造，推广节水器具，提高水资源重复利用率，加强再生水的回用</w:t>
                  </w:r>
                  <w:r>
                    <w:rPr>
                      <w:rFonts w:hint="default" w:ascii="Times New Roman" w:hAnsi="Times New Roman" w:eastAsia="宋体" w:cs="Times New Roman"/>
                      <w:color w:val="auto"/>
                      <w:spacing w:val="0"/>
                      <w:kern w:val="0"/>
                      <w:sz w:val="21"/>
                      <w:szCs w:val="21"/>
                      <w:highlight w:val="none"/>
                    </w:rPr>
                    <w:t>。</w:t>
                  </w:r>
                </w:p>
              </w:tc>
              <w:tc>
                <w:tcPr>
                  <w:tcW w:w="2350" w:type="dxa"/>
                  <w:tcBorders>
                    <w:tl2br w:val="nil"/>
                    <w:tr2bl w:val="nil"/>
                  </w:tcBorders>
                  <w:noWrap w:val="0"/>
                  <w:vAlign w:val="center"/>
                </w:tcPr>
                <w:p w14:paraId="137CC3F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24"/>
                      <w:sz w:val="21"/>
                      <w:szCs w:val="21"/>
                      <w:highlight w:val="none"/>
                      <w:lang w:val="en-US" w:eastAsia="zh-CN"/>
                    </w:rPr>
                    <w:t>本项目</w:t>
                  </w:r>
                  <w:r>
                    <w:rPr>
                      <w:rFonts w:hint="eastAsia" w:cs="Times New Roman"/>
                      <w:color w:val="auto"/>
                      <w:kern w:val="24"/>
                      <w:sz w:val="21"/>
                      <w:szCs w:val="21"/>
                      <w:highlight w:val="none"/>
                      <w:lang w:val="en-US" w:eastAsia="zh-CN"/>
                    </w:rPr>
                    <w:t>用水由园区供水管网提供</w:t>
                  </w:r>
                  <w:r>
                    <w:rPr>
                      <w:rFonts w:hint="eastAsia" w:ascii="Times New Roman" w:hAnsi="Times New Roman" w:eastAsia="宋体" w:cs="Times New Roman"/>
                      <w:color w:val="auto"/>
                      <w:kern w:val="24"/>
                      <w:sz w:val="21"/>
                      <w:szCs w:val="21"/>
                      <w:highlight w:val="none"/>
                      <w:lang w:val="en-US" w:eastAsia="zh-CN"/>
                    </w:rPr>
                    <w:t>，不涉及取用地下水</w:t>
                  </w:r>
                </w:p>
              </w:tc>
              <w:tc>
                <w:tcPr>
                  <w:tcW w:w="855" w:type="dxa"/>
                  <w:tcBorders>
                    <w:tl2br w:val="nil"/>
                    <w:tr2bl w:val="nil"/>
                  </w:tcBorders>
                  <w:noWrap w:val="0"/>
                  <w:vAlign w:val="center"/>
                </w:tcPr>
                <w:p w14:paraId="2FA8251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bl>
          <w:p w14:paraId="23D286E8">
            <w:pPr>
              <w:bidi w:val="0"/>
              <w:rPr>
                <w:rFonts w:hint="eastAsia"/>
                <w:color w:val="auto"/>
                <w:highlight w:val="none"/>
                <w:lang w:val="en-US" w:eastAsia="zh-CN"/>
              </w:rPr>
            </w:pPr>
            <w:r>
              <w:rPr>
                <w:rFonts w:hint="default"/>
                <w:color w:val="auto"/>
                <w:highlight w:val="none"/>
                <w:lang w:val="zh-CN"/>
              </w:rPr>
              <w:t>综上，</w:t>
            </w:r>
            <w:r>
              <w:rPr>
                <w:rFonts w:hint="default"/>
                <w:color w:val="auto"/>
                <w:highlight w:val="none"/>
                <w:lang w:val="en-US" w:eastAsia="zh-CN"/>
              </w:rPr>
              <w:t>本项目</w:t>
            </w:r>
            <w:r>
              <w:rPr>
                <w:rFonts w:hint="default"/>
                <w:color w:val="auto"/>
                <w:highlight w:val="none"/>
                <w:lang w:val="zh-CN"/>
              </w:rPr>
              <w:t>的建设符合</w:t>
            </w:r>
            <w:r>
              <w:rPr>
                <w:rFonts w:hint="default"/>
                <w:color w:val="auto"/>
                <w:highlight w:val="none"/>
                <w:lang w:val="en-US" w:eastAsia="zh-CN"/>
              </w:rPr>
              <w:t>《唐山市人民政府关于实施</w:t>
            </w:r>
            <w:r>
              <w:rPr>
                <w:rFonts w:hint="eastAsia" w:ascii="宋体" w:hAnsi="宋体" w:eastAsia="宋体" w:cs="宋体"/>
                <w:color w:val="auto"/>
                <w:highlight w:val="none"/>
                <w:lang w:val="en-US" w:eastAsia="zh-CN"/>
              </w:rPr>
              <w:t>“三线一单”</w:t>
            </w:r>
            <w:r>
              <w:rPr>
                <w:rFonts w:hint="default"/>
                <w:color w:val="auto"/>
                <w:highlight w:val="none"/>
                <w:lang w:val="en-US" w:eastAsia="zh-CN"/>
              </w:rPr>
              <w:t>生态环境分区管控的意见》</w:t>
            </w:r>
            <w:r>
              <w:rPr>
                <w:rFonts w:hint="eastAsia"/>
                <w:color w:val="auto"/>
                <w:highlight w:val="none"/>
                <w:lang w:val="en-US" w:eastAsia="zh-CN"/>
              </w:rPr>
              <w:t>（唐政字[2021] 48号）、《唐山市生态环境准入清单动态更新成果》</w:t>
            </w:r>
            <w:r>
              <w:rPr>
                <w:rFonts w:hint="default"/>
                <w:color w:val="auto"/>
                <w:highlight w:val="none"/>
                <w:lang w:val="zh-CN"/>
              </w:rPr>
              <w:t>要求</w:t>
            </w:r>
            <w:r>
              <w:rPr>
                <w:rFonts w:hint="eastAsia"/>
                <w:color w:val="auto"/>
                <w:highlight w:val="none"/>
                <w:lang w:val="zh-CN"/>
              </w:rPr>
              <w:t>。</w:t>
            </w:r>
          </w:p>
          <w:p w14:paraId="52540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firstLine="0" w:firstLineChars="0"/>
              <w:jc w:val="left"/>
              <w:textAlignment w:val="auto"/>
              <w:rPr>
                <w:rFonts w:hint="default"/>
                <w:b/>
                <w:bCs/>
                <w:color w:val="auto"/>
                <w:sz w:val="24"/>
                <w:szCs w:val="24"/>
                <w:highlight w:val="none"/>
                <w:lang w:val="en-US"/>
              </w:rPr>
            </w:pPr>
            <w:r>
              <w:rPr>
                <w:rFonts w:hint="eastAsia"/>
                <w:b/>
                <w:bCs/>
                <w:color w:val="auto"/>
                <w:sz w:val="24"/>
                <w:szCs w:val="24"/>
                <w:highlight w:val="none"/>
                <w:lang w:val="en-US" w:eastAsia="zh-CN"/>
              </w:rPr>
              <w:t>5、</w:t>
            </w:r>
            <w:r>
              <w:rPr>
                <w:rFonts w:hint="eastAsia"/>
                <w:b/>
                <w:bCs/>
                <w:color w:val="auto"/>
                <w:sz w:val="24"/>
                <w:szCs w:val="24"/>
                <w:highlight w:val="none"/>
              </w:rPr>
              <w:t>与</w:t>
            </w:r>
            <w:r>
              <w:rPr>
                <w:rFonts w:hint="eastAsia"/>
                <w:b/>
                <w:bCs/>
                <w:color w:val="auto"/>
                <w:sz w:val="24"/>
                <w:szCs w:val="24"/>
                <w:highlight w:val="none"/>
                <w:lang w:val="en-US" w:eastAsia="zh-CN"/>
              </w:rPr>
              <w:t>绩效评级相关要求符合性分析</w:t>
            </w:r>
          </w:p>
          <w:p w14:paraId="692FB5CA">
            <w:pPr>
              <w:bidi w:val="0"/>
              <w:rPr>
                <w:rFonts w:hint="eastAsia"/>
                <w:color w:val="auto"/>
                <w:highlight w:val="none"/>
                <w:lang w:val="zh-CN" w:eastAsia="zh-CN"/>
              </w:rPr>
            </w:pPr>
            <w:r>
              <w:rPr>
                <w:rFonts w:hint="eastAsia"/>
                <w:color w:val="auto"/>
                <w:highlight w:val="none"/>
                <w:lang w:val="en-US" w:eastAsia="zh-CN"/>
              </w:rPr>
              <w:t>本项目主要对外购壳体进行除锈、除油、喷漆表面处理，处理后的壳体用于机器人生产，机器人生产属于C3599其他专用设备制造，对照《重污染天气重点行业应急减排措施制定技术指南（2021年修订版）》、《关于印发&lt;重污染天气重点行业绩效分级及减排措施&gt;补充说明的通知》，本项目参照工业涂装绩效分级指标B级企业进行符合性分析，本项目与其符合性分析见下表。</w:t>
            </w:r>
          </w:p>
          <w:p w14:paraId="73920F67">
            <w:pPr>
              <w:pStyle w:val="3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lang w:val="en-US" w:eastAsia="zh-CN"/>
              </w:rPr>
            </w:pPr>
          </w:p>
          <w:p w14:paraId="0EB572AA">
            <w:pPr>
              <w:pStyle w:val="3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lang w:val="en-US" w:eastAsia="zh-CN"/>
              </w:rPr>
            </w:pPr>
          </w:p>
          <w:p w14:paraId="0E311B96">
            <w:pPr>
              <w:pStyle w:val="3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lang w:val="en-US" w:eastAsia="zh-CN"/>
              </w:rPr>
            </w:pPr>
          </w:p>
          <w:p w14:paraId="0FD948AF">
            <w:pPr>
              <w:pStyle w:val="3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lang w:val="en-US" w:eastAsia="zh-CN"/>
              </w:rPr>
            </w:pPr>
          </w:p>
          <w:p w14:paraId="7105A4A6">
            <w:pPr>
              <w:pStyle w:val="3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lang w:val="en-US" w:eastAsia="zh-CN"/>
              </w:rPr>
            </w:pPr>
          </w:p>
          <w:p w14:paraId="383D32AB">
            <w:pPr>
              <w:pStyle w:val="3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lang w:val="en-US" w:eastAsia="zh-CN"/>
              </w:rPr>
            </w:pPr>
          </w:p>
          <w:p w14:paraId="7F0D24EA">
            <w:pPr>
              <w:pStyle w:val="3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color w:val="auto"/>
                <w:highlight w:val="none"/>
                <w:lang w:val="en-US" w:eastAsia="zh-CN"/>
              </w:rPr>
            </w:pPr>
          </w:p>
          <w:p w14:paraId="466C4447">
            <w:pPr>
              <w:pStyle w:val="3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w:t>
            </w:r>
            <w:r>
              <w:rPr>
                <w:rFonts w:hint="default"/>
                <w:color w:val="auto"/>
                <w:highlight w:val="none"/>
                <w:lang w:val="en-US" w:eastAsia="zh-CN"/>
              </w:rPr>
              <w:t xml:space="preserve">  本项目与工业涂装B级企业指标符合性分析一览表</w:t>
            </w:r>
          </w:p>
          <w:tbl>
            <w:tblPr>
              <w:tblStyle w:val="25"/>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414"/>
              <w:gridCol w:w="3984"/>
              <w:gridCol w:w="813"/>
            </w:tblGrid>
            <w:tr w14:paraId="35E00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28" w:type="dxa"/>
                  <w:tcBorders>
                    <w:tl2br w:val="nil"/>
                    <w:tr2bl w:val="nil"/>
                  </w:tcBorders>
                  <w:noWrap w:val="0"/>
                  <w:vAlign w:val="center"/>
                </w:tcPr>
                <w:p w14:paraId="68E5A9B2">
                  <w:pPr>
                    <w:pStyle w:val="31"/>
                    <w:keepNext w:val="0"/>
                    <w:keepLines w:val="0"/>
                    <w:pageBreakBefore w:val="0"/>
                    <w:kinsoku/>
                    <w:wordWrap/>
                    <w:overflowPunct/>
                    <w:topLinePunct w:val="0"/>
                    <w:autoSpaceDE/>
                    <w:autoSpaceDN/>
                    <w:bidi w:val="0"/>
                    <w:spacing w:before="0" w:after="0"/>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lang w:val="en-US" w:eastAsia="zh-CN"/>
                    </w:rPr>
                    <w:t>差异化指标</w:t>
                  </w:r>
                </w:p>
              </w:tc>
              <w:tc>
                <w:tcPr>
                  <w:tcW w:w="7414" w:type="dxa"/>
                  <w:tcBorders>
                    <w:tl2br w:val="nil"/>
                    <w:tr2bl w:val="nil"/>
                  </w:tcBorders>
                  <w:noWrap w:val="0"/>
                  <w:vAlign w:val="center"/>
                </w:tcPr>
                <w:p w14:paraId="3055CBEE">
                  <w:pPr>
                    <w:pStyle w:val="31"/>
                    <w:keepNext w:val="0"/>
                    <w:keepLines w:val="0"/>
                    <w:pageBreakBefore w:val="0"/>
                    <w:kinsoku/>
                    <w:wordWrap/>
                    <w:overflowPunct/>
                    <w:topLinePunct w:val="0"/>
                    <w:autoSpaceDE/>
                    <w:autoSpaceDN/>
                    <w:bidi w:val="0"/>
                    <w:spacing w:before="0" w:after="0"/>
                    <w:ind w:left="-24" w:leftChars="-10" w:right="-24" w:rightChars="-10"/>
                    <w:textAlignment w:val="auto"/>
                    <w:rPr>
                      <w:rFonts w:hint="eastAsia"/>
                      <w:color w:val="auto"/>
                      <w:sz w:val="21"/>
                      <w:szCs w:val="21"/>
                      <w:highlight w:val="none"/>
                      <w:lang w:val="en-US" w:eastAsia="zh-CN"/>
                    </w:rPr>
                  </w:pPr>
                  <w:r>
                    <w:rPr>
                      <w:rFonts w:hint="eastAsia"/>
                      <w:color w:val="auto"/>
                      <w:sz w:val="21"/>
                      <w:szCs w:val="21"/>
                      <w:highlight w:val="none"/>
                    </w:rPr>
                    <w:t>B级企业</w:t>
                  </w:r>
                </w:p>
              </w:tc>
              <w:tc>
                <w:tcPr>
                  <w:tcW w:w="3984" w:type="dxa"/>
                  <w:tcBorders>
                    <w:tl2br w:val="nil"/>
                    <w:tr2bl w:val="nil"/>
                  </w:tcBorders>
                  <w:noWrap w:val="0"/>
                  <w:vAlign w:val="center"/>
                </w:tcPr>
                <w:p w14:paraId="1302D486">
                  <w:pPr>
                    <w:pStyle w:val="31"/>
                    <w:keepNext w:val="0"/>
                    <w:keepLines w:val="0"/>
                    <w:pageBreakBefore w:val="0"/>
                    <w:kinsoku/>
                    <w:wordWrap/>
                    <w:overflowPunct/>
                    <w:topLinePunct w:val="0"/>
                    <w:autoSpaceDE/>
                    <w:autoSpaceDN/>
                    <w:bidi w:val="0"/>
                    <w:spacing w:before="0" w:after="0"/>
                    <w:ind w:left="-24" w:leftChars="-10" w:right="-24" w:rightChars="-10"/>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本项目建设情况</w:t>
                  </w:r>
                </w:p>
              </w:tc>
              <w:tc>
                <w:tcPr>
                  <w:tcW w:w="813" w:type="dxa"/>
                  <w:tcBorders>
                    <w:tl2br w:val="nil"/>
                    <w:tr2bl w:val="nil"/>
                  </w:tcBorders>
                  <w:noWrap w:val="0"/>
                  <w:vAlign w:val="center"/>
                </w:tcPr>
                <w:p w14:paraId="37EAC977">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本项目符合性</w:t>
                  </w:r>
                </w:p>
              </w:tc>
            </w:tr>
            <w:tr w14:paraId="1E6AA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828" w:type="dxa"/>
                  <w:tcBorders>
                    <w:tl2br w:val="nil"/>
                    <w:tr2bl w:val="nil"/>
                  </w:tcBorders>
                  <w:noWrap w:val="0"/>
                  <w:vAlign w:val="center"/>
                </w:tcPr>
                <w:p w14:paraId="3717E496">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原辅材料</w:t>
                  </w:r>
                </w:p>
              </w:tc>
              <w:tc>
                <w:tcPr>
                  <w:tcW w:w="7414" w:type="dxa"/>
                  <w:tcBorders>
                    <w:tl2br w:val="nil"/>
                    <w:tr2bl w:val="nil"/>
                  </w:tcBorders>
                  <w:noWrap w:val="0"/>
                  <w:vAlign w:val="center"/>
                </w:tcPr>
                <w:p w14:paraId="7C1B0E5D">
                  <w:pPr>
                    <w:pStyle w:val="63"/>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24" w:leftChars="-10" w:right="-24" w:rightChars="-10" w:firstLine="0" w:firstLineChars="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使用符合《船舶涂料中有害物质限量》（GB38469-2019）、《木器涂料中有害物质限量》（GB18581-2020）、《车辆涂料中有害物质限量》（GB</w:t>
                  </w:r>
                  <w:r>
                    <w:rPr>
                      <w:rFonts w:hint="eastAsia" w:cs="Times New Roman"/>
                      <w:b w:val="0"/>
                      <w:bCs w:val="0"/>
                      <w:caps w:val="0"/>
                      <w:smallCaps w:val="0"/>
                      <w:color w:val="auto"/>
                      <w:spacing w:val="0"/>
                      <w:kern w:val="2"/>
                      <w:position w:val="0"/>
                      <w:sz w:val="21"/>
                      <w:szCs w:val="21"/>
                      <w:highlight w:val="none"/>
                      <w:vertAlign w:val="baseline"/>
                      <w:lang w:val="en-US" w:eastAsia="zh-CN" w:bidi="ar-SA"/>
                    </w:rPr>
                    <w:t>24409-2020</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r>
                    <w:rPr>
                      <w:rFonts w:hint="eastAsia" w:cs="Times New Roman"/>
                      <w:b w:val="0"/>
                      <w:bCs w:val="0"/>
                      <w:caps w:val="0"/>
                      <w:smallCaps w:val="0"/>
                      <w:color w:val="auto"/>
                      <w:spacing w:val="0"/>
                      <w:kern w:val="2"/>
                      <w:position w:val="0"/>
                      <w:sz w:val="21"/>
                      <w:szCs w:val="21"/>
                      <w:highlight w:val="none"/>
                      <w:vertAlign w:val="baseline"/>
                      <w:lang w:val="en-US" w:eastAsia="zh-CN" w:bidi="ar-SA"/>
                    </w:rPr>
                    <w:t>、《工业防护涂料中有害物质限量》（GB30981-2020）</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等标准规定的水性、无溶剂、辐射固化涂料产品；</w:t>
                  </w:r>
                </w:p>
                <w:p w14:paraId="4914AA2B">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2、使用符合《低挥发性有机</w:t>
                  </w:r>
                  <w:r>
                    <w:rPr>
                      <w:rFonts w:hint="eastAsia" w:cs="Times New Roman"/>
                      <w:b w:val="0"/>
                      <w:bCs w:val="0"/>
                      <w:caps w:val="0"/>
                      <w:smallCaps w:val="0"/>
                      <w:color w:val="auto"/>
                      <w:spacing w:val="0"/>
                      <w:kern w:val="2"/>
                      <w:position w:val="0"/>
                      <w:sz w:val="21"/>
                      <w:szCs w:val="21"/>
                      <w:highlight w:val="none"/>
                      <w:vertAlign w:val="baseline"/>
                      <w:lang w:val="en-US" w:eastAsia="zh-CN" w:bidi="ar-SA"/>
                    </w:rPr>
                    <w:t>化合</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物含量涂料产品技术要求》（GB/T38597-2020）规定的溶剂型涂料产品。</w:t>
                  </w:r>
                </w:p>
              </w:tc>
              <w:tc>
                <w:tcPr>
                  <w:tcW w:w="3984" w:type="dxa"/>
                  <w:tcBorders>
                    <w:tl2br w:val="nil"/>
                    <w:tr2bl w:val="nil"/>
                  </w:tcBorders>
                  <w:noWrap w:val="0"/>
                  <w:vAlign w:val="center"/>
                </w:tcPr>
                <w:p w14:paraId="0A39C1F0">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p>
              </w:tc>
              <w:tc>
                <w:tcPr>
                  <w:tcW w:w="813" w:type="dxa"/>
                  <w:tcBorders>
                    <w:tl2br w:val="nil"/>
                    <w:tr2bl w:val="nil"/>
                  </w:tcBorders>
                  <w:noWrap w:val="0"/>
                  <w:vAlign w:val="center"/>
                </w:tcPr>
                <w:p w14:paraId="3C9C03A4">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47284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0" w:hRule="atLeast"/>
                <w:jc w:val="center"/>
              </w:trPr>
              <w:tc>
                <w:tcPr>
                  <w:tcW w:w="828" w:type="dxa"/>
                  <w:tcBorders>
                    <w:tl2br w:val="nil"/>
                    <w:tr2bl w:val="nil"/>
                  </w:tcBorders>
                  <w:noWrap w:val="0"/>
                  <w:vAlign w:val="center"/>
                </w:tcPr>
                <w:p w14:paraId="0D4F95FA">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无组织排放</w:t>
                  </w:r>
                </w:p>
              </w:tc>
              <w:tc>
                <w:tcPr>
                  <w:tcW w:w="7414" w:type="dxa"/>
                  <w:tcBorders>
                    <w:tl2br w:val="nil"/>
                    <w:tr2bl w:val="nil"/>
                  </w:tcBorders>
                  <w:noWrap w:val="0"/>
                  <w:vAlign w:val="center"/>
                </w:tcPr>
                <w:p w14:paraId="2FE8790E">
                  <w:pPr>
                    <w:pStyle w:val="63"/>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满足《挥发性有机物无组织排放控制标准》（GB37822-2019）特别控制要求；</w:t>
                  </w:r>
                </w:p>
                <w:p w14:paraId="05754D7B">
                  <w:pPr>
                    <w:pStyle w:val="63"/>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VOCs物料存储于密闭容器或包装袋中，盛装VOCs物料的容器或包装袋存放</w:t>
                  </w:r>
                  <w:r>
                    <w:rPr>
                      <w:rFonts w:hint="eastAsia" w:cs="Times New Roman"/>
                      <w:color w:val="auto"/>
                      <w:sz w:val="21"/>
                      <w:szCs w:val="21"/>
                      <w:highlight w:val="none"/>
                      <w:lang w:val="en-US" w:eastAsia="zh-CN"/>
                    </w:rPr>
                    <w:t>于</w:t>
                  </w:r>
                  <w:r>
                    <w:rPr>
                      <w:rFonts w:hint="default" w:ascii="Times New Roman" w:hAnsi="Times New Roman" w:eastAsia="宋体" w:cs="Times New Roman"/>
                      <w:color w:val="auto"/>
                      <w:sz w:val="21"/>
                      <w:szCs w:val="21"/>
                      <w:highlight w:val="none"/>
                      <w:lang w:val="en-US" w:eastAsia="zh-CN"/>
                    </w:rPr>
                    <w:t>密闭负压的储库、料仓内；</w:t>
                  </w:r>
                </w:p>
                <w:p w14:paraId="349960A5">
                  <w:pPr>
                    <w:pStyle w:val="63"/>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除大型工件特殊作业（例如，船舶制造</w:t>
                  </w:r>
                  <w:r>
                    <w:rPr>
                      <w:rFonts w:hint="eastAsia" w:cs="Times New Roman"/>
                      <w:color w:val="auto"/>
                      <w:sz w:val="21"/>
                      <w:szCs w:val="21"/>
                      <w:highlight w:val="none"/>
                      <w:lang w:val="en-US" w:eastAsia="zh-CN"/>
                    </w:rPr>
                    <w:t>行</w:t>
                  </w:r>
                  <w:r>
                    <w:rPr>
                      <w:rFonts w:hint="default" w:ascii="Times New Roman" w:hAnsi="Times New Roman" w:eastAsia="宋体" w:cs="Times New Roman"/>
                      <w:color w:val="auto"/>
                      <w:sz w:val="21"/>
                      <w:szCs w:val="21"/>
                      <w:highlight w:val="none"/>
                      <w:lang w:val="en-US" w:eastAsia="zh-CN"/>
                    </w:rPr>
                    <w:t>业的分段总组、船台、船坞、造船码头等涂装工序）外，调漆、喷漆、流平、烘干、清洗等工序在密闭设备或密闭负压空间内操作；</w:t>
                  </w:r>
                </w:p>
                <w:p w14:paraId="2291DA20">
                  <w:pPr>
                    <w:pStyle w:val="63"/>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密闭回收废清洗剂；</w:t>
                  </w:r>
                </w:p>
                <w:p w14:paraId="39C3FF88">
                  <w:pPr>
                    <w:pStyle w:val="63"/>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建设干式喷漆房；使用湿式喷漆房时，循环水泵间和刮渣间应密闭，安装废气收集设施；</w:t>
                  </w:r>
                </w:p>
                <w:p w14:paraId="4573C6E1">
                  <w:pPr>
                    <w:pStyle w:val="63"/>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采用静电喷涂、自动喷涂、高压无气喷涂或高流低压</w:t>
                  </w:r>
                  <w:r>
                    <w:rPr>
                      <w:rFonts w:hint="eastAsia" w:cs="Times New Roman"/>
                      <w:color w:val="auto"/>
                      <w:sz w:val="21"/>
                      <w:szCs w:val="21"/>
                      <w:highlight w:val="none"/>
                      <w:lang w:val="en-US" w:eastAsia="zh-CN"/>
                    </w:rPr>
                    <w:t>（HVLP）</w:t>
                  </w:r>
                  <w:r>
                    <w:rPr>
                      <w:rFonts w:hint="default" w:ascii="Times New Roman" w:hAnsi="Times New Roman" w:eastAsia="宋体" w:cs="Times New Roman"/>
                      <w:color w:val="auto"/>
                      <w:sz w:val="21"/>
                      <w:szCs w:val="21"/>
                      <w:highlight w:val="none"/>
                      <w:lang w:val="en-US" w:eastAsia="zh-CN"/>
                    </w:rPr>
                    <w:t>喷枪等高效涂装技术，不可使用手动空气喷涂技术。</w:t>
                  </w:r>
                </w:p>
              </w:tc>
              <w:tc>
                <w:tcPr>
                  <w:tcW w:w="3984" w:type="dxa"/>
                  <w:tcBorders>
                    <w:tl2br w:val="nil"/>
                    <w:tr2bl w:val="nil"/>
                  </w:tcBorders>
                  <w:noWrap w:val="0"/>
                  <w:vAlign w:val="center"/>
                </w:tcPr>
                <w:p w14:paraId="4BC15AB9">
                  <w:pPr>
                    <w:keepNext w:val="0"/>
                    <w:keepLines w:val="0"/>
                    <w:pageBreakBefore w:val="0"/>
                    <w:widowControl/>
                    <w:numPr>
                      <w:ilvl w:val="0"/>
                      <w:numId w:val="0"/>
                    </w:numPr>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本项目建成后，非甲烷总烃排放满足</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《挥发性有机物无组织排放控制标准》（GB37822-2019）特别控制要求</w:t>
                  </w:r>
                  <w:r>
                    <w:rPr>
                      <w:rFonts w:hint="eastAsia" w:cs="Times New Roman"/>
                      <w:b w:val="0"/>
                      <w:bCs w:val="0"/>
                      <w:caps w:val="0"/>
                      <w:smallCaps w:val="0"/>
                      <w:color w:val="auto"/>
                      <w:spacing w:val="0"/>
                      <w:kern w:val="2"/>
                      <w:position w:val="0"/>
                      <w:sz w:val="21"/>
                      <w:szCs w:val="21"/>
                      <w:highlight w:val="none"/>
                      <w:vertAlign w:val="baseline"/>
                      <w:lang w:val="en-US" w:eastAsia="zh-CN" w:bidi="ar-SA"/>
                    </w:rPr>
                    <w:t>；漆料密闭桶装，储存于油漆库，油漆库连接引风管道，保持微负压；调漆、喷漆过程在密闭喷漆房进行，烘干/晾干过程在密闭烘干房进行，喷漆房、烘干房连接管道，调漆、喷漆、烘干/晾干、刮腻子、腻子打磨、除油、漆料和危废储存过程产生的废气引入废气处理设施处理；喷涂采用</w:t>
                  </w:r>
                  <w:r>
                    <w:rPr>
                      <w:rFonts w:hint="default" w:ascii="Times New Roman" w:hAnsi="Times New Roman" w:eastAsia="宋体" w:cs="Times New Roman"/>
                      <w:color w:val="auto"/>
                      <w:sz w:val="21"/>
                      <w:szCs w:val="21"/>
                      <w:highlight w:val="none"/>
                      <w:lang w:val="en-US" w:eastAsia="zh-CN"/>
                    </w:rPr>
                    <w:t>高流低压</w:t>
                  </w:r>
                  <w:r>
                    <w:rPr>
                      <w:rFonts w:hint="eastAsia" w:cs="Times New Roman"/>
                      <w:color w:val="auto"/>
                      <w:sz w:val="21"/>
                      <w:szCs w:val="21"/>
                      <w:highlight w:val="none"/>
                      <w:lang w:val="en-US" w:eastAsia="zh-CN"/>
                    </w:rPr>
                    <w:t>喷枪进行喷涂</w:t>
                  </w:r>
                </w:p>
              </w:tc>
              <w:tc>
                <w:tcPr>
                  <w:tcW w:w="813" w:type="dxa"/>
                  <w:tcBorders>
                    <w:tl2br w:val="nil"/>
                    <w:tr2bl w:val="nil"/>
                  </w:tcBorders>
                  <w:noWrap w:val="0"/>
                  <w:vAlign w:val="center"/>
                </w:tcPr>
                <w:p w14:paraId="090C876C">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372B3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828" w:type="dxa"/>
                  <w:tcBorders>
                    <w:tl2br w:val="nil"/>
                    <w:tr2bl w:val="nil"/>
                  </w:tcBorders>
                  <w:noWrap w:val="0"/>
                  <w:vAlign w:val="center"/>
                </w:tcPr>
                <w:p w14:paraId="76450BE4">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VOCs治污设施</w:t>
                  </w:r>
                </w:p>
              </w:tc>
              <w:tc>
                <w:tcPr>
                  <w:tcW w:w="7414" w:type="dxa"/>
                  <w:tcBorders>
                    <w:tl2br w:val="nil"/>
                    <w:tr2bl w:val="nil"/>
                  </w:tcBorders>
                  <w:noWrap w:val="0"/>
                  <w:vAlign w:val="center"/>
                </w:tcPr>
                <w:p w14:paraId="35727E78">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1、</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喷涂废气设置干式的石灰石、纸盒或湿式的文丘里等高效漆雾处理装置；</w:t>
                  </w:r>
                </w:p>
                <w:p w14:paraId="203E2ABF">
                  <w:pPr>
                    <w:pStyle w:val="63"/>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使用溶剂型涂料时，调漆、喷漆、流平、烘干、清洗等工序含</w:t>
                  </w:r>
                  <w:r>
                    <w:rPr>
                      <w:rFonts w:hint="default" w:ascii="Times New Roman" w:hAnsi="Times New Roman" w:eastAsia="宋体" w:cs="Times New Roman"/>
                      <w:color w:val="auto"/>
                      <w:sz w:val="21"/>
                      <w:szCs w:val="21"/>
                      <w:highlight w:val="none"/>
                      <w:lang w:val="en-US" w:eastAsia="zh-CN"/>
                    </w:rPr>
                    <w:t>VOCs废气采用吸附浓缩+燃烧、燃烧等治理技术，处理效率≥85%；</w:t>
                  </w:r>
                </w:p>
                <w:p w14:paraId="4FD09244">
                  <w:pPr>
                    <w:pStyle w:val="63"/>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使用水性涂料（含水性UV）时，当车间或生产设施排气中NMHC初始排放速率≥2kg/h时，建设末端治污设施。</w:t>
                  </w:r>
                </w:p>
              </w:tc>
              <w:tc>
                <w:tcPr>
                  <w:tcW w:w="3984" w:type="dxa"/>
                  <w:tcBorders>
                    <w:tl2br w:val="nil"/>
                    <w:tr2bl w:val="nil"/>
                  </w:tcBorders>
                  <w:noWrap w:val="0"/>
                  <w:vAlign w:val="center"/>
                </w:tcPr>
                <w:p w14:paraId="0F0685FF">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本项目调漆、喷漆、刮腻子、腻子打磨、除油过程产生的废气经干式喷漆柜（纸盒）去除大部分颗粒物后，与烘干/晾干、漆料和危废储存过程产生的废气一起进入过滤棉箱过滤+沸石转轮+催化燃烧装置进行处理，处理效率&gt;85%</w:t>
                  </w:r>
                </w:p>
              </w:tc>
              <w:tc>
                <w:tcPr>
                  <w:tcW w:w="813" w:type="dxa"/>
                  <w:tcBorders>
                    <w:tl2br w:val="nil"/>
                    <w:tr2bl w:val="nil"/>
                  </w:tcBorders>
                  <w:noWrap w:val="0"/>
                  <w:vAlign w:val="center"/>
                </w:tcPr>
                <w:p w14:paraId="1CFBA825">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598AC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28" w:type="dxa"/>
                  <w:tcBorders>
                    <w:tl2br w:val="nil"/>
                    <w:tr2bl w:val="nil"/>
                  </w:tcBorders>
                  <w:noWrap w:val="0"/>
                  <w:vAlign w:val="center"/>
                </w:tcPr>
                <w:p w14:paraId="00AA9937">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排放限值</w:t>
                  </w:r>
                </w:p>
              </w:tc>
              <w:tc>
                <w:tcPr>
                  <w:tcW w:w="7414" w:type="dxa"/>
                  <w:tcBorders>
                    <w:tl2br w:val="nil"/>
                    <w:tr2bl w:val="nil"/>
                  </w:tcBorders>
                  <w:noWrap w:val="0"/>
                  <w:vAlign w:val="center"/>
                </w:tcPr>
                <w:p w14:paraId="25FDBA6D">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24" w:leftChars="-10" w:right="-24" w:rightChars="-10" w:firstLine="0" w:firstLineChars="0"/>
                    <w:jc w:val="both"/>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在连续一年的监测数据中，车间或生产设施排气筒排放的NMHC为30-40mg/m</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，TVOC为50-60mg/m</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p w14:paraId="636830B9">
                  <w:pPr>
                    <w:keepNext w:val="0"/>
                    <w:keepLines w:val="0"/>
                    <w:pageBreakBefore w:val="0"/>
                    <w:widowControl/>
                    <w:numPr>
                      <w:ilvl w:val="0"/>
                      <w:numId w:val="4"/>
                    </w:numPr>
                    <w:suppressLineNumbers w:val="0"/>
                    <w:kinsoku/>
                    <w:wordWrap/>
                    <w:overflowPunct/>
                    <w:topLinePunct w:val="0"/>
                    <w:autoSpaceDE/>
                    <w:autoSpaceDN/>
                    <w:bidi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厂区内无组织排放监控点NMHC的小时平均浓度</w:t>
                  </w:r>
                  <w:r>
                    <w:rPr>
                      <w:rFonts w:hint="eastAsia" w:cs="Times New Roman"/>
                      <w:b w:val="0"/>
                      <w:bCs w:val="0"/>
                      <w:caps w:val="0"/>
                      <w:smallCaps w:val="0"/>
                      <w:color w:val="auto"/>
                      <w:spacing w:val="0"/>
                      <w:kern w:val="2"/>
                      <w:position w:val="0"/>
                      <w:sz w:val="21"/>
                      <w:szCs w:val="21"/>
                      <w:highlight w:val="none"/>
                      <w:vertAlign w:val="baseline"/>
                      <w:lang w:val="en-US" w:eastAsia="zh-CN" w:bidi="ar-SA"/>
                    </w:rPr>
                    <w:t>值</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不超过6mg/m</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，任意一次浓度值不超过20mg/m</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w:t>
                  </w:r>
                </w:p>
                <w:p w14:paraId="5957FBDE">
                  <w:pPr>
                    <w:keepNext w:val="0"/>
                    <w:keepLines w:val="0"/>
                    <w:pageBreakBefore w:val="0"/>
                    <w:widowControl/>
                    <w:numPr>
                      <w:ilvl w:val="0"/>
                      <w:numId w:val="4"/>
                    </w:numPr>
                    <w:suppressLineNumbers w:val="0"/>
                    <w:kinsoku/>
                    <w:wordWrap/>
                    <w:overflowPunct/>
                    <w:topLinePunct w:val="0"/>
                    <w:autoSpaceDE/>
                    <w:autoSpaceDN/>
                    <w:bidi w:val="0"/>
                    <w:spacing w:line="240" w:lineRule="auto"/>
                    <w:ind w:left="-24" w:leftChars="-10" w:right="-24" w:rightChars="-10" w:firstLine="0" w:firstLineChars="0"/>
                    <w:jc w:val="left"/>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其他各项污染物稳定达到现行排放控制要求，并从严地方要求。</w:t>
                  </w:r>
                </w:p>
              </w:tc>
              <w:tc>
                <w:tcPr>
                  <w:tcW w:w="3984" w:type="dxa"/>
                  <w:tcBorders>
                    <w:tl2br w:val="nil"/>
                    <w:tr2bl w:val="nil"/>
                  </w:tcBorders>
                  <w:noWrap w:val="0"/>
                  <w:vAlign w:val="center"/>
                </w:tcPr>
                <w:p w14:paraId="55CF24E2">
                  <w:pPr>
                    <w:keepNext w:val="0"/>
                    <w:keepLines w:val="0"/>
                    <w:pageBreakBefore w:val="0"/>
                    <w:widowControl/>
                    <w:numPr>
                      <w:ilvl w:val="0"/>
                      <w:numId w:val="0"/>
                    </w:numPr>
                    <w:suppressLineNumbers w:val="0"/>
                    <w:kinsoku/>
                    <w:wordWrap/>
                    <w:overflowPunct/>
                    <w:topLinePunct w:val="0"/>
                    <w:autoSpaceDE/>
                    <w:autoSpaceDN/>
                    <w:bidi w:val="0"/>
                    <w:spacing w:line="240" w:lineRule="auto"/>
                    <w:ind w:leftChars="-10" w:right="-24" w:rightChars="-1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根据源强分析，本项目有机废气排放口非甲烷总烃排放浓度&lt;40mg/m</w:t>
                  </w:r>
                  <w:r>
                    <w:rPr>
                      <w:rFonts w:hint="eastAsia"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厂区内无组织排放监控点NMHC的小时平均浓度</w:t>
                  </w:r>
                  <w:r>
                    <w:rPr>
                      <w:rFonts w:hint="eastAsia" w:cs="Times New Roman"/>
                      <w:b w:val="0"/>
                      <w:bCs w:val="0"/>
                      <w:caps w:val="0"/>
                      <w:smallCaps w:val="0"/>
                      <w:color w:val="auto"/>
                      <w:spacing w:val="0"/>
                      <w:kern w:val="2"/>
                      <w:position w:val="0"/>
                      <w:sz w:val="21"/>
                      <w:szCs w:val="21"/>
                      <w:highlight w:val="none"/>
                      <w:vertAlign w:val="baseline"/>
                      <w:lang w:val="en-US" w:eastAsia="zh-CN" w:bidi="ar-SA"/>
                    </w:rPr>
                    <w:t>值</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不超过6mg/m</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，任意一次浓度值不超过20mg/m</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superscript"/>
                      <w:lang w:val="en-US" w:eastAsia="zh-CN" w:bidi="ar-SA"/>
                    </w:rPr>
                    <w:t>3</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其他各项污染物</w:t>
                  </w:r>
                  <w:r>
                    <w:rPr>
                      <w:rFonts w:hint="eastAsia" w:cs="Times New Roman"/>
                      <w:b w:val="0"/>
                      <w:bCs w:val="0"/>
                      <w:caps w:val="0"/>
                      <w:smallCaps w:val="0"/>
                      <w:color w:val="auto"/>
                      <w:spacing w:val="0"/>
                      <w:kern w:val="2"/>
                      <w:position w:val="0"/>
                      <w:sz w:val="21"/>
                      <w:szCs w:val="21"/>
                      <w:highlight w:val="none"/>
                      <w:vertAlign w:val="baseline"/>
                      <w:lang w:val="en-US" w:eastAsia="zh-CN" w:bidi="ar-SA"/>
                    </w:rPr>
                    <w:t>均可</w:t>
                  </w: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稳定达到现行排放控制要求</w:t>
                  </w:r>
                </w:p>
              </w:tc>
              <w:tc>
                <w:tcPr>
                  <w:tcW w:w="813" w:type="dxa"/>
                  <w:tcBorders>
                    <w:tl2br w:val="nil"/>
                    <w:tr2bl w:val="nil"/>
                  </w:tcBorders>
                  <w:noWrap w:val="0"/>
                  <w:vAlign w:val="center"/>
                </w:tcPr>
                <w:p w14:paraId="5F1EC60E">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206DE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828" w:type="dxa"/>
                  <w:tcBorders>
                    <w:tl2br w:val="nil"/>
                    <w:tr2bl w:val="nil"/>
                  </w:tcBorders>
                  <w:noWrap w:val="0"/>
                  <w:vAlign w:val="center"/>
                </w:tcPr>
                <w:p w14:paraId="7E97A148">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监测监控水平</w:t>
                  </w:r>
                </w:p>
              </w:tc>
              <w:tc>
                <w:tcPr>
                  <w:tcW w:w="7414" w:type="dxa"/>
                  <w:tcBorders>
                    <w:tl2br w:val="nil"/>
                    <w:tr2bl w:val="nil"/>
                  </w:tcBorders>
                  <w:noWrap w:val="0"/>
                  <w:vAlign w:val="center"/>
                </w:tcPr>
                <w:p w14:paraId="241B0152">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lef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vertAlign w:val="baseline"/>
                      <w:lang w:val="en-US" w:eastAsia="zh-CN"/>
                    </w:rPr>
                    <w:t>严格执行《排污许可证申请与核发技术规范 总则》（HJ 942-2018）以及相关行业排污许可证申请与核发技术规范规定的自行监测管理要求；</w:t>
                  </w:r>
                </w:p>
                <w:p w14:paraId="741E88FA">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lef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2、重点排污企业风量大于10000m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/h的主要排放口</w:t>
                  </w:r>
                  <w:r>
                    <w:rPr>
                      <w:rFonts w:hint="eastAsia" w:cs="Times New Roman"/>
                      <w:color w:val="auto"/>
                      <w:sz w:val="21"/>
                      <w:szCs w:val="21"/>
                      <w:highlight w:val="none"/>
                      <w:vertAlign w:val="baseline"/>
                      <w:lang w:val="en-US" w:eastAsia="zh-CN"/>
                    </w:rPr>
                    <w:t>，有机废气排放口</w:t>
                  </w:r>
                  <w:r>
                    <w:rPr>
                      <w:rFonts w:hint="default" w:ascii="Times New Roman" w:hAnsi="Times New Roman" w:cs="Times New Roman"/>
                      <w:color w:val="auto"/>
                      <w:sz w:val="21"/>
                      <w:szCs w:val="21"/>
                      <w:highlight w:val="none"/>
                      <w:vertAlign w:val="baseline"/>
                      <w:lang w:val="en-US" w:eastAsia="zh-CN"/>
                    </w:rPr>
                    <w:t>安装NMHC在线监测设施（FID检测器），自动监控数据保存一年以上；</w:t>
                  </w:r>
                </w:p>
                <w:p w14:paraId="3DF856E2">
                  <w:pPr>
                    <w:pStyle w:val="54"/>
                    <w:keepNext w:val="0"/>
                    <w:keepLines w:val="0"/>
                    <w:pageBreakBefore w:val="0"/>
                    <w:kinsoku/>
                    <w:wordWrap/>
                    <w:overflowPunct/>
                    <w:topLinePunct w:val="0"/>
                    <w:autoSpaceDE/>
                    <w:autoSpaceDN/>
                    <w:bidi w:val="0"/>
                    <w:spacing w:beforeLines="0" w:afterLines="0" w:line="240" w:lineRule="auto"/>
                    <w:ind w:left="-24" w:leftChars="-10" w:right="-24" w:rightChars="-1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3、安装DCS系统、PLC系统、仪器仪表等装置，记录治理设施主要参数，数据保存一年以上</w:t>
                  </w:r>
                </w:p>
              </w:tc>
              <w:tc>
                <w:tcPr>
                  <w:tcW w:w="3984" w:type="dxa"/>
                  <w:tcBorders>
                    <w:tl2br w:val="nil"/>
                    <w:tr2bl w:val="nil"/>
                  </w:tcBorders>
                  <w:noWrap w:val="0"/>
                  <w:vAlign w:val="center"/>
                </w:tcPr>
                <w:p w14:paraId="71444819">
                  <w:pPr>
                    <w:keepNext w:val="0"/>
                    <w:keepLines w:val="0"/>
                    <w:pageBreakBefore w:val="0"/>
                    <w:widowControl/>
                    <w:numPr>
                      <w:ilvl w:val="0"/>
                      <w:numId w:val="0"/>
                    </w:numPr>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s="Times New Roman"/>
                      <w:b w:val="0"/>
                      <w:bCs w:val="0"/>
                      <w:caps w:val="0"/>
                      <w:smallCaps w:val="0"/>
                      <w:color w:val="auto"/>
                      <w:spacing w:val="0"/>
                      <w:kern w:val="2"/>
                      <w:position w:val="0"/>
                      <w:sz w:val="21"/>
                      <w:szCs w:val="21"/>
                      <w:highlight w:val="none"/>
                      <w:vertAlign w:val="baseline"/>
                      <w:lang w:val="en-US" w:eastAsia="zh-CN" w:bidi="ar-SA"/>
                    </w:rPr>
                    <w:t>本项目建成后按照</w:t>
                  </w:r>
                  <w:r>
                    <w:rPr>
                      <w:rFonts w:hint="default" w:ascii="Times New Roman" w:hAnsi="Times New Roman" w:cs="Times New Roman"/>
                      <w:color w:val="auto"/>
                      <w:sz w:val="21"/>
                      <w:szCs w:val="21"/>
                      <w:highlight w:val="none"/>
                      <w:vertAlign w:val="baseline"/>
                      <w:lang w:val="en-US" w:eastAsia="zh-CN"/>
                    </w:rPr>
                    <w:t>《排污许可证申请与核发技术规范 总则》（HJ 942-2018）</w:t>
                  </w:r>
                  <w:r>
                    <w:rPr>
                      <w:rFonts w:hint="eastAsia" w:cs="Times New Roman"/>
                      <w:color w:val="auto"/>
                      <w:sz w:val="21"/>
                      <w:szCs w:val="21"/>
                      <w:highlight w:val="none"/>
                      <w:vertAlign w:val="baseline"/>
                      <w:lang w:val="en-US" w:eastAsia="zh-CN"/>
                    </w:rPr>
                    <w:t>及《排污许可证申请与核发技术规范 铁路、船舶、航空航天和其他运输设备制造业》（HJ1124-2020）、《排污单位自行监测技术指南 涂装》（HJ1086-2020）中规定的自行监测管理要求进行自行监测；中信重工开诚智能装备有限公司不属于重点排污企业，</w:t>
                  </w:r>
                  <w:r>
                    <w:rPr>
                      <w:rFonts w:hint="eastAsia"/>
                      <w:color w:val="auto"/>
                      <w:sz w:val="21"/>
                      <w:highlight w:val="none"/>
                      <w:lang w:val="en-US" w:eastAsia="zh-CN"/>
                    </w:rPr>
                    <w:t>若重点排污单位名录进行调整，将其纳入重点排污单位，按要求进行建设；项目建成后</w:t>
                  </w:r>
                  <w:r>
                    <w:rPr>
                      <w:rFonts w:hint="default" w:ascii="Times New Roman" w:hAnsi="Times New Roman" w:cs="Times New Roman"/>
                      <w:color w:val="auto"/>
                      <w:sz w:val="21"/>
                      <w:szCs w:val="21"/>
                      <w:highlight w:val="none"/>
                      <w:vertAlign w:val="baseline"/>
                      <w:lang w:val="en-US" w:eastAsia="zh-CN"/>
                    </w:rPr>
                    <w:t>安装DCS系统、PLC系统、仪器仪表等装置，记录治理设施主要参数</w:t>
                  </w:r>
                  <w:r>
                    <w:rPr>
                      <w:rFonts w:hint="eastAsia" w:asci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数据保存一年以上</w:t>
                  </w:r>
                </w:p>
              </w:tc>
              <w:tc>
                <w:tcPr>
                  <w:tcW w:w="813" w:type="dxa"/>
                  <w:tcBorders>
                    <w:tl2br w:val="nil"/>
                    <w:tr2bl w:val="nil"/>
                  </w:tcBorders>
                  <w:noWrap w:val="0"/>
                  <w:vAlign w:val="center"/>
                </w:tcPr>
                <w:p w14:paraId="4C35FF10">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45078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28" w:type="dxa"/>
                  <w:vMerge w:val="restart"/>
                  <w:tcBorders>
                    <w:tl2br w:val="nil"/>
                    <w:tr2bl w:val="nil"/>
                  </w:tcBorders>
                  <w:noWrap w:val="0"/>
                  <w:vAlign w:val="center"/>
                </w:tcPr>
                <w:p w14:paraId="6B919C3E">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环境管理水平</w:t>
                  </w:r>
                </w:p>
              </w:tc>
              <w:tc>
                <w:tcPr>
                  <w:tcW w:w="7414" w:type="dxa"/>
                  <w:tcBorders>
                    <w:tl2br w:val="nil"/>
                    <w:tr2bl w:val="nil"/>
                  </w:tcBorders>
                  <w:noWrap w:val="0"/>
                  <w:vAlign w:val="center"/>
                </w:tcPr>
                <w:p w14:paraId="763453F9">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环保档案齐全：1、环评批复文件；2、排污许可证及季度、年度执行报告；3、竣工验收文件；4、废气治理设施运行管理规程；5、一年内废气监测报告</w:t>
                  </w:r>
                </w:p>
              </w:tc>
              <w:tc>
                <w:tcPr>
                  <w:tcW w:w="3984" w:type="dxa"/>
                  <w:vMerge w:val="restart"/>
                  <w:tcBorders>
                    <w:tl2br w:val="nil"/>
                    <w:tr2bl w:val="nil"/>
                  </w:tcBorders>
                  <w:noWrap w:val="0"/>
                  <w:vAlign w:val="center"/>
                </w:tcPr>
                <w:p w14:paraId="6DD0F124">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eastAsia"/>
                      <w:color w:val="auto"/>
                      <w:sz w:val="21"/>
                      <w:highlight w:val="none"/>
                      <w:lang w:val="en-US" w:eastAsia="zh-CN"/>
                    </w:rPr>
                    <w:t>本项目建成后设置环保部门，配备专职环保人员，并具备相应的环境管理能力，按照要求保存环保档案、台账记录</w:t>
                  </w:r>
                </w:p>
              </w:tc>
              <w:tc>
                <w:tcPr>
                  <w:tcW w:w="813" w:type="dxa"/>
                  <w:vMerge w:val="restart"/>
                  <w:tcBorders>
                    <w:tl2br w:val="nil"/>
                    <w:tr2bl w:val="nil"/>
                  </w:tcBorders>
                  <w:noWrap w:val="0"/>
                  <w:vAlign w:val="center"/>
                </w:tcPr>
                <w:p w14:paraId="1309F82B">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74419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828" w:type="dxa"/>
                  <w:vMerge w:val="continue"/>
                  <w:tcBorders>
                    <w:tl2br w:val="nil"/>
                    <w:tr2bl w:val="nil"/>
                  </w:tcBorders>
                  <w:noWrap w:val="0"/>
                  <w:vAlign w:val="center"/>
                </w:tcPr>
                <w:p w14:paraId="6BA76467">
                  <w:pPr>
                    <w:keepNext w:val="0"/>
                    <w:keepLines w:val="0"/>
                    <w:pageBreakBefore w:val="0"/>
                    <w:widowControl/>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cs="Times New Roman"/>
                      <w:color w:val="auto"/>
                      <w:sz w:val="21"/>
                      <w:szCs w:val="21"/>
                      <w:highlight w:val="none"/>
                    </w:rPr>
                  </w:pPr>
                </w:p>
              </w:tc>
              <w:tc>
                <w:tcPr>
                  <w:tcW w:w="7414" w:type="dxa"/>
                  <w:tcBorders>
                    <w:tl2br w:val="nil"/>
                    <w:tr2bl w:val="nil"/>
                  </w:tcBorders>
                  <w:noWrap w:val="0"/>
                  <w:vAlign w:val="center"/>
                </w:tcPr>
                <w:p w14:paraId="5B257B7E">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台账记录：1、生产设施运行管理信息（生产时间、运行负荷、产品产量等，必须具备近一年及以上所用涂料的密度、扣水后VOCs含量、含水率（水性涂料）等信息的检测报告）；2、废气污染治理设施运行管理信息（燃烧室温度、冷凝温度、过滤材料更换频次、吸附剂更换频次、催化剂更换频次）；3、监测记录信息（主要污染排放口废气排放记录（手工监测和在线监测）等）；4、主要原辅材料消耗记录；5、燃料（天然气）消耗记录</w:t>
                  </w:r>
                </w:p>
              </w:tc>
              <w:tc>
                <w:tcPr>
                  <w:tcW w:w="3984" w:type="dxa"/>
                  <w:vMerge w:val="continue"/>
                  <w:tcBorders>
                    <w:tl2br w:val="nil"/>
                    <w:tr2bl w:val="nil"/>
                  </w:tcBorders>
                  <w:noWrap w:val="0"/>
                  <w:vAlign w:val="center"/>
                </w:tcPr>
                <w:p w14:paraId="71E80BD8">
                  <w:pPr>
                    <w:keepNext w:val="0"/>
                    <w:keepLines w:val="0"/>
                    <w:pageBreakBefore w:val="0"/>
                    <w:widowControl/>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p>
              </w:tc>
              <w:tc>
                <w:tcPr>
                  <w:tcW w:w="813" w:type="dxa"/>
                  <w:vMerge w:val="continue"/>
                  <w:tcBorders>
                    <w:tl2br w:val="nil"/>
                    <w:tr2bl w:val="nil"/>
                  </w:tcBorders>
                  <w:noWrap w:val="0"/>
                  <w:vAlign w:val="center"/>
                </w:tcPr>
                <w:p w14:paraId="1C09A6FB">
                  <w:pPr>
                    <w:keepNext w:val="0"/>
                    <w:keepLines w:val="0"/>
                    <w:pageBreakBefore w:val="0"/>
                    <w:widowControl/>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p>
              </w:tc>
            </w:tr>
            <w:tr w14:paraId="452D7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28" w:type="dxa"/>
                  <w:vMerge w:val="continue"/>
                  <w:tcBorders>
                    <w:tl2br w:val="nil"/>
                    <w:tr2bl w:val="nil"/>
                  </w:tcBorders>
                  <w:noWrap w:val="0"/>
                  <w:vAlign w:val="center"/>
                </w:tcPr>
                <w:p w14:paraId="5CCFB086">
                  <w:pPr>
                    <w:keepNext w:val="0"/>
                    <w:keepLines w:val="0"/>
                    <w:pageBreakBefore w:val="0"/>
                    <w:widowControl/>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p>
              </w:tc>
              <w:tc>
                <w:tcPr>
                  <w:tcW w:w="7414" w:type="dxa"/>
                  <w:tcBorders>
                    <w:tl2br w:val="nil"/>
                    <w:tr2bl w:val="nil"/>
                  </w:tcBorders>
                  <w:noWrap w:val="0"/>
                  <w:vAlign w:val="center"/>
                </w:tcPr>
                <w:p w14:paraId="3C625C70">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人员配置：设置环保部门，配备专职环保人员，并具备相应的环境管理能力</w:t>
                  </w:r>
                </w:p>
              </w:tc>
              <w:tc>
                <w:tcPr>
                  <w:tcW w:w="3984" w:type="dxa"/>
                  <w:vMerge w:val="continue"/>
                  <w:tcBorders>
                    <w:tl2br w:val="nil"/>
                    <w:tr2bl w:val="nil"/>
                  </w:tcBorders>
                  <w:noWrap w:val="0"/>
                  <w:vAlign w:val="center"/>
                </w:tcPr>
                <w:p w14:paraId="1F2D8F42">
                  <w:pPr>
                    <w:keepNext w:val="0"/>
                    <w:keepLines w:val="0"/>
                    <w:pageBreakBefore w:val="0"/>
                    <w:widowControl/>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p>
              </w:tc>
              <w:tc>
                <w:tcPr>
                  <w:tcW w:w="813" w:type="dxa"/>
                  <w:vMerge w:val="continue"/>
                  <w:tcBorders>
                    <w:tl2br w:val="nil"/>
                    <w:tr2bl w:val="nil"/>
                  </w:tcBorders>
                  <w:noWrap w:val="0"/>
                  <w:vAlign w:val="center"/>
                </w:tcPr>
                <w:p w14:paraId="67BD77E2">
                  <w:pPr>
                    <w:keepNext w:val="0"/>
                    <w:keepLines w:val="0"/>
                    <w:pageBreakBefore w:val="0"/>
                    <w:widowControl/>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p>
              </w:tc>
            </w:tr>
            <w:tr w14:paraId="5F38A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8" w:type="dxa"/>
                  <w:tcBorders>
                    <w:tl2br w:val="nil"/>
                    <w:tr2bl w:val="nil"/>
                  </w:tcBorders>
                  <w:noWrap w:val="0"/>
                  <w:vAlign w:val="center"/>
                </w:tcPr>
                <w:p w14:paraId="60B497D8">
                  <w:pPr>
                    <w:keepNext w:val="0"/>
                    <w:keepLines w:val="0"/>
                    <w:pageBreakBefore w:val="0"/>
                    <w:widowControl/>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运输方式</w:t>
                  </w:r>
                </w:p>
              </w:tc>
              <w:tc>
                <w:tcPr>
                  <w:tcW w:w="7414" w:type="dxa"/>
                  <w:tcBorders>
                    <w:tl2br w:val="nil"/>
                    <w:tr2bl w:val="nil"/>
                  </w:tcBorders>
                  <w:noWrap w:val="0"/>
                  <w:vAlign w:val="center"/>
                </w:tcPr>
                <w:p w14:paraId="47642CA3">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lef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1、物料公路运输使用达到国五及以上排放标准重型载货车辆（含燃气）或新能源车辆占比不低于80%，其他车辆达到国四排放标准；</w:t>
                  </w:r>
                </w:p>
                <w:p w14:paraId="38EA91ED">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lef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2、厂内运输使用达到国五及以上排放标准车辆（含燃气）或新能源车辆</w:t>
                  </w:r>
                  <w:r>
                    <w:rPr>
                      <w:rFonts w:hint="eastAsia" w:cs="Times New Roman"/>
                      <w:color w:val="auto"/>
                      <w:sz w:val="21"/>
                      <w:szCs w:val="21"/>
                      <w:highlight w:val="none"/>
                      <w:vertAlign w:val="baseline"/>
                      <w:lang w:val="en-US" w:eastAsia="zh-CN"/>
                    </w:rPr>
                    <w:t>比例</w:t>
                  </w:r>
                  <w:r>
                    <w:rPr>
                      <w:rFonts w:hint="default" w:ascii="Times New Roman" w:hAnsi="Times New Roman" w:cs="Times New Roman"/>
                      <w:color w:val="auto"/>
                      <w:sz w:val="21"/>
                      <w:szCs w:val="21"/>
                      <w:highlight w:val="none"/>
                      <w:vertAlign w:val="baseline"/>
                      <w:lang w:val="en-US" w:eastAsia="zh-CN"/>
                    </w:rPr>
                    <w:t>不低于80%，其他车辆达到国四排放标准；</w:t>
                  </w:r>
                </w:p>
                <w:p w14:paraId="4AF43514">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left"/>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3、厂内非道路移动机械使用达到国三及以上排放标准或新能源机械</w:t>
                  </w:r>
                  <w:r>
                    <w:rPr>
                      <w:rFonts w:hint="eastAsia" w:cs="Times New Roman"/>
                      <w:color w:val="auto"/>
                      <w:sz w:val="21"/>
                      <w:szCs w:val="21"/>
                      <w:highlight w:val="none"/>
                      <w:vertAlign w:val="baseline"/>
                      <w:lang w:val="en-US" w:eastAsia="zh-CN"/>
                    </w:rPr>
                    <w:t>比例</w:t>
                  </w:r>
                  <w:r>
                    <w:rPr>
                      <w:rFonts w:hint="default" w:ascii="Times New Roman" w:hAnsi="Times New Roman" w:cs="Times New Roman"/>
                      <w:color w:val="auto"/>
                      <w:sz w:val="21"/>
                      <w:szCs w:val="21"/>
                      <w:highlight w:val="none"/>
                      <w:vertAlign w:val="baseline"/>
                      <w:lang w:val="en-US" w:eastAsia="zh-CN"/>
                    </w:rPr>
                    <w:t>不低于80%</w:t>
                  </w:r>
                  <w:r>
                    <w:rPr>
                      <w:rFonts w:hint="eastAsia" w:cs="Times New Roman"/>
                      <w:color w:val="auto"/>
                      <w:sz w:val="21"/>
                      <w:szCs w:val="21"/>
                      <w:highlight w:val="none"/>
                      <w:vertAlign w:val="baseline"/>
                      <w:lang w:val="en-US" w:eastAsia="zh-CN"/>
                    </w:rPr>
                    <w:t>。</w:t>
                  </w:r>
                </w:p>
              </w:tc>
              <w:tc>
                <w:tcPr>
                  <w:tcW w:w="3984" w:type="dxa"/>
                  <w:tcBorders>
                    <w:tl2br w:val="nil"/>
                    <w:tr2bl w:val="nil"/>
                  </w:tcBorders>
                  <w:noWrap w:val="0"/>
                  <w:vAlign w:val="center"/>
                </w:tcPr>
                <w:p w14:paraId="4C7628F9">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本项目建成后</w:t>
                  </w:r>
                  <w:r>
                    <w:rPr>
                      <w:rFonts w:hint="default" w:ascii="Times New Roman" w:hAnsi="Times New Roman" w:cs="Times New Roman"/>
                      <w:color w:val="auto"/>
                      <w:sz w:val="21"/>
                      <w:szCs w:val="21"/>
                      <w:highlight w:val="none"/>
                      <w:vertAlign w:val="baseline"/>
                      <w:lang w:val="en-US" w:eastAsia="zh-CN"/>
                    </w:rPr>
                    <w:t>物料公路运输使用达到国五及以上排放标准重型载货车辆（含燃气）或新能源车辆占比不低于80%，其他车辆达到国四排放标准</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厂内运输使用达到国五及以上排放标准车辆（含燃气）或新能源车辆</w:t>
                  </w:r>
                  <w:r>
                    <w:rPr>
                      <w:rFonts w:hint="eastAsia" w:cs="Times New Roman"/>
                      <w:color w:val="auto"/>
                      <w:sz w:val="21"/>
                      <w:szCs w:val="21"/>
                      <w:highlight w:val="none"/>
                      <w:vertAlign w:val="baseline"/>
                      <w:lang w:val="en-US" w:eastAsia="zh-CN"/>
                    </w:rPr>
                    <w:t>比例</w:t>
                  </w:r>
                  <w:r>
                    <w:rPr>
                      <w:rFonts w:hint="default" w:ascii="Times New Roman" w:hAnsi="Times New Roman" w:cs="Times New Roman"/>
                      <w:color w:val="auto"/>
                      <w:sz w:val="21"/>
                      <w:szCs w:val="21"/>
                      <w:highlight w:val="none"/>
                      <w:vertAlign w:val="baseline"/>
                      <w:lang w:val="en-US" w:eastAsia="zh-CN"/>
                    </w:rPr>
                    <w:t>不低于80%，其他车辆达到国四排放标准</w:t>
                  </w:r>
                  <w:r>
                    <w:rPr>
                      <w:rFonts w:hint="eastAsia" w:ascii="Times New Roman" w:hAnsi="Times New Roman" w:cs="Times New Roman"/>
                      <w:color w:val="auto"/>
                      <w:sz w:val="21"/>
                      <w:szCs w:val="21"/>
                      <w:highlight w:val="none"/>
                      <w:vertAlign w:val="baseline"/>
                      <w:lang w:val="en-US" w:eastAsia="zh-CN"/>
                    </w:rPr>
                    <w:t>；厂区内非道路移动机械均使用国四及以上排放标准或新能源机械</w:t>
                  </w:r>
                </w:p>
              </w:tc>
              <w:tc>
                <w:tcPr>
                  <w:tcW w:w="813" w:type="dxa"/>
                  <w:tcBorders>
                    <w:tl2br w:val="nil"/>
                    <w:tr2bl w:val="nil"/>
                  </w:tcBorders>
                  <w:noWrap w:val="0"/>
                  <w:vAlign w:val="center"/>
                </w:tcPr>
                <w:p w14:paraId="52C4DB0E">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r w14:paraId="558DF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828" w:type="dxa"/>
                  <w:tcBorders>
                    <w:tl2br w:val="nil"/>
                    <w:tr2bl w:val="nil"/>
                  </w:tcBorders>
                  <w:noWrap w:val="0"/>
                  <w:vAlign w:val="center"/>
                </w:tcPr>
                <w:p w14:paraId="1F708CCF">
                  <w:pPr>
                    <w:keepNext w:val="0"/>
                    <w:keepLines w:val="0"/>
                    <w:pageBreakBefore w:val="0"/>
                    <w:widowControl/>
                    <w:suppressLineNumbers w:val="0"/>
                    <w:kinsoku/>
                    <w:wordWrap/>
                    <w:overflowPunct/>
                    <w:topLinePunct w:val="0"/>
                    <w:autoSpaceDE/>
                    <w:autoSpaceDN/>
                    <w:bidi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运输监管</w:t>
                  </w:r>
                </w:p>
              </w:tc>
              <w:tc>
                <w:tcPr>
                  <w:tcW w:w="7414" w:type="dxa"/>
                  <w:tcBorders>
                    <w:tl2br w:val="nil"/>
                    <w:tr2bl w:val="nil"/>
                  </w:tcBorders>
                  <w:noWrap w:val="0"/>
                  <w:vAlign w:val="center"/>
                </w:tcPr>
                <w:p w14:paraId="21EB0993">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参照《重污染天气重点行业移动源应急管理技术指南》建立门禁系统和电子台账</w:t>
                  </w:r>
                </w:p>
              </w:tc>
              <w:tc>
                <w:tcPr>
                  <w:tcW w:w="3984" w:type="dxa"/>
                  <w:tcBorders>
                    <w:tl2br w:val="nil"/>
                    <w:tr2bl w:val="nil"/>
                  </w:tcBorders>
                  <w:noWrap w:val="0"/>
                  <w:vAlign w:val="center"/>
                </w:tcPr>
                <w:p w14:paraId="084E25B7">
                  <w:pPr>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olor w:val="auto"/>
                      <w:sz w:val="21"/>
                      <w:highlight w:val="none"/>
                      <w:lang w:val="en-US" w:eastAsia="zh-CN"/>
                    </w:rPr>
                    <w:t>本项目建成后参照《重污染天气重点行业移动源应急管理技术指南》要求建立门禁系统和电子台账</w:t>
                  </w:r>
                </w:p>
              </w:tc>
              <w:tc>
                <w:tcPr>
                  <w:tcW w:w="813" w:type="dxa"/>
                  <w:tcBorders>
                    <w:tl2br w:val="nil"/>
                    <w:tr2bl w:val="nil"/>
                  </w:tcBorders>
                  <w:noWrap w:val="0"/>
                  <w:vAlign w:val="center"/>
                </w:tcPr>
                <w:p w14:paraId="142AACD5">
                  <w:pPr>
                    <w:pStyle w:val="6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符合</w:t>
                  </w:r>
                </w:p>
              </w:tc>
            </w:tr>
          </w:tbl>
          <w:p w14:paraId="1D082F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jc w:val="lef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6、</w:t>
            </w:r>
            <w:r>
              <w:rPr>
                <w:rFonts w:hint="eastAsia"/>
                <w:b/>
                <w:bCs/>
                <w:color w:val="auto"/>
                <w:sz w:val="24"/>
                <w:szCs w:val="24"/>
                <w:highlight w:val="none"/>
              </w:rPr>
              <w:t>与</w:t>
            </w:r>
            <w:r>
              <w:rPr>
                <w:rFonts w:hint="eastAsia"/>
                <w:b/>
                <w:bCs/>
                <w:color w:val="auto"/>
                <w:sz w:val="24"/>
                <w:szCs w:val="24"/>
                <w:highlight w:val="none"/>
                <w:lang w:val="en-US" w:eastAsia="zh-CN"/>
              </w:rPr>
              <w:t>相关</w:t>
            </w:r>
            <w:r>
              <w:rPr>
                <w:rFonts w:hint="default"/>
                <w:b/>
                <w:bCs/>
                <w:color w:val="auto"/>
                <w:sz w:val="24"/>
                <w:szCs w:val="24"/>
                <w:highlight w:val="none"/>
              </w:rPr>
              <w:t>VOC</w:t>
            </w:r>
            <w:r>
              <w:rPr>
                <w:rFonts w:hint="eastAsia"/>
                <w:b/>
                <w:bCs/>
                <w:color w:val="auto"/>
                <w:sz w:val="24"/>
                <w:szCs w:val="24"/>
                <w:highlight w:val="none"/>
                <w:lang w:val="en-US" w:eastAsia="zh-CN"/>
              </w:rPr>
              <w:t>s</w:t>
            </w:r>
            <w:r>
              <w:rPr>
                <w:rFonts w:hint="eastAsia"/>
                <w:b/>
                <w:bCs/>
                <w:color w:val="auto"/>
                <w:sz w:val="24"/>
                <w:szCs w:val="24"/>
                <w:highlight w:val="none"/>
              </w:rPr>
              <w:t>政策的符合性</w:t>
            </w:r>
            <w:r>
              <w:rPr>
                <w:rFonts w:hint="eastAsia"/>
                <w:b/>
                <w:bCs/>
                <w:color w:val="auto"/>
                <w:sz w:val="24"/>
                <w:szCs w:val="24"/>
                <w:highlight w:val="none"/>
                <w:lang w:val="en-US" w:eastAsia="zh-CN"/>
              </w:rPr>
              <w:t>分析</w:t>
            </w:r>
          </w:p>
          <w:p w14:paraId="2D82260C">
            <w:pPr>
              <w:bidi w:val="0"/>
              <w:rPr>
                <w:rFonts w:hint="eastAsia"/>
                <w:color w:val="auto"/>
                <w:highlight w:val="none"/>
                <w:lang w:val="en-US" w:eastAsia="zh-CN"/>
              </w:rPr>
            </w:pPr>
            <w:r>
              <w:rPr>
                <w:rFonts w:hint="eastAsia"/>
                <w:color w:val="auto"/>
                <w:highlight w:val="none"/>
                <w:lang w:val="en-US" w:eastAsia="zh-CN"/>
              </w:rPr>
              <w:t>本项目与相关VOCs政策符合性分析见下表。</w:t>
            </w:r>
          </w:p>
          <w:p w14:paraId="64336373">
            <w:pPr>
              <w:pStyle w:val="33"/>
              <w:bidi w:val="0"/>
              <w:rPr>
                <w:rFonts w:hint="default"/>
                <w:color w:val="auto"/>
                <w:highlight w:val="none"/>
                <w:lang w:val="zh-CN"/>
              </w:rPr>
            </w:pPr>
            <w:r>
              <w:rPr>
                <w:rFonts w:hint="default"/>
                <w:color w:val="auto"/>
                <w:sz w:val="21"/>
                <w:szCs w:val="21"/>
                <w:highlight w:val="none"/>
                <w:lang w:val="zh-CN"/>
              </w:rPr>
              <w:t>表</w:t>
            </w:r>
            <w:r>
              <w:rPr>
                <w:rFonts w:hint="eastAsia"/>
                <w:color w:val="auto"/>
                <w:sz w:val="21"/>
                <w:szCs w:val="21"/>
                <w:highlight w:val="none"/>
                <w:lang w:val="en-US" w:eastAsia="zh-CN"/>
              </w:rPr>
              <w:t xml:space="preserve">3  </w:t>
            </w:r>
            <w:r>
              <w:rPr>
                <w:rFonts w:hint="eastAsia"/>
                <w:color w:val="auto"/>
                <w:sz w:val="21"/>
                <w:szCs w:val="21"/>
                <w:highlight w:val="none"/>
              </w:rPr>
              <w:t>项目与</w:t>
            </w:r>
            <w:r>
              <w:rPr>
                <w:rFonts w:hint="default"/>
                <w:color w:val="auto"/>
                <w:sz w:val="21"/>
                <w:szCs w:val="21"/>
                <w:highlight w:val="none"/>
              </w:rPr>
              <w:t>VOC</w:t>
            </w:r>
            <w:r>
              <w:rPr>
                <w:rFonts w:hint="eastAsia"/>
                <w:color w:val="auto"/>
                <w:sz w:val="21"/>
                <w:szCs w:val="21"/>
                <w:highlight w:val="none"/>
                <w:lang w:val="en-US" w:eastAsia="zh-CN"/>
              </w:rPr>
              <w:t>s</w:t>
            </w:r>
            <w:r>
              <w:rPr>
                <w:rFonts w:hint="eastAsia"/>
                <w:color w:val="auto"/>
                <w:sz w:val="21"/>
                <w:szCs w:val="21"/>
                <w:highlight w:val="none"/>
              </w:rPr>
              <w:t>政策符合性分析一览表</w:t>
            </w:r>
          </w:p>
          <w:tbl>
            <w:tblPr>
              <w:tblStyle w:val="24"/>
              <w:tblW w:w="130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559"/>
              <w:gridCol w:w="1684"/>
              <w:gridCol w:w="6225"/>
              <w:gridCol w:w="3675"/>
              <w:gridCol w:w="896"/>
            </w:tblGrid>
            <w:tr w14:paraId="348DB0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594" w:hRule="atLeast"/>
                <w:jc w:val="center"/>
              </w:trPr>
              <w:tc>
                <w:tcPr>
                  <w:tcW w:w="559" w:type="dxa"/>
                  <w:noWrap w:val="0"/>
                  <w:vAlign w:val="center"/>
                </w:tcPr>
                <w:p w14:paraId="33D2F2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eastAsia="宋体"/>
                      <w:color w:val="auto"/>
                      <w:sz w:val="21"/>
                      <w:szCs w:val="21"/>
                      <w:highlight w:val="none"/>
                    </w:rPr>
                    <w:t>序号</w:t>
                  </w:r>
                </w:p>
              </w:tc>
              <w:tc>
                <w:tcPr>
                  <w:tcW w:w="7909" w:type="dxa"/>
                  <w:gridSpan w:val="2"/>
                  <w:noWrap w:val="0"/>
                  <w:vAlign w:val="center"/>
                </w:tcPr>
                <w:p w14:paraId="79ED3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VOCs政策要求</w:t>
                  </w:r>
                </w:p>
              </w:tc>
              <w:tc>
                <w:tcPr>
                  <w:tcW w:w="3675" w:type="dxa"/>
                  <w:noWrap w:val="0"/>
                  <w:vAlign w:val="center"/>
                </w:tcPr>
                <w:p w14:paraId="669E6F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本项目建设情况</w:t>
                  </w:r>
                </w:p>
              </w:tc>
              <w:tc>
                <w:tcPr>
                  <w:tcW w:w="896" w:type="dxa"/>
                  <w:noWrap w:val="0"/>
                  <w:vAlign w:val="center"/>
                </w:tcPr>
                <w:p w14:paraId="2493F5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hint="eastAsia"/>
                      <w:color w:val="auto"/>
                      <w:sz w:val="21"/>
                      <w:szCs w:val="21"/>
                      <w:highlight w:val="none"/>
                      <w:lang w:val="en-US" w:eastAsia="zh-CN"/>
                    </w:rPr>
                    <w:t>本项目</w:t>
                  </w:r>
                  <w:r>
                    <w:rPr>
                      <w:rFonts w:eastAsia="宋体"/>
                      <w:color w:val="auto"/>
                      <w:sz w:val="21"/>
                      <w:szCs w:val="21"/>
                      <w:highlight w:val="none"/>
                    </w:rPr>
                    <w:t>符合性</w:t>
                  </w:r>
                </w:p>
              </w:tc>
            </w:tr>
            <w:tr w14:paraId="1195C4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cantSplit/>
                <w:trHeight w:val="1297" w:hRule="atLeast"/>
                <w:jc w:val="center"/>
              </w:trPr>
              <w:tc>
                <w:tcPr>
                  <w:tcW w:w="559" w:type="dxa"/>
                  <w:vMerge w:val="restart"/>
                  <w:noWrap w:val="0"/>
                  <w:vAlign w:val="center"/>
                </w:tcPr>
                <w:p w14:paraId="2C2B3BC8">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eastAsia="宋体"/>
                      <w:color w:val="auto"/>
                      <w:sz w:val="21"/>
                      <w:szCs w:val="21"/>
                      <w:highlight w:val="none"/>
                    </w:rPr>
                  </w:pPr>
                </w:p>
              </w:tc>
              <w:tc>
                <w:tcPr>
                  <w:tcW w:w="1684" w:type="dxa"/>
                  <w:vMerge w:val="restart"/>
                  <w:noWrap w:val="0"/>
                  <w:vAlign w:val="center"/>
                </w:tcPr>
                <w:p w14:paraId="62F37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hint="eastAsia" w:ascii="Calibri" w:hAnsi="Calibri" w:eastAsia="宋体"/>
                      <w:color w:val="auto"/>
                      <w:sz w:val="21"/>
                      <w:szCs w:val="21"/>
                      <w:highlight w:val="none"/>
                    </w:rPr>
                    <w:t>“十三五”挥发性有机物污染防治工作方案</w:t>
                  </w:r>
                </w:p>
              </w:tc>
              <w:tc>
                <w:tcPr>
                  <w:tcW w:w="6225" w:type="dxa"/>
                  <w:noWrap w:val="0"/>
                  <w:vAlign w:val="center"/>
                </w:tcPr>
                <w:p w14:paraId="21B84F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sz w:val="21"/>
                      <w:szCs w:val="21"/>
                      <w:highlight w:val="none"/>
                    </w:rPr>
                  </w:pPr>
                  <w:r>
                    <w:rPr>
                      <w:rFonts w:hint="eastAsia" w:eastAsia="宋体"/>
                      <w:color w:val="auto"/>
                      <w:sz w:val="21"/>
                      <w:szCs w:val="21"/>
                      <w:highlight w:val="none"/>
                    </w:rPr>
                    <w:t>重点地区要严格限制石化、化工、包装印刷、工业涂装等高VOCs排放建设项目。新建涉VOC</w:t>
                  </w:r>
                  <w:r>
                    <w:rPr>
                      <w:rFonts w:hint="eastAsia" w:eastAsia="宋体"/>
                      <w:color w:val="auto"/>
                      <w:sz w:val="21"/>
                      <w:szCs w:val="21"/>
                      <w:highlight w:val="none"/>
                      <w:lang w:val="en-US" w:eastAsia="zh-CN"/>
                    </w:rPr>
                    <w:t>s</w:t>
                  </w:r>
                  <w:r>
                    <w:rPr>
                      <w:rFonts w:hint="eastAsia" w:eastAsia="宋体"/>
                      <w:color w:val="auto"/>
                      <w:sz w:val="21"/>
                      <w:szCs w:val="21"/>
                      <w:highlight w:val="none"/>
                    </w:rPr>
                    <w:t>排放的工业企业要入园区。</w:t>
                  </w:r>
                </w:p>
              </w:tc>
              <w:tc>
                <w:tcPr>
                  <w:tcW w:w="3675" w:type="dxa"/>
                  <w:noWrap w:val="0"/>
                  <w:vAlign w:val="center"/>
                </w:tcPr>
                <w:p w14:paraId="2A8BF2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s="Times New Roman"/>
                      <w:color w:val="auto"/>
                      <w:sz w:val="21"/>
                      <w:szCs w:val="21"/>
                      <w:highlight w:val="none"/>
                      <w:lang w:val="en-US" w:eastAsia="zh-CN"/>
                    </w:rPr>
                    <w:t>本项目位于河北省唐山市高新技术产业开发区学院北路1686号，中信重工开诚智能装备有限公司院内，属于唐山高新技术产业开发区，在园区内。</w:t>
                  </w:r>
                </w:p>
              </w:tc>
              <w:tc>
                <w:tcPr>
                  <w:tcW w:w="896" w:type="dxa"/>
                  <w:noWrap w:val="0"/>
                  <w:vAlign w:val="center"/>
                </w:tcPr>
                <w:p w14:paraId="4D08A0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4512A6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continue"/>
                  <w:noWrap w:val="0"/>
                  <w:vAlign w:val="center"/>
                </w:tcPr>
                <w:p w14:paraId="3D9F4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rPr>
                  </w:pPr>
                </w:p>
              </w:tc>
              <w:tc>
                <w:tcPr>
                  <w:tcW w:w="1684" w:type="dxa"/>
                  <w:vMerge w:val="continue"/>
                  <w:noWrap w:val="0"/>
                  <w:vAlign w:val="center"/>
                </w:tcPr>
                <w:p w14:paraId="3EB5E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rPr>
                  </w:pPr>
                </w:p>
              </w:tc>
              <w:tc>
                <w:tcPr>
                  <w:tcW w:w="6225" w:type="dxa"/>
                  <w:noWrap w:val="0"/>
                  <w:vAlign w:val="center"/>
                </w:tcPr>
                <w:p w14:paraId="3659A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eastAsia="宋体"/>
                      <w:color w:val="auto"/>
                      <w:sz w:val="21"/>
                      <w:szCs w:val="21"/>
                      <w:highlight w:val="none"/>
                      <w:lang w:val="en-US" w:eastAsia="zh-CN"/>
                    </w:rPr>
                    <w:t>新、改、扩建涉 VOCs 排放项目，应从源头加强控制，使用低（无）VOCs 含量的原辅材料，加强废气收集，安装高效治理设施。</w:t>
                  </w:r>
                </w:p>
                <w:p w14:paraId="288F7A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p>
              </w:tc>
              <w:tc>
                <w:tcPr>
                  <w:tcW w:w="3675" w:type="dxa"/>
                  <w:noWrap w:val="0"/>
                  <w:vAlign w:val="center"/>
                </w:tcPr>
                <w:p w14:paraId="21BD8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w:t>
                  </w:r>
                  <w:r>
                    <w:rPr>
                      <w:rFonts w:hint="eastAsia" w:cs="Times New Roman"/>
                      <w:b w:val="0"/>
                      <w:bCs w:val="0"/>
                      <w:caps w:val="0"/>
                      <w:smallCaps w:val="0"/>
                      <w:color w:val="auto"/>
                      <w:spacing w:val="0"/>
                      <w:kern w:val="2"/>
                      <w:position w:val="0"/>
                      <w:sz w:val="21"/>
                      <w:szCs w:val="21"/>
                      <w:highlight w:val="none"/>
                      <w:vertAlign w:val="baseline"/>
                      <w:lang w:val="en-US" w:eastAsia="zh-CN" w:bidi="ar-SA"/>
                    </w:rPr>
                    <w:t>调漆、喷漆、刮腻子、腻子打磨、除油</w:t>
                  </w:r>
                  <w:r>
                    <w:rPr>
                      <w:rFonts w:hint="eastAsia" w:cs="Times New Roman"/>
                      <w:color w:val="auto"/>
                      <w:sz w:val="21"/>
                      <w:szCs w:val="21"/>
                      <w:highlight w:val="none"/>
                      <w:lang w:val="en-US" w:eastAsia="zh-CN"/>
                    </w:rPr>
                    <w:t>过程产生的废气经干式喷漆柜（纸盒）去除大部分颗粒物后，与烘干/晾干、漆料和危废储存过程产生的废气一起进入1套过滤棉箱过滤+沸石转轮+催化燃烧装置进行处理，处理后通过排气筒达标排放。</w:t>
                  </w:r>
                </w:p>
              </w:tc>
              <w:tc>
                <w:tcPr>
                  <w:tcW w:w="896" w:type="dxa"/>
                  <w:noWrap w:val="0"/>
                  <w:vAlign w:val="center"/>
                </w:tcPr>
                <w:p w14:paraId="4157D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614AFF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60" w:hRule="atLeast"/>
                <w:jc w:val="center"/>
              </w:trPr>
              <w:tc>
                <w:tcPr>
                  <w:tcW w:w="559" w:type="dxa"/>
                  <w:noWrap w:val="0"/>
                  <w:vAlign w:val="center"/>
                </w:tcPr>
                <w:p w14:paraId="52A4E666">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eastAsia="zh-CN" w:bidi="ar"/>
                    </w:rPr>
                  </w:pPr>
                </w:p>
              </w:tc>
              <w:tc>
                <w:tcPr>
                  <w:tcW w:w="1684" w:type="dxa"/>
                  <w:noWrap w:val="0"/>
                  <w:vAlign w:val="center"/>
                </w:tcPr>
                <w:p w14:paraId="3FCA0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hint="default" w:eastAsia="宋体"/>
                      <w:color w:val="auto"/>
                      <w:sz w:val="21"/>
                      <w:szCs w:val="21"/>
                      <w:highlight w:val="none"/>
                    </w:rPr>
                    <w:t>关于印发《2020年挥发性有机物治理攻坚方案》的通知（环大气</w:t>
                  </w:r>
                  <w:r>
                    <w:rPr>
                      <w:rFonts w:hint="eastAsia"/>
                      <w:color w:val="auto"/>
                      <w:sz w:val="21"/>
                      <w:szCs w:val="21"/>
                      <w:highlight w:val="none"/>
                      <w:lang w:val="en-US" w:eastAsia="zh-CN"/>
                    </w:rPr>
                    <w:t>[</w:t>
                  </w:r>
                  <w:r>
                    <w:rPr>
                      <w:rFonts w:hint="default" w:eastAsia="宋体"/>
                      <w:color w:val="auto"/>
                      <w:sz w:val="21"/>
                      <w:szCs w:val="21"/>
                      <w:highlight w:val="none"/>
                    </w:rPr>
                    <w:t>2020</w:t>
                  </w:r>
                  <w:r>
                    <w:rPr>
                      <w:rFonts w:hint="eastAsia"/>
                      <w:color w:val="auto"/>
                      <w:sz w:val="21"/>
                      <w:szCs w:val="21"/>
                      <w:highlight w:val="none"/>
                      <w:lang w:val="en-US" w:eastAsia="zh-CN"/>
                    </w:rPr>
                    <w:t>]</w:t>
                  </w:r>
                  <w:r>
                    <w:rPr>
                      <w:rFonts w:hint="default" w:eastAsia="宋体"/>
                      <w:color w:val="auto"/>
                      <w:sz w:val="21"/>
                      <w:szCs w:val="21"/>
                      <w:highlight w:val="none"/>
                    </w:rPr>
                    <w:t>33号）</w:t>
                  </w:r>
                </w:p>
              </w:tc>
              <w:tc>
                <w:tcPr>
                  <w:tcW w:w="6225" w:type="dxa"/>
                  <w:noWrap w:val="0"/>
                  <w:vAlign w:val="center"/>
                </w:tcPr>
                <w:p w14:paraId="596CF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eastAsia="zh-CN"/>
                    </w:rPr>
                  </w:pPr>
                  <w:r>
                    <w:rPr>
                      <w:rFonts w:hint="default" w:eastAsia="宋体"/>
                      <w:color w:val="auto"/>
                      <w:sz w:val="21"/>
                      <w:szCs w:val="21"/>
                      <w:highlight w:val="none"/>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w:t>
                  </w:r>
                  <w:r>
                    <w:rPr>
                      <w:rFonts w:hint="eastAsia"/>
                      <w:color w:val="auto"/>
                      <w:sz w:val="21"/>
                      <w:szCs w:val="21"/>
                      <w:highlight w:val="none"/>
                      <w:lang w:eastAsia="zh-CN"/>
                    </w:rPr>
                    <w:t>。</w:t>
                  </w:r>
                </w:p>
              </w:tc>
              <w:tc>
                <w:tcPr>
                  <w:tcW w:w="3675" w:type="dxa"/>
                  <w:noWrap w:val="0"/>
                  <w:vAlign w:val="center"/>
                </w:tcPr>
                <w:p w14:paraId="790A5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调漆、喷漆、刮腻子、腻子打磨、除油过程产生的废气经干式喷漆柜（纸盒）去除大部分颗粒物后，与烘干/晾干、漆料和危废储存过程产生的废气一起进入1套过滤棉箱过滤+沸石转轮+催化燃烧装置进行处理，处理后通过排气筒达标排放。</w:t>
                  </w:r>
                </w:p>
              </w:tc>
              <w:tc>
                <w:tcPr>
                  <w:tcW w:w="896" w:type="dxa"/>
                  <w:noWrap w:val="0"/>
                  <w:vAlign w:val="center"/>
                </w:tcPr>
                <w:p w14:paraId="52FBF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eastAsia="宋体"/>
                      <w:color w:val="auto"/>
                      <w:sz w:val="21"/>
                      <w:szCs w:val="21"/>
                      <w:highlight w:val="none"/>
                    </w:rPr>
                  </w:pPr>
                  <w:r>
                    <w:rPr>
                      <w:rFonts w:hint="eastAsia"/>
                      <w:color w:val="auto"/>
                      <w:sz w:val="21"/>
                      <w:szCs w:val="21"/>
                      <w:highlight w:val="none"/>
                      <w:lang w:val="en-US" w:eastAsia="zh-CN"/>
                    </w:rPr>
                    <w:t>符合</w:t>
                  </w:r>
                </w:p>
              </w:tc>
            </w:tr>
            <w:tr w14:paraId="48DA86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1990" w:hRule="atLeast"/>
                <w:jc w:val="center"/>
              </w:trPr>
              <w:tc>
                <w:tcPr>
                  <w:tcW w:w="559" w:type="dxa"/>
                  <w:vMerge w:val="restart"/>
                  <w:noWrap w:val="0"/>
                  <w:vAlign w:val="center"/>
                </w:tcPr>
                <w:p w14:paraId="2206C425">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1684" w:type="dxa"/>
                  <w:vMerge w:val="restart"/>
                  <w:noWrap w:val="0"/>
                  <w:vAlign w:val="center"/>
                </w:tcPr>
                <w:p w14:paraId="3305F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color w:val="auto"/>
                      <w:kern w:val="0"/>
                      <w:sz w:val="21"/>
                      <w:szCs w:val="21"/>
                      <w:highlight w:val="none"/>
                      <w:lang w:bidi="ar"/>
                    </w:rPr>
                    <w:t>关于印发《重点行业挥发性有机物综合治理方案》的通知（环大气</w:t>
                  </w:r>
                  <w:r>
                    <w:rPr>
                      <w:rFonts w:hint="eastAsia"/>
                      <w:color w:val="auto"/>
                      <w:kern w:val="0"/>
                      <w:sz w:val="21"/>
                      <w:szCs w:val="21"/>
                      <w:highlight w:val="none"/>
                      <w:lang w:val="en-US" w:eastAsia="zh-CN" w:bidi="ar"/>
                    </w:rPr>
                    <w:t>[</w:t>
                  </w:r>
                  <w:r>
                    <w:rPr>
                      <w:rFonts w:hint="default"/>
                      <w:color w:val="auto"/>
                      <w:kern w:val="0"/>
                      <w:sz w:val="21"/>
                      <w:szCs w:val="21"/>
                      <w:highlight w:val="none"/>
                      <w:lang w:bidi="ar"/>
                    </w:rPr>
                    <w:t>2019</w:t>
                  </w:r>
                  <w:r>
                    <w:rPr>
                      <w:rFonts w:hint="eastAsia"/>
                      <w:color w:val="auto"/>
                      <w:kern w:val="0"/>
                      <w:sz w:val="21"/>
                      <w:szCs w:val="21"/>
                      <w:highlight w:val="none"/>
                      <w:lang w:val="en-US" w:eastAsia="zh-CN" w:bidi="ar"/>
                    </w:rPr>
                    <w:t>]</w:t>
                  </w:r>
                  <w:r>
                    <w:rPr>
                      <w:rFonts w:hint="default"/>
                      <w:color w:val="auto"/>
                      <w:kern w:val="0"/>
                      <w:sz w:val="21"/>
                      <w:szCs w:val="21"/>
                      <w:highlight w:val="none"/>
                      <w:lang w:bidi="ar"/>
                    </w:rPr>
                    <w:t>53号）</w:t>
                  </w:r>
                </w:p>
              </w:tc>
              <w:tc>
                <w:tcPr>
                  <w:tcW w:w="6225" w:type="dxa"/>
                  <w:noWrap w:val="0"/>
                  <w:vAlign w:val="center"/>
                </w:tcPr>
                <w:p w14:paraId="424E83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宋体"/>
                      <w:color w:val="auto"/>
                      <w:kern w:val="0"/>
                      <w:sz w:val="21"/>
                      <w:szCs w:val="21"/>
                      <w:highlight w:val="none"/>
                      <w:lang w:eastAsia="zh-CN" w:bidi="ar"/>
                    </w:rPr>
                  </w:pPr>
                  <w:r>
                    <w:rPr>
                      <w:rFonts w:hint="default"/>
                      <w:color w:val="auto"/>
                      <w:kern w:val="0"/>
                      <w:sz w:val="21"/>
                      <w:szCs w:val="21"/>
                      <w:highlight w:val="none"/>
                      <w:lang w:bidi="ar"/>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w:t>
                  </w:r>
                  <w:r>
                    <w:rPr>
                      <w:rFonts w:hint="eastAsia"/>
                      <w:color w:val="auto"/>
                      <w:kern w:val="0"/>
                      <w:sz w:val="21"/>
                      <w:szCs w:val="21"/>
                      <w:highlight w:val="none"/>
                      <w:lang w:eastAsia="zh-CN" w:bidi="ar"/>
                    </w:rPr>
                    <w:t>。</w:t>
                  </w:r>
                </w:p>
              </w:tc>
              <w:tc>
                <w:tcPr>
                  <w:tcW w:w="3675" w:type="dxa"/>
                  <w:noWrap w:val="0"/>
                  <w:vAlign w:val="center"/>
                </w:tcPr>
                <w:p w14:paraId="7BBAB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w:t>
                  </w:r>
                </w:p>
              </w:tc>
              <w:tc>
                <w:tcPr>
                  <w:tcW w:w="896" w:type="dxa"/>
                  <w:noWrap w:val="0"/>
                  <w:vAlign w:val="center"/>
                </w:tcPr>
                <w:p w14:paraId="788E8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309857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continue"/>
                  <w:noWrap w:val="0"/>
                  <w:vAlign w:val="center"/>
                </w:tcPr>
                <w:p w14:paraId="27D373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1684" w:type="dxa"/>
                  <w:vMerge w:val="continue"/>
                  <w:noWrap w:val="0"/>
                  <w:vAlign w:val="center"/>
                </w:tcPr>
                <w:p w14:paraId="2C92D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6225" w:type="dxa"/>
                  <w:noWrap w:val="0"/>
                  <w:vAlign w:val="center"/>
                </w:tcPr>
                <w:p w14:paraId="630F9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color w:val="auto"/>
                      <w:kern w:val="0"/>
                      <w:sz w:val="21"/>
                      <w:szCs w:val="21"/>
                      <w:highlight w:val="none"/>
                      <w:lang w:bidi="ar"/>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3675" w:type="dxa"/>
                  <w:noWrap w:val="0"/>
                  <w:vAlign w:val="center"/>
                </w:tcPr>
                <w:p w14:paraId="7A6A01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w:t>
                  </w:r>
                  <w:r>
                    <w:rPr>
                      <w:rFonts w:hint="eastAsia" w:cs="Times New Roman"/>
                      <w:b w:val="0"/>
                      <w:bCs w:val="0"/>
                      <w:caps w:val="0"/>
                      <w:smallCaps w:val="0"/>
                      <w:color w:val="auto"/>
                      <w:spacing w:val="0"/>
                      <w:kern w:val="2"/>
                      <w:position w:val="0"/>
                      <w:sz w:val="21"/>
                      <w:szCs w:val="21"/>
                      <w:highlight w:val="none"/>
                      <w:vertAlign w:val="baseline"/>
                      <w:lang w:val="en-US" w:eastAsia="zh-CN" w:bidi="ar-SA"/>
                    </w:rPr>
                    <w:t>。调漆、喷漆、刮腻子、腻子打磨、除油</w:t>
                  </w:r>
                  <w:r>
                    <w:rPr>
                      <w:rFonts w:hint="eastAsia" w:cs="Times New Roman"/>
                      <w:color w:val="auto"/>
                      <w:sz w:val="21"/>
                      <w:szCs w:val="21"/>
                      <w:highlight w:val="none"/>
                      <w:lang w:val="en-US" w:eastAsia="zh-CN"/>
                    </w:rPr>
                    <w:t>过程产生的废气经干式喷漆柜（纸盒）去除大部分颗粒物后，与烘干/晾干、漆料和危废储存过程产生的废气一起进入1套过滤棉箱过滤+沸石转轮+催化燃烧装置进行处理，处理后通过排气筒达标排放。</w:t>
                  </w:r>
                </w:p>
              </w:tc>
              <w:tc>
                <w:tcPr>
                  <w:tcW w:w="896" w:type="dxa"/>
                  <w:noWrap w:val="0"/>
                  <w:vAlign w:val="center"/>
                </w:tcPr>
                <w:p w14:paraId="1BA41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3F515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672" w:hRule="atLeast"/>
                <w:jc w:val="center"/>
              </w:trPr>
              <w:tc>
                <w:tcPr>
                  <w:tcW w:w="559" w:type="dxa"/>
                  <w:vMerge w:val="continue"/>
                  <w:noWrap w:val="0"/>
                  <w:vAlign w:val="center"/>
                </w:tcPr>
                <w:p w14:paraId="07A48F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1684" w:type="dxa"/>
                  <w:vMerge w:val="continue"/>
                  <w:noWrap w:val="0"/>
                  <w:vAlign w:val="center"/>
                </w:tcPr>
                <w:p w14:paraId="33E66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6225" w:type="dxa"/>
                  <w:noWrap w:val="0"/>
                  <w:vAlign w:val="center"/>
                </w:tcPr>
                <w:p w14:paraId="1E75D2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宋体"/>
                      <w:color w:val="auto"/>
                      <w:kern w:val="0"/>
                      <w:sz w:val="21"/>
                      <w:szCs w:val="21"/>
                      <w:highlight w:val="none"/>
                      <w:lang w:eastAsia="zh-CN" w:bidi="ar"/>
                    </w:rPr>
                  </w:pPr>
                  <w:r>
                    <w:rPr>
                      <w:rFonts w:hint="default"/>
                      <w:color w:val="auto"/>
                      <w:kern w:val="0"/>
                      <w:sz w:val="21"/>
                      <w:szCs w:val="21"/>
                      <w:highlight w:val="none"/>
                      <w:lang w:bidi="ar"/>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color w:val="auto"/>
                      <w:kern w:val="0"/>
                      <w:sz w:val="21"/>
                      <w:szCs w:val="21"/>
                      <w:highlight w:val="none"/>
                      <w:lang w:eastAsia="zh-CN" w:bidi="ar"/>
                    </w:rPr>
                    <w:t>。</w:t>
                  </w:r>
                </w:p>
              </w:tc>
              <w:tc>
                <w:tcPr>
                  <w:tcW w:w="3675" w:type="dxa"/>
                  <w:vMerge w:val="restart"/>
                  <w:noWrap w:val="0"/>
                  <w:vAlign w:val="center"/>
                </w:tcPr>
                <w:p w14:paraId="2833A63D">
                  <w:pPr>
                    <w:pStyle w:val="31"/>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本项目所用漆料密闭桶装储存于油漆库，密闭桶装转运。</w:t>
                  </w:r>
                  <w:r>
                    <w:rPr>
                      <w:rFonts w:hint="eastAsia" w:cs="Times New Roman"/>
                      <w:b w:val="0"/>
                      <w:bCs w:val="0"/>
                      <w:caps w:val="0"/>
                      <w:smallCaps w:val="0"/>
                      <w:color w:val="auto"/>
                      <w:spacing w:val="0"/>
                      <w:kern w:val="2"/>
                      <w:position w:val="0"/>
                      <w:sz w:val="21"/>
                      <w:szCs w:val="21"/>
                      <w:highlight w:val="none"/>
                      <w:vertAlign w:val="baseline"/>
                      <w:lang w:val="en-US" w:eastAsia="zh-CN" w:bidi="ar-SA"/>
                    </w:rPr>
                    <w:t>调漆、喷漆、刮腻子、腻子打磨、除油</w:t>
                  </w:r>
                  <w:r>
                    <w:rPr>
                      <w:rFonts w:hint="eastAsia"/>
                      <w:color w:val="auto"/>
                      <w:sz w:val="21"/>
                      <w:szCs w:val="21"/>
                      <w:highlight w:val="none"/>
                      <w:lang w:val="en-US" w:eastAsia="zh-CN"/>
                    </w:rPr>
                    <w:t>过程在密闭喷漆房内进行，烘干/晾干过程在密闭烘干房内进行，</w:t>
                  </w:r>
                  <w:r>
                    <w:rPr>
                      <w:rFonts w:hint="eastAsia"/>
                      <w:color w:val="auto"/>
                      <w:lang w:val="en-US" w:eastAsia="zh-CN"/>
                    </w:rPr>
                    <w:t>调漆、喷漆、烘干/晾干、刮腻子、腻子打磨、除油、漆料及危废储存</w:t>
                  </w:r>
                  <w:r>
                    <w:rPr>
                      <w:rFonts w:hint="eastAsia"/>
                      <w:color w:val="auto"/>
                      <w:sz w:val="21"/>
                      <w:szCs w:val="21"/>
                      <w:highlight w:val="none"/>
                      <w:lang w:val="en-US" w:eastAsia="zh-CN"/>
                    </w:rPr>
                    <w:t>过程产生的废气采用风机引入废气处理设施进行处理。</w:t>
                  </w:r>
                </w:p>
              </w:tc>
              <w:tc>
                <w:tcPr>
                  <w:tcW w:w="896" w:type="dxa"/>
                  <w:noWrap w:val="0"/>
                  <w:vAlign w:val="center"/>
                </w:tcPr>
                <w:p w14:paraId="31A72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3645E5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cantSplit/>
                <w:trHeight w:val="2240" w:hRule="atLeast"/>
                <w:jc w:val="center"/>
              </w:trPr>
              <w:tc>
                <w:tcPr>
                  <w:tcW w:w="559" w:type="dxa"/>
                  <w:vMerge w:val="continue"/>
                  <w:noWrap w:val="0"/>
                  <w:vAlign w:val="center"/>
                </w:tcPr>
                <w:p w14:paraId="548817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1684" w:type="dxa"/>
                  <w:vMerge w:val="continue"/>
                  <w:noWrap w:val="0"/>
                  <w:vAlign w:val="center"/>
                </w:tcPr>
                <w:p w14:paraId="7DE2A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6225" w:type="dxa"/>
                  <w:noWrap w:val="0"/>
                  <w:vAlign w:val="center"/>
                </w:tcPr>
                <w:p w14:paraId="51703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auto"/>
                      <w:kern w:val="0"/>
                      <w:sz w:val="21"/>
                      <w:szCs w:val="21"/>
                      <w:highlight w:val="none"/>
                      <w:lang w:bidi="ar"/>
                    </w:rPr>
                  </w:pPr>
                  <w:r>
                    <w:rPr>
                      <w:rFonts w:hint="default"/>
                      <w:color w:val="auto"/>
                      <w:kern w:val="0"/>
                      <w:sz w:val="21"/>
                      <w:szCs w:val="21"/>
                      <w:highlight w:val="none"/>
                      <w:lang w:bidi="ar"/>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3675" w:type="dxa"/>
                  <w:vMerge w:val="continue"/>
                  <w:noWrap w:val="0"/>
                  <w:vAlign w:val="center"/>
                </w:tcPr>
                <w:p w14:paraId="20EAA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p>
              </w:tc>
              <w:tc>
                <w:tcPr>
                  <w:tcW w:w="896" w:type="dxa"/>
                  <w:noWrap w:val="0"/>
                  <w:vAlign w:val="center"/>
                </w:tcPr>
                <w:p w14:paraId="11DAC1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6B8F3C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2057" w:hRule="atLeast"/>
                <w:jc w:val="center"/>
              </w:trPr>
              <w:tc>
                <w:tcPr>
                  <w:tcW w:w="559" w:type="dxa"/>
                  <w:vMerge w:val="continue"/>
                  <w:noWrap w:val="0"/>
                  <w:vAlign w:val="center"/>
                </w:tcPr>
                <w:p w14:paraId="198CD0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1684" w:type="dxa"/>
                  <w:vMerge w:val="continue"/>
                  <w:noWrap w:val="0"/>
                  <w:vAlign w:val="center"/>
                </w:tcPr>
                <w:p w14:paraId="7BB04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6225" w:type="dxa"/>
                  <w:noWrap w:val="0"/>
                  <w:vAlign w:val="center"/>
                </w:tcPr>
                <w:p w14:paraId="4204E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宋体"/>
                      <w:color w:val="auto"/>
                      <w:kern w:val="0"/>
                      <w:sz w:val="21"/>
                      <w:szCs w:val="21"/>
                      <w:highlight w:val="none"/>
                      <w:lang w:eastAsia="zh-CN" w:bidi="ar"/>
                    </w:rPr>
                  </w:pPr>
                  <w:r>
                    <w:rPr>
                      <w:rFonts w:hint="default"/>
                      <w:color w:val="auto"/>
                      <w:kern w:val="0"/>
                      <w:sz w:val="21"/>
                      <w:szCs w:val="21"/>
                      <w:highlight w:val="none"/>
                      <w:lang w:bidi="ar"/>
                    </w:rPr>
                    <w:t>提高废气收集率。遵循</w:t>
                  </w:r>
                  <w:r>
                    <w:rPr>
                      <w:rFonts w:hint="eastAsia" w:ascii="宋体" w:hAnsi="宋体" w:eastAsia="宋体" w:cs="宋体"/>
                      <w:color w:val="auto"/>
                      <w:kern w:val="0"/>
                      <w:sz w:val="21"/>
                      <w:szCs w:val="21"/>
                      <w:highlight w:val="none"/>
                      <w:lang w:bidi="ar"/>
                    </w:rPr>
                    <w:t>“应收尽收、分质收集”</w:t>
                  </w:r>
                  <w:r>
                    <w:rPr>
                      <w:rFonts w:hint="default"/>
                      <w:color w:val="auto"/>
                      <w:kern w:val="0"/>
                      <w:sz w:val="21"/>
                      <w:szCs w:val="21"/>
                      <w:highlight w:val="none"/>
                      <w:lang w:bidi="ar"/>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r>
                    <w:rPr>
                      <w:rFonts w:hint="eastAsia"/>
                      <w:color w:val="auto"/>
                      <w:kern w:val="0"/>
                      <w:sz w:val="21"/>
                      <w:szCs w:val="21"/>
                      <w:highlight w:val="none"/>
                      <w:lang w:eastAsia="zh-CN" w:bidi="ar"/>
                    </w:rPr>
                    <w:t>。</w:t>
                  </w:r>
                </w:p>
              </w:tc>
              <w:tc>
                <w:tcPr>
                  <w:tcW w:w="3675" w:type="dxa"/>
                  <w:noWrap w:val="0"/>
                  <w:vAlign w:val="center"/>
                </w:tcPr>
                <w:p w14:paraId="561C0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rPr>
                  </w:pPr>
                  <w:r>
                    <w:rPr>
                      <w:rFonts w:hint="eastAsia"/>
                      <w:color w:val="auto"/>
                      <w:sz w:val="21"/>
                      <w:szCs w:val="21"/>
                      <w:highlight w:val="none"/>
                      <w:lang w:val="en-US" w:eastAsia="zh-CN"/>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调漆、喷漆、刮腻子、腻子打磨、除油</w:t>
                  </w:r>
                  <w:r>
                    <w:rPr>
                      <w:rFonts w:hint="eastAsia"/>
                      <w:color w:val="auto"/>
                      <w:sz w:val="21"/>
                      <w:szCs w:val="21"/>
                      <w:highlight w:val="none"/>
                      <w:lang w:val="en-US" w:eastAsia="zh-CN"/>
                    </w:rPr>
                    <w:t>过程在密闭喷漆房内进行，烘干/晾干过程在密闭烘干房内进行，漆料储存于油漆库，危险废物储存于危废间，调漆、喷漆、烘干/晾干、刮腻子、腻子打磨、除油、漆料及危废储存过程产生的废气采用风机引入废气处理设施进行处理，处理后通过排气筒达标排放。</w:t>
                  </w:r>
                </w:p>
              </w:tc>
              <w:tc>
                <w:tcPr>
                  <w:tcW w:w="896" w:type="dxa"/>
                  <w:noWrap w:val="0"/>
                  <w:vAlign w:val="center"/>
                </w:tcPr>
                <w:p w14:paraId="3754C4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360208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continue"/>
                  <w:noWrap w:val="0"/>
                  <w:vAlign w:val="center"/>
                </w:tcPr>
                <w:p w14:paraId="4433EC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1684" w:type="dxa"/>
                  <w:vMerge w:val="continue"/>
                  <w:noWrap w:val="0"/>
                  <w:vAlign w:val="center"/>
                </w:tcPr>
                <w:p w14:paraId="3F86E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6225" w:type="dxa"/>
                  <w:noWrap w:val="0"/>
                  <w:vAlign w:val="center"/>
                </w:tcPr>
                <w:p w14:paraId="36F70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auto"/>
                      <w:kern w:val="0"/>
                      <w:sz w:val="21"/>
                      <w:szCs w:val="21"/>
                      <w:highlight w:val="none"/>
                      <w:lang w:bidi="ar"/>
                    </w:rPr>
                  </w:pPr>
                  <w:r>
                    <w:rPr>
                      <w:rFonts w:hint="default"/>
                      <w:color w:val="auto"/>
                      <w:kern w:val="0"/>
                      <w:sz w:val="21"/>
                      <w:szCs w:val="21"/>
                      <w:highlight w:val="none"/>
                      <w:lang w:bidi="ar"/>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3675" w:type="dxa"/>
                  <w:noWrap w:val="0"/>
                  <w:vAlign w:val="center"/>
                </w:tcPr>
                <w:p w14:paraId="2DFC2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rPr>
                  </w:pPr>
                  <w:r>
                    <w:rPr>
                      <w:rFonts w:hint="eastAsia"/>
                      <w:color w:val="auto"/>
                      <w:sz w:val="21"/>
                      <w:szCs w:val="21"/>
                      <w:highlight w:val="none"/>
                      <w:lang w:val="en-US" w:eastAsia="zh-CN"/>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调漆、喷漆、刮腻子、腻子打磨、除油</w:t>
                  </w:r>
                  <w:r>
                    <w:rPr>
                      <w:rFonts w:hint="eastAsia" w:cs="Times New Roman"/>
                      <w:color w:val="auto"/>
                      <w:sz w:val="21"/>
                      <w:szCs w:val="21"/>
                      <w:highlight w:val="none"/>
                      <w:lang w:val="en-US" w:eastAsia="zh-CN"/>
                    </w:rPr>
                    <w:t>过程产生的废气经干式喷漆柜（纸盒）去除大部分颗粒物后，与烘干/晾干、漆料和危废储存过程产生的废气一起进入1套过滤棉箱过滤+沸石转轮+催化燃烧装置进行处理，处理后通过排气筒达标排放</w:t>
                  </w:r>
                  <w:r>
                    <w:rPr>
                      <w:rFonts w:hint="eastAsia"/>
                      <w:color w:val="auto"/>
                      <w:sz w:val="21"/>
                      <w:szCs w:val="21"/>
                      <w:highlight w:val="none"/>
                      <w:lang w:val="en-US" w:eastAsia="zh-CN"/>
                    </w:rPr>
                    <w:t>。</w:t>
                  </w:r>
                </w:p>
              </w:tc>
              <w:tc>
                <w:tcPr>
                  <w:tcW w:w="896" w:type="dxa"/>
                  <w:noWrap w:val="0"/>
                  <w:vAlign w:val="center"/>
                </w:tcPr>
                <w:p w14:paraId="640545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符合</w:t>
                  </w:r>
                </w:p>
              </w:tc>
            </w:tr>
            <w:tr w14:paraId="7E2A2D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cantSplit/>
                <w:trHeight w:val="1538" w:hRule="atLeast"/>
                <w:jc w:val="center"/>
              </w:trPr>
              <w:tc>
                <w:tcPr>
                  <w:tcW w:w="559" w:type="dxa"/>
                  <w:noWrap w:val="0"/>
                  <w:vAlign w:val="center"/>
                </w:tcPr>
                <w:p w14:paraId="44019CF7">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default" w:eastAsia="宋体"/>
                      <w:color w:val="auto"/>
                      <w:kern w:val="0"/>
                      <w:sz w:val="21"/>
                      <w:szCs w:val="21"/>
                      <w:highlight w:val="none"/>
                      <w:lang w:val="en-US" w:eastAsia="zh-CN" w:bidi="ar"/>
                    </w:rPr>
                  </w:pPr>
                </w:p>
              </w:tc>
              <w:tc>
                <w:tcPr>
                  <w:tcW w:w="1684" w:type="dxa"/>
                  <w:noWrap w:val="0"/>
                  <w:vAlign w:val="center"/>
                </w:tcPr>
                <w:p w14:paraId="3142B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auto"/>
                      <w:kern w:val="0"/>
                      <w:sz w:val="21"/>
                      <w:szCs w:val="21"/>
                      <w:highlight w:val="none"/>
                      <w:lang w:bidi="ar"/>
                    </w:rPr>
                  </w:pPr>
                  <w:r>
                    <w:rPr>
                      <w:rFonts w:hint="default"/>
                      <w:color w:val="auto"/>
                      <w:kern w:val="0"/>
                      <w:sz w:val="21"/>
                      <w:szCs w:val="21"/>
                      <w:highlight w:val="none"/>
                      <w:lang w:bidi="ar"/>
                    </w:rPr>
                    <w:t>河北省挥发性有机物污染防治行动计划（2018-2020年）</w:t>
                  </w:r>
                </w:p>
              </w:tc>
              <w:tc>
                <w:tcPr>
                  <w:tcW w:w="6225" w:type="dxa"/>
                  <w:noWrap w:val="0"/>
                  <w:vAlign w:val="center"/>
                </w:tcPr>
                <w:p w14:paraId="6E51C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color w:val="auto"/>
                      <w:kern w:val="0"/>
                      <w:sz w:val="21"/>
                      <w:szCs w:val="21"/>
                      <w:highlight w:val="none"/>
                      <w:lang w:bidi="ar"/>
                    </w:rPr>
                    <w:t>新、改、扩建涉VOCs排放项目，应从源头加强控制，使用低（无）VOC含量的原辅材料</w:t>
                  </w:r>
                  <w:r>
                    <w:rPr>
                      <w:rFonts w:hint="eastAsia"/>
                      <w:color w:val="auto"/>
                      <w:kern w:val="0"/>
                      <w:sz w:val="21"/>
                      <w:szCs w:val="21"/>
                      <w:highlight w:val="none"/>
                      <w:lang w:eastAsia="zh-CN" w:bidi="ar"/>
                    </w:rPr>
                    <w:t>。</w:t>
                  </w:r>
                </w:p>
              </w:tc>
              <w:tc>
                <w:tcPr>
                  <w:tcW w:w="3675" w:type="dxa"/>
                  <w:noWrap w:val="0"/>
                  <w:vAlign w:val="center"/>
                </w:tcPr>
                <w:p w14:paraId="4E46E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w:t>
                  </w:r>
                </w:p>
              </w:tc>
              <w:tc>
                <w:tcPr>
                  <w:tcW w:w="896" w:type="dxa"/>
                  <w:noWrap w:val="0"/>
                  <w:vAlign w:val="center"/>
                </w:tcPr>
                <w:p w14:paraId="294EE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color w:val="auto"/>
                      <w:sz w:val="21"/>
                      <w:szCs w:val="21"/>
                      <w:highlight w:val="none"/>
                      <w:lang w:val="en-US" w:eastAsia="zh-CN"/>
                    </w:rPr>
                    <w:t>符合</w:t>
                  </w:r>
                </w:p>
              </w:tc>
            </w:tr>
            <w:tr w14:paraId="4FB333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cantSplit/>
                <w:trHeight w:val="1612" w:hRule="atLeast"/>
                <w:jc w:val="center"/>
              </w:trPr>
              <w:tc>
                <w:tcPr>
                  <w:tcW w:w="559" w:type="dxa"/>
                  <w:vMerge w:val="restart"/>
                  <w:noWrap w:val="0"/>
                  <w:vAlign w:val="center"/>
                </w:tcPr>
                <w:p w14:paraId="7883C0FC">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1684" w:type="dxa"/>
                  <w:vMerge w:val="restart"/>
                  <w:noWrap w:val="0"/>
                  <w:vAlign w:val="center"/>
                </w:tcPr>
                <w:p w14:paraId="6674A1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关于印发《河北省重点行业挥发性有机物污染控制技术指引》的通知（冀环大气[2019]501号）</w:t>
                  </w:r>
                </w:p>
              </w:tc>
              <w:tc>
                <w:tcPr>
                  <w:tcW w:w="6225" w:type="dxa"/>
                  <w:noWrap w:val="0"/>
                  <w:vAlign w:val="center"/>
                </w:tcPr>
                <w:p w14:paraId="5D4F76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eastAsia="宋体"/>
                      <w:color w:val="auto"/>
                      <w:sz w:val="21"/>
                      <w:szCs w:val="21"/>
                      <w:highlight w:val="none"/>
                      <w:lang w:val="zh-CN"/>
                    </w:rPr>
                    <w:t>大力推进源头替代。产生有机废气污染的企业，应优先采用绿色环保型原辅料、先进的生产工艺和装备，从源头控制VOCs的产生，减少废气污染物排放。表面涂装、印刷等行业要加大源头替代力度。</w:t>
                  </w:r>
                </w:p>
              </w:tc>
              <w:tc>
                <w:tcPr>
                  <w:tcW w:w="3675" w:type="dxa"/>
                  <w:noWrap w:val="0"/>
                  <w:vAlign w:val="center"/>
                </w:tcPr>
                <w:p w14:paraId="1B4E2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w:t>
                  </w:r>
                </w:p>
              </w:tc>
              <w:tc>
                <w:tcPr>
                  <w:tcW w:w="896" w:type="dxa"/>
                  <w:noWrap w:val="0"/>
                  <w:vAlign w:val="center"/>
                </w:tcPr>
                <w:p w14:paraId="011EA8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1BC75F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2041" w:hRule="atLeast"/>
                <w:jc w:val="center"/>
              </w:trPr>
              <w:tc>
                <w:tcPr>
                  <w:tcW w:w="559" w:type="dxa"/>
                  <w:vMerge w:val="continue"/>
                  <w:noWrap w:val="0"/>
                  <w:vAlign w:val="center"/>
                </w:tcPr>
                <w:p w14:paraId="204DFE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1684" w:type="dxa"/>
                  <w:vMerge w:val="continue"/>
                  <w:noWrap w:val="0"/>
                  <w:vAlign w:val="center"/>
                </w:tcPr>
                <w:p w14:paraId="6B49A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6225" w:type="dxa"/>
                  <w:noWrap w:val="0"/>
                  <w:vAlign w:val="center"/>
                </w:tcPr>
                <w:p w14:paraId="7EA567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全面加强无组织排放控制。重点对VOCs物料（包括含VOCs原辅材料、含VOCs产品、含VOCs废料以及有机聚合物材料等）储存、转移和输送、设备与管线组件泄漏、散开液面逸散以及工艺过程等五类排放源实施管控，通过采取设备与场所密闭、工艺改进、废气有效收集等措施，削减VOCs无组织排放。加强设备与管线组件泄漏控制。按要求开展LDAR工作。</w:t>
                  </w:r>
                </w:p>
              </w:tc>
              <w:tc>
                <w:tcPr>
                  <w:tcW w:w="3675" w:type="dxa"/>
                  <w:noWrap w:val="0"/>
                  <w:vAlign w:val="center"/>
                </w:tcPr>
                <w:p w14:paraId="223D8E16">
                  <w:pPr>
                    <w:pStyle w:val="31"/>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所用漆料密闭桶装，储存于油漆库，密闭桶装转运。调漆、喷漆过程在密闭喷漆房内进行，烘干/晾干过程在密闭烘干房内进行，调漆、喷漆、烘干/晾干、刮腻子、腻子打磨、除油、漆料及危废储存过程产生的废气采用风机引入废气处理设施进行处理。</w:t>
                  </w:r>
                </w:p>
              </w:tc>
              <w:tc>
                <w:tcPr>
                  <w:tcW w:w="896" w:type="dxa"/>
                  <w:noWrap w:val="0"/>
                  <w:vAlign w:val="center"/>
                </w:tcPr>
                <w:p w14:paraId="1673F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4897E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continue"/>
                  <w:noWrap w:val="0"/>
                  <w:vAlign w:val="center"/>
                </w:tcPr>
                <w:p w14:paraId="1232F8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1684" w:type="dxa"/>
                  <w:vMerge w:val="continue"/>
                  <w:noWrap w:val="0"/>
                  <w:vAlign w:val="center"/>
                </w:tcPr>
                <w:p w14:paraId="689D8D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6225" w:type="dxa"/>
                  <w:noWrap w:val="0"/>
                  <w:vAlign w:val="center"/>
                </w:tcPr>
                <w:p w14:paraId="347473A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推广适宜规范高效的治理设施。鼓励对产生的VOCs进行回收利用，并优先在生产系统内回用。对浓度、性状差异较大的废气应分类收集，并采用适宜的方式进行有效处理。废气治理的工艺路线应根据废气产生量、污染物组分和性质、温度、压力、安全等因素合理选择，具体要求如下：</w:t>
                  </w:r>
                </w:p>
                <w:p w14:paraId="439DA3B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1.对于高浓度VOCs废气，优先采用冷凝、吸收、吸附等组合技术进行回收利用，并辅以其他治理技术实现达标排放。难以回收的，宜采用高温焚烧、催化燃烧等技术处理。</w:t>
                  </w:r>
                </w:p>
                <w:p w14:paraId="4260CDE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2.对于低浓度、大风量VOCs废气，宜采用沸石转轮吸附、活性炭吸附、减风增浓等浓缩技术，提高VOCs浓度后净化处理。低温等离子、光催化、光氧化技术主要适用于恶</w:t>
                  </w:r>
                  <w:r>
                    <w:rPr>
                      <w:rFonts w:hint="eastAsia"/>
                      <w:color w:val="auto"/>
                      <w:sz w:val="21"/>
                      <w:szCs w:val="21"/>
                      <w:highlight w:val="none"/>
                      <w:lang w:val="en-US" w:eastAsia="zh-CN"/>
                    </w:rPr>
                    <w:t>臭</w:t>
                  </w:r>
                  <w:r>
                    <w:rPr>
                      <w:rFonts w:hint="eastAsia" w:eastAsia="宋体"/>
                      <w:color w:val="auto"/>
                      <w:sz w:val="21"/>
                      <w:szCs w:val="21"/>
                      <w:highlight w:val="none"/>
                      <w:lang w:val="zh-CN"/>
                    </w:rPr>
                    <w:t>异味等治理。</w:t>
                  </w:r>
                </w:p>
                <w:p w14:paraId="7BBDF84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3.对于含有机卤素成分VOCs的废气，不宜采用焚烧技术处理，宜采用活性炭吸附、生物净化、吸收等适宜技术和方法处理。</w:t>
                  </w:r>
                </w:p>
                <w:p w14:paraId="0C087F0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4.对含尘、含气溶胶、高湿废气，在活性炭吸附、催化燃烧、热力焚烧等工艺前应采用高效除尘、除雾等装置进行预处理。</w:t>
                  </w:r>
                </w:p>
                <w:p w14:paraId="62A8EE7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5.优先采用可再生的活性炭吸附技术，并定期对动态吸附量进行检测，当动态吸附量低至设计值的80%时宜更换；采用无再生活性炭吸附技术的，应严格按照《吸附法工业有机废气治理工程技术规范》（HJ2026-2013）要求，当排气浓度不能满足设计或排放要求时应更换活性炭。</w:t>
                  </w:r>
                </w:p>
                <w:p w14:paraId="4955676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6.有条件的工业园区和产业集群等，宜加快推广集中喷涂、溶剂集中回收、活性炭集中再生等技术，加强资源共享，提高V</w:t>
                  </w:r>
                  <w:r>
                    <w:rPr>
                      <w:rFonts w:hint="eastAsia"/>
                      <w:color w:val="auto"/>
                      <w:sz w:val="21"/>
                      <w:szCs w:val="21"/>
                      <w:highlight w:val="none"/>
                      <w:lang w:val="en-US" w:eastAsia="zh-CN"/>
                    </w:rPr>
                    <w:t>O</w:t>
                  </w:r>
                  <w:r>
                    <w:rPr>
                      <w:rFonts w:hint="eastAsia" w:eastAsia="宋体"/>
                      <w:color w:val="auto"/>
                      <w:sz w:val="21"/>
                      <w:szCs w:val="21"/>
                      <w:highlight w:val="none"/>
                      <w:lang w:val="zh-CN"/>
                    </w:rPr>
                    <w:t>Cs治理效率。</w:t>
                  </w:r>
                </w:p>
              </w:tc>
              <w:tc>
                <w:tcPr>
                  <w:tcW w:w="3675" w:type="dxa"/>
                  <w:noWrap w:val="0"/>
                  <w:vAlign w:val="center"/>
                </w:tcPr>
                <w:p w14:paraId="3A14B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本项目</w:t>
                  </w:r>
                  <w:r>
                    <w:rPr>
                      <w:rFonts w:hint="eastAsia" w:cs="Times New Roman"/>
                      <w:b w:val="0"/>
                      <w:bCs w:val="0"/>
                      <w:caps w:val="0"/>
                      <w:smallCaps w:val="0"/>
                      <w:color w:val="auto"/>
                      <w:spacing w:val="0"/>
                      <w:kern w:val="2"/>
                      <w:position w:val="0"/>
                      <w:sz w:val="21"/>
                      <w:szCs w:val="21"/>
                      <w:highlight w:val="none"/>
                      <w:vertAlign w:val="baseline"/>
                      <w:lang w:val="en-US" w:eastAsia="zh-CN" w:bidi="ar-SA"/>
                    </w:rPr>
                    <w:t>调漆、喷漆、刮腻子、腻子打磨、除油</w:t>
                  </w:r>
                  <w:r>
                    <w:rPr>
                      <w:rFonts w:hint="eastAsia" w:cs="Times New Roman"/>
                      <w:color w:val="auto"/>
                      <w:sz w:val="21"/>
                      <w:szCs w:val="21"/>
                      <w:highlight w:val="none"/>
                      <w:lang w:val="en-US" w:eastAsia="zh-CN"/>
                    </w:rPr>
                    <w:t>过程产生的废气经干式喷漆柜（纸盒）去除大部分颗粒物后，与烘干/晾干、漆料和危废储存过程产生的废气一起进入1套过滤棉箱过滤+沸石转轮+催化燃烧装置进行处理</w:t>
                  </w:r>
                  <w:r>
                    <w:rPr>
                      <w:rFonts w:hint="eastAsia"/>
                      <w:color w:val="auto"/>
                      <w:sz w:val="21"/>
                      <w:szCs w:val="21"/>
                      <w:highlight w:val="none"/>
                      <w:lang w:val="en-US" w:eastAsia="zh-CN"/>
                    </w:rPr>
                    <w:t>。</w:t>
                  </w:r>
                </w:p>
              </w:tc>
              <w:tc>
                <w:tcPr>
                  <w:tcW w:w="896" w:type="dxa"/>
                  <w:noWrap w:val="0"/>
                  <w:vAlign w:val="center"/>
                </w:tcPr>
                <w:p w14:paraId="28EE72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20B579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noWrap w:val="0"/>
                  <w:vAlign w:val="center"/>
                </w:tcPr>
                <w:p w14:paraId="48F8BB16">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1684" w:type="dxa"/>
                  <w:noWrap w:val="0"/>
                  <w:vAlign w:val="center"/>
                </w:tcPr>
                <w:p w14:paraId="2B5BF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color w:val="auto"/>
                      <w:kern w:val="0"/>
                      <w:sz w:val="21"/>
                      <w:szCs w:val="21"/>
                      <w:highlight w:val="none"/>
                      <w:lang w:val="en-US" w:eastAsia="zh-CN" w:bidi="ar"/>
                    </w:rPr>
                    <w:t>关于印发《河北省涉VOCs工业企业常用治理技术指南》的通知（冀环应急[2022]140号）</w:t>
                  </w:r>
                </w:p>
              </w:tc>
              <w:tc>
                <w:tcPr>
                  <w:tcW w:w="6225" w:type="dxa"/>
                  <w:noWrap w:val="0"/>
                  <w:vAlign w:val="center"/>
                </w:tcPr>
                <w:p w14:paraId="78E801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default"/>
                      <w:color w:val="auto"/>
                      <w:sz w:val="21"/>
                      <w:szCs w:val="21"/>
                      <w:highlight w:val="none"/>
                      <w:lang w:val="en-US" w:eastAsia="zh-CN"/>
                    </w:rPr>
                  </w:pPr>
                  <w:r>
                    <w:rPr>
                      <w:rFonts w:hint="eastAsia"/>
                      <w:color w:val="auto"/>
                      <w:sz w:val="21"/>
                      <w:szCs w:val="21"/>
                      <w:highlight w:val="none"/>
                      <w:lang w:val="en-US" w:eastAsia="zh-CN"/>
                    </w:rPr>
                    <w:t>4、沸石分子筛转轮吸附浓缩+催化燃烧技术</w:t>
                  </w:r>
                </w:p>
                <w:p w14:paraId="23846F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（1）适用范围</w:t>
                  </w:r>
                </w:p>
                <w:p w14:paraId="7E6D7B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center"/>
                    <w:rPr>
                      <w:rFonts w:hint="eastAsia"/>
                      <w:color w:val="auto"/>
                      <w:sz w:val="21"/>
                      <w:szCs w:val="21"/>
                      <w:highlight w:val="none"/>
                      <w:lang w:val="en-US" w:eastAsia="zh-CN"/>
                    </w:rPr>
                  </w:pPr>
                  <w:r>
                    <w:rPr>
                      <w:rFonts w:hint="eastAsia"/>
                      <w:color w:val="auto"/>
                      <w:sz w:val="21"/>
                      <w:szCs w:val="21"/>
                      <w:highlight w:val="none"/>
                      <w:lang w:val="en-US" w:eastAsia="zh-CN"/>
                    </w:rPr>
                    <w:t>①沸石分子筛转轮浓缩装置一般适用于风量范围在5000-200000m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/h（单台），VOCs浓度&lt;1500mg/m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的废气的治理，并确保转轮吸附后废气达标排放；</w:t>
                  </w:r>
                </w:p>
                <w:p w14:paraId="3AFF1B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②进入沸石分子筛转轮浓缩装置的废气温度宜&lt;45</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w:t>
                  </w:r>
                </w:p>
                <w:p w14:paraId="7D7E4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③进入沸石分子筛转轮浓缩装置的废气相对湿度&lt;85%。</w:t>
                  </w:r>
                </w:p>
                <w:p w14:paraId="16B72F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center"/>
                    <w:rPr>
                      <w:rFonts w:hint="default"/>
                      <w:color w:val="auto"/>
                      <w:sz w:val="21"/>
                      <w:szCs w:val="21"/>
                      <w:highlight w:val="none"/>
                      <w:lang w:val="en-US" w:eastAsia="zh-CN"/>
                    </w:rPr>
                  </w:pPr>
                  <w:r>
                    <w:rPr>
                      <w:rFonts w:hint="default"/>
                      <w:color w:val="auto"/>
                      <w:sz w:val="21"/>
                      <w:szCs w:val="21"/>
                      <w:highlight w:val="none"/>
                      <w:lang w:val="en-US" w:eastAsia="zh-CN"/>
                    </w:rPr>
                    <w:t>④</w:t>
                  </w:r>
                  <w:r>
                    <w:rPr>
                      <w:rFonts w:hint="eastAsia"/>
                      <w:color w:val="auto"/>
                      <w:sz w:val="21"/>
                      <w:szCs w:val="21"/>
                      <w:highlight w:val="none"/>
                      <w:lang w:val="en-US" w:eastAsia="zh-CN"/>
                    </w:rPr>
                    <w:t>进入沸石分子筛转轮浓缩装置的废气中不宜含有粉尘、油烟类物质、高沸点类物质、易发生聚合反应的物质、使分子筛性能退化的酸碱腐蚀性物质等。</w:t>
                  </w:r>
                </w:p>
                <w:p w14:paraId="65F107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（2）性能要求</w:t>
                  </w:r>
                </w:p>
                <w:p w14:paraId="0091F2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①浓缩装置的沸石分子筛宜采用对挥发性有机物有选择性吸收的疏水性分子筛，动态吸水率&lt;10%。</w:t>
                  </w:r>
                </w:p>
                <w:p w14:paraId="1C8D97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②沸石分子筛转轮吸附区表观流速宜&lt;4.5m/s。</w:t>
                  </w:r>
                </w:p>
                <w:p w14:paraId="5CBB3D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color w:val="auto"/>
                      <w:sz w:val="21"/>
                      <w:szCs w:val="21"/>
                      <w:highlight w:val="none"/>
                      <w:lang w:val="en-US" w:eastAsia="zh-CN"/>
                    </w:rPr>
                  </w:pPr>
                  <w:r>
                    <w:rPr>
                      <w:rFonts w:hint="default"/>
                      <w:color w:val="auto"/>
                      <w:sz w:val="21"/>
                      <w:szCs w:val="21"/>
                      <w:highlight w:val="none"/>
                      <w:lang w:val="en-US" w:eastAsia="zh-CN"/>
                    </w:rPr>
                    <w:t>③</w:t>
                  </w:r>
                  <w:r>
                    <w:rPr>
                      <w:rFonts w:hint="eastAsia"/>
                      <w:color w:val="auto"/>
                      <w:sz w:val="21"/>
                      <w:szCs w:val="21"/>
                      <w:highlight w:val="none"/>
                      <w:lang w:val="en-US" w:eastAsia="zh-CN"/>
                    </w:rPr>
                    <w:t>沸石分子筛转轮之前废气至少要达到F7级过滤，保障进入沸石分子筛转轮的废气中颗粒物含量&lt;1mg/m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p>
                <w:p w14:paraId="7206DD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ascii="Times New Roman" w:hAnsi="Times New Roman" w:cs="Times New Roman"/>
                      <w:color w:val="auto"/>
                      <w:sz w:val="21"/>
                      <w:szCs w:val="21"/>
                      <w:highlight w:val="none"/>
                      <w:lang w:val="en-US" w:eastAsia="zh-CN"/>
                    </w:rPr>
                  </w:pPr>
                  <w:r>
                    <w:rPr>
                      <w:rFonts w:hint="default"/>
                      <w:color w:val="auto"/>
                      <w:sz w:val="21"/>
                      <w:szCs w:val="21"/>
                      <w:highlight w:val="none"/>
                      <w:lang w:val="en-US" w:eastAsia="zh-CN"/>
                    </w:rPr>
                    <w:t>④</w:t>
                  </w:r>
                  <w:r>
                    <w:rPr>
                      <w:rFonts w:hint="eastAsia"/>
                      <w:color w:val="auto"/>
                      <w:sz w:val="21"/>
                      <w:szCs w:val="21"/>
                      <w:highlight w:val="none"/>
                      <w:lang w:val="en-US" w:eastAsia="zh-CN"/>
                    </w:rPr>
                    <w:t>正常工况下，沸石分子筛转轮浓缩装置净化效率</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90%（浓度越低，净化效率越难保障）。</w:t>
                  </w:r>
                </w:p>
                <w:p w14:paraId="021DB9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⑤</w:t>
                  </w:r>
                  <w:r>
                    <w:rPr>
                      <w:rFonts w:hint="eastAsia" w:ascii="Times New Roman" w:hAnsi="Times New Roman" w:cs="Times New Roman"/>
                      <w:color w:val="auto"/>
                      <w:sz w:val="21"/>
                      <w:szCs w:val="21"/>
                      <w:highlight w:val="none"/>
                      <w:lang w:val="en-US" w:eastAsia="zh-CN"/>
                    </w:rPr>
                    <w:t>沸石分子筛转轮浓缩装置的浓缩倍率范围宜为5-30倍。</w:t>
                  </w:r>
                </w:p>
                <w:p w14:paraId="6C69D946">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设备要求</w:t>
                  </w:r>
                </w:p>
                <w:p w14:paraId="69C7B9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cs="Times New Roman"/>
                      <w:color w:val="auto"/>
                      <w:sz w:val="21"/>
                      <w:szCs w:val="21"/>
                      <w:highlight w:val="none"/>
                      <w:lang w:val="en-US" w:eastAsia="zh-CN"/>
                    </w:rPr>
                  </w:pPr>
                  <w:r>
                    <w:rPr>
                      <w:rFonts w:hint="default"/>
                      <w:color w:val="auto"/>
                      <w:sz w:val="21"/>
                      <w:szCs w:val="21"/>
                      <w:highlight w:val="none"/>
                      <w:lang w:val="en-US" w:eastAsia="zh-CN"/>
                    </w:rPr>
                    <w:t>②</w:t>
                  </w:r>
                  <w:r>
                    <w:rPr>
                      <w:rFonts w:hint="eastAsia"/>
                      <w:color w:val="auto"/>
                      <w:sz w:val="21"/>
                      <w:szCs w:val="21"/>
                      <w:highlight w:val="none"/>
                      <w:lang w:val="en-US" w:eastAsia="zh-CN"/>
                    </w:rPr>
                    <w:t>催化剂使用铂钯贵金属，要求负载量350-850g/m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，空速范围16000h</w:t>
                  </w:r>
                  <w:r>
                    <w:rPr>
                      <w:rFonts w:hint="eastAsia"/>
                      <w:color w:val="auto"/>
                      <w:sz w:val="21"/>
                      <w:szCs w:val="21"/>
                      <w:highlight w:val="none"/>
                      <w:vertAlign w:val="superscript"/>
                      <w:lang w:val="en-US" w:eastAsia="zh-CN"/>
                    </w:rPr>
                    <w:t>-1</w:t>
                  </w:r>
                  <w:r>
                    <w:rPr>
                      <w:rFonts w:hint="eastAsia"/>
                      <w:color w:val="auto"/>
                      <w:sz w:val="21"/>
                      <w:szCs w:val="21"/>
                      <w:highlight w:val="none"/>
                      <w:lang w:val="en-US" w:eastAsia="zh-CN"/>
                    </w:rPr>
                    <w:t>-25000h</w:t>
                  </w:r>
                  <w:r>
                    <w:rPr>
                      <w:rFonts w:hint="eastAsia"/>
                      <w:color w:val="auto"/>
                      <w:sz w:val="21"/>
                      <w:szCs w:val="21"/>
                      <w:highlight w:val="none"/>
                      <w:vertAlign w:val="superscript"/>
                      <w:lang w:val="en-US" w:eastAsia="zh-CN"/>
                    </w:rPr>
                    <w:t>-1</w:t>
                  </w:r>
                  <w:r>
                    <w:rPr>
                      <w:rFonts w:hint="eastAsia"/>
                      <w:color w:val="auto"/>
                      <w:sz w:val="21"/>
                      <w:szCs w:val="21"/>
                      <w:highlight w:val="none"/>
                      <w:lang w:val="en-US" w:eastAsia="zh-CN"/>
                    </w:rPr>
                    <w:t>，处理浓度范围</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6g，催化床温度</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300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，催化剂处理效率</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90%。</w:t>
                  </w:r>
                </w:p>
                <w:p w14:paraId="1510E7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cs="Times New Roman"/>
                      <w:color w:val="auto"/>
                      <w:sz w:val="21"/>
                      <w:szCs w:val="21"/>
                      <w:highlight w:val="none"/>
                      <w:lang w:val="en-US" w:eastAsia="zh-CN"/>
                    </w:rPr>
                  </w:pPr>
                  <w:r>
                    <w:rPr>
                      <w:rFonts w:hint="default"/>
                      <w:color w:val="auto"/>
                      <w:sz w:val="21"/>
                      <w:szCs w:val="21"/>
                      <w:highlight w:val="none"/>
                      <w:lang w:val="en-US" w:eastAsia="zh-CN"/>
                    </w:rPr>
                    <w:t>③</w:t>
                  </w:r>
                  <w:r>
                    <w:rPr>
                      <w:rFonts w:hint="eastAsia"/>
                      <w:color w:val="auto"/>
                      <w:sz w:val="21"/>
                      <w:szCs w:val="21"/>
                      <w:highlight w:val="none"/>
                      <w:lang w:val="en-US" w:eastAsia="zh-CN"/>
                    </w:rPr>
                    <w:t>沸石分子筛转轮吸附浓缩催化燃烧系统具有独立的PLC控制系统，运行过程中，应具有数据记录保存功能，记录时间间隔</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min，保存时间不低于1年。记录参数包括但不限于以下内容：主风机频率、脱附风机频率、废气温湿度、冷却出口温度、脱附进出口温度、吸附区压差、脱附区压差、过滤装置压差、催化剂前后温度、换热器前后温度。</w:t>
                  </w:r>
                </w:p>
                <w:p w14:paraId="04D56BF7">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安全要求</w:t>
                  </w:r>
                </w:p>
                <w:p w14:paraId="413BDD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①沸石分子筛转轮浓缩装置脱附温度宜在180-220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，高温脱附模式沸石分子筛转轮最高脱附温度不应超过300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w:t>
                  </w:r>
                </w:p>
                <w:p w14:paraId="21118D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auto"/>
                      <w:sz w:val="21"/>
                      <w:szCs w:val="21"/>
                      <w:highlight w:val="none"/>
                      <w:lang w:val="en-US" w:eastAsia="zh-CN"/>
                    </w:rPr>
                  </w:pPr>
                  <w:r>
                    <w:rPr>
                      <w:rFonts w:hint="default"/>
                      <w:color w:val="auto"/>
                      <w:sz w:val="21"/>
                      <w:szCs w:val="21"/>
                      <w:highlight w:val="none"/>
                      <w:lang w:val="en-US" w:eastAsia="zh-CN"/>
                    </w:rPr>
                    <w:t>②</w:t>
                  </w:r>
                  <w:r>
                    <w:rPr>
                      <w:rFonts w:hint="eastAsia"/>
                      <w:color w:val="auto"/>
                      <w:sz w:val="21"/>
                      <w:szCs w:val="21"/>
                      <w:highlight w:val="none"/>
                      <w:lang w:val="en-US" w:eastAsia="zh-CN"/>
                    </w:rPr>
                    <w:t>沸石分子筛转轮浓缩后气体的浓度不得超过爆炸下限的25%。</w:t>
                  </w:r>
                </w:p>
                <w:p w14:paraId="6AAADD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auto"/>
                      <w:sz w:val="21"/>
                      <w:szCs w:val="21"/>
                      <w:highlight w:val="none"/>
                      <w:lang w:val="en-US" w:eastAsia="zh-CN"/>
                    </w:rPr>
                  </w:pPr>
                  <w:r>
                    <w:rPr>
                      <w:rFonts w:hint="default"/>
                      <w:color w:val="auto"/>
                      <w:sz w:val="21"/>
                      <w:szCs w:val="21"/>
                      <w:highlight w:val="none"/>
                      <w:lang w:val="en-US" w:eastAsia="zh-CN"/>
                    </w:rPr>
                    <w:t>③</w:t>
                  </w:r>
                  <w:r>
                    <w:rPr>
                      <w:rFonts w:hint="eastAsia"/>
                      <w:color w:val="auto"/>
                      <w:sz w:val="21"/>
                      <w:szCs w:val="21"/>
                      <w:highlight w:val="none"/>
                      <w:lang w:val="en-US" w:eastAsia="zh-CN"/>
                    </w:rPr>
                    <w:t>浓缩装置安装区域内应按规定设置消防设施。</w:t>
                  </w:r>
                </w:p>
                <w:p w14:paraId="6BE27C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auto"/>
                      <w:sz w:val="21"/>
                      <w:szCs w:val="21"/>
                      <w:highlight w:val="none"/>
                      <w:lang w:val="en-US" w:eastAsia="zh-CN"/>
                    </w:rPr>
                  </w:pPr>
                  <w:r>
                    <w:rPr>
                      <w:rFonts w:hint="default"/>
                      <w:color w:val="auto"/>
                      <w:sz w:val="21"/>
                      <w:szCs w:val="21"/>
                      <w:highlight w:val="none"/>
                      <w:lang w:val="en-US" w:eastAsia="zh-CN"/>
                    </w:rPr>
                    <w:t>④</w:t>
                  </w:r>
                  <w:r>
                    <w:rPr>
                      <w:rFonts w:hint="eastAsia"/>
                      <w:color w:val="auto"/>
                      <w:sz w:val="21"/>
                      <w:szCs w:val="21"/>
                      <w:highlight w:val="none"/>
                      <w:lang w:val="en-US" w:eastAsia="zh-CN"/>
                    </w:rPr>
                    <w:t>沸石分子筛转轮的沸石分子筛应具有耐高温及不燃特性。</w:t>
                  </w:r>
                </w:p>
                <w:p w14:paraId="4B09A3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auto"/>
                      <w:sz w:val="21"/>
                      <w:szCs w:val="21"/>
                      <w:highlight w:val="none"/>
                      <w:lang w:val="en-US" w:eastAsia="zh-CN"/>
                    </w:rPr>
                  </w:pPr>
                  <w:r>
                    <w:rPr>
                      <w:rFonts w:hint="default"/>
                      <w:color w:val="auto"/>
                      <w:sz w:val="21"/>
                      <w:szCs w:val="21"/>
                      <w:highlight w:val="none"/>
                      <w:lang w:val="en-US" w:eastAsia="zh-CN"/>
                    </w:rPr>
                    <w:t>⑤</w:t>
                  </w:r>
                  <w:r>
                    <w:rPr>
                      <w:rFonts w:hint="eastAsia"/>
                      <w:color w:val="auto"/>
                      <w:sz w:val="21"/>
                      <w:szCs w:val="21"/>
                      <w:highlight w:val="none"/>
                      <w:lang w:val="en-US" w:eastAsia="zh-CN"/>
                    </w:rPr>
                    <w:t>沸石分子筛转轮的沸石分子筛在使用过程中不应脱落，从而影响处理效率。</w:t>
                  </w:r>
                </w:p>
                <w:p w14:paraId="39749A4B">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运行管理</w:t>
                  </w:r>
                </w:p>
                <w:p w14:paraId="5723E2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①沸石分子筛转轮浓缩装置设施台账应记录：沸石分子筛转轮巡检时间（一周至少巡检一次），过滤材料更换时间，密封材料更换时间，催化剂更换时间，沸石分子筛转轮更换时间以及其他维修记录。</w:t>
                  </w:r>
                </w:p>
                <w:p w14:paraId="42BE33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default"/>
                      <w:color w:val="auto"/>
                      <w:sz w:val="21"/>
                      <w:szCs w:val="21"/>
                      <w:highlight w:val="none"/>
                      <w:lang w:val="en-US" w:eastAsia="zh-CN"/>
                    </w:rPr>
                  </w:pPr>
                  <w:r>
                    <w:rPr>
                      <w:rFonts w:hint="default"/>
                      <w:color w:val="auto"/>
                      <w:sz w:val="21"/>
                      <w:szCs w:val="21"/>
                      <w:highlight w:val="none"/>
                      <w:lang w:val="en-US" w:eastAsia="zh-CN"/>
                    </w:rPr>
                    <w:t>②</w:t>
                  </w:r>
                  <w:r>
                    <w:rPr>
                      <w:rFonts w:hint="eastAsia"/>
                      <w:color w:val="auto"/>
                      <w:sz w:val="21"/>
                      <w:szCs w:val="21"/>
                      <w:highlight w:val="none"/>
                      <w:lang w:val="en-US" w:eastAsia="zh-CN"/>
                    </w:rPr>
                    <w:t>三方检测报告中应包含催化燃烧设备进出口浓度和净化效率。</w:t>
                  </w:r>
                </w:p>
              </w:tc>
              <w:tc>
                <w:tcPr>
                  <w:tcW w:w="3675" w:type="dxa"/>
                  <w:noWrap w:val="0"/>
                  <w:vAlign w:val="center"/>
                </w:tcPr>
                <w:p w14:paraId="03ADC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本项目调漆、喷漆、刮腻子、腻子打磨、除油过程产生的废气经干式喷漆柜去除大部分颗粒物后，与烘干/晾干、漆料及危废储存过程产生的废气一期进入1套过滤棉箱过滤+沸石转轮+催化燃烧装置进行处理，引风机风量为30000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/h，根据工程分析VOCs浓度&lt;1500mg/m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；本项目调漆、喷漆、晾干、除油、刮腻子、腻子打磨过程在常温下进行，烘干温度约30</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vertAlign w:val="baseline"/>
                      <w:lang w:val="en-US" w:eastAsia="zh-CN"/>
                    </w:rPr>
                    <w:t>，进入</w:t>
                  </w:r>
                  <w:r>
                    <w:rPr>
                      <w:rFonts w:hint="eastAsia"/>
                      <w:color w:val="auto"/>
                      <w:sz w:val="21"/>
                      <w:szCs w:val="21"/>
                      <w:highlight w:val="none"/>
                      <w:lang w:val="en-US" w:eastAsia="zh-CN"/>
                    </w:rPr>
                    <w:t>沸石分子筛转轮浓缩装置的废气温度可控制在45</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以下，本项目所用漆料均为溶剂型漆料，不含水，</w:t>
                  </w:r>
                  <w:r>
                    <w:rPr>
                      <w:rFonts w:hint="eastAsia"/>
                      <w:color w:val="auto"/>
                      <w:sz w:val="21"/>
                      <w:szCs w:val="21"/>
                      <w:highlight w:val="none"/>
                      <w:lang w:val="en-US" w:eastAsia="zh-CN"/>
                    </w:rPr>
                    <w:t>进入沸石分子筛转轮浓缩装置的废气相对湿度可控制在85%以下；本项目产生的颗粒物经</w:t>
                  </w:r>
                  <w:r>
                    <w:rPr>
                      <w:rFonts w:hint="eastAsia" w:cs="Times New Roman"/>
                      <w:color w:val="auto"/>
                      <w:sz w:val="21"/>
                      <w:szCs w:val="21"/>
                      <w:highlight w:val="none"/>
                      <w:lang w:val="en-US" w:eastAsia="zh-CN"/>
                    </w:rPr>
                    <w:t>干式喷漆柜</w:t>
                  </w:r>
                  <w:r>
                    <w:rPr>
                      <w:rFonts w:hint="eastAsia"/>
                      <w:color w:val="auto"/>
                      <w:sz w:val="21"/>
                      <w:szCs w:val="21"/>
                      <w:highlight w:val="none"/>
                      <w:lang w:val="en-US" w:eastAsia="zh-CN"/>
                    </w:rPr>
                    <w:t>+过滤棉箱过滤处理后浓度&lt;1mg/m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，调漆、喷漆、烘干/晾干、除油、刮腻子、腻子打磨过程无</w:t>
                  </w:r>
                  <w:r>
                    <w:rPr>
                      <w:rFonts w:hint="eastAsia"/>
                      <w:color w:val="auto"/>
                      <w:sz w:val="21"/>
                      <w:szCs w:val="21"/>
                      <w:highlight w:val="none"/>
                      <w:lang w:val="en-US" w:eastAsia="zh-CN"/>
                    </w:rPr>
                    <w:t>油烟类物质、高沸点类物质、易发生聚合反应的物质、使分子筛性能退化的酸碱腐蚀性物质</w:t>
                  </w:r>
                  <w:r>
                    <w:rPr>
                      <w:rFonts w:hint="eastAsia"/>
                      <w:color w:val="auto"/>
                      <w:sz w:val="21"/>
                      <w:szCs w:val="21"/>
                      <w:highlight w:val="none"/>
                      <w:vertAlign w:val="baseline"/>
                      <w:lang w:val="en-US" w:eastAsia="zh-CN"/>
                    </w:rPr>
                    <w:t>产生</w:t>
                  </w:r>
                  <w:r>
                    <w:rPr>
                      <w:rFonts w:hint="eastAsia"/>
                      <w:color w:val="auto"/>
                      <w:sz w:val="21"/>
                      <w:szCs w:val="21"/>
                      <w:highlight w:val="none"/>
                      <w:lang w:val="en-US" w:eastAsia="zh-CN"/>
                    </w:rPr>
                    <w:t>。本项目催化剂使用铂钯贵金属，负载量350-850g/m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，空速范围16000h</w:t>
                  </w:r>
                  <w:r>
                    <w:rPr>
                      <w:rFonts w:hint="eastAsia"/>
                      <w:color w:val="auto"/>
                      <w:sz w:val="21"/>
                      <w:szCs w:val="21"/>
                      <w:highlight w:val="none"/>
                      <w:vertAlign w:val="superscript"/>
                      <w:lang w:val="en-US" w:eastAsia="zh-CN"/>
                    </w:rPr>
                    <w:t>-1</w:t>
                  </w:r>
                  <w:r>
                    <w:rPr>
                      <w:rFonts w:hint="eastAsia"/>
                      <w:color w:val="auto"/>
                      <w:sz w:val="21"/>
                      <w:szCs w:val="21"/>
                      <w:highlight w:val="none"/>
                      <w:lang w:val="en-US" w:eastAsia="zh-CN"/>
                    </w:rPr>
                    <w:t>-25000h</w:t>
                  </w:r>
                  <w:r>
                    <w:rPr>
                      <w:rFonts w:hint="eastAsia"/>
                      <w:color w:val="auto"/>
                      <w:sz w:val="21"/>
                      <w:szCs w:val="21"/>
                      <w:highlight w:val="none"/>
                      <w:vertAlign w:val="superscript"/>
                      <w:lang w:val="en-US" w:eastAsia="zh-CN"/>
                    </w:rPr>
                    <w:t>-1</w:t>
                  </w:r>
                  <w:r>
                    <w:rPr>
                      <w:rFonts w:hint="eastAsia"/>
                      <w:color w:val="auto"/>
                      <w:sz w:val="21"/>
                      <w:szCs w:val="21"/>
                      <w:highlight w:val="none"/>
                      <w:lang w:val="en-US" w:eastAsia="zh-CN"/>
                    </w:rPr>
                    <w:t>，处理浓度范围</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6g，催化床温度</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300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，催化剂处理效率</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90%；</w:t>
                  </w:r>
                  <w:r>
                    <w:rPr>
                      <w:rFonts w:hint="eastAsia"/>
                      <w:color w:val="auto"/>
                      <w:sz w:val="21"/>
                      <w:szCs w:val="21"/>
                      <w:highlight w:val="none"/>
                      <w:lang w:val="en-US" w:eastAsia="zh-CN"/>
                    </w:rPr>
                    <w:t>沸石分子筛转轮吸附浓缩催化燃烧系统具有独立的PLC控制系统，运行过程中，具有数据记录保存功能，记录时间间隔</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1min，保存时间不低于1年，按照要求记录参数。本项目</w:t>
                  </w:r>
                  <w:r>
                    <w:rPr>
                      <w:rFonts w:hint="eastAsia"/>
                      <w:color w:val="auto"/>
                      <w:sz w:val="21"/>
                      <w:szCs w:val="21"/>
                      <w:highlight w:val="none"/>
                      <w:lang w:val="en-US" w:eastAsia="zh-CN"/>
                    </w:rPr>
                    <w:t>沸石分子筛转轮浓缩装置脱附温度控制在180-220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w:t>
                  </w:r>
                  <w:r>
                    <w:rPr>
                      <w:rFonts w:hint="eastAsia"/>
                      <w:color w:val="auto"/>
                      <w:sz w:val="21"/>
                      <w:szCs w:val="21"/>
                      <w:highlight w:val="none"/>
                      <w:lang w:val="en-US" w:eastAsia="zh-CN"/>
                    </w:rPr>
                    <w:t>沸石分子筛转轮浓缩后气体的浓度不超过爆炸下限的25%；浓缩装置安装区域内按规定设置消防设施；沸石分子筛转轮的沸石分子筛具有耐高温及不燃特性；生产过程中采取相应措施保证沸石分子筛转轮的沸石分子筛在使用过程中不脱落。本项目建成后按照要做好台账记录。</w:t>
                  </w:r>
                </w:p>
              </w:tc>
              <w:tc>
                <w:tcPr>
                  <w:tcW w:w="896" w:type="dxa"/>
                  <w:noWrap w:val="0"/>
                  <w:vAlign w:val="center"/>
                </w:tcPr>
                <w:p w14:paraId="6DA11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7A0D3E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19" w:hRule="atLeast"/>
                <w:jc w:val="center"/>
              </w:trPr>
              <w:tc>
                <w:tcPr>
                  <w:tcW w:w="559" w:type="dxa"/>
                  <w:noWrap w:val="0"/>
                  <w:vAlign w:val="center"/>
                </w:tcPr>
                <w:p w14:paraId="4C2EE375">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1684" w:type="dxa"/>
                  <w:noWrap w:val="0"/>
                  <w:vAlign w:val="center"/>
                </w:tcPr>
                <w:p w14:paraId="230B72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《关于进一步做好涉VOCs行业环保监督管理的通知》（唐气领办[2019]16号）</w:t>
                  </w:r>
                </w:p>
              </w:tc>
              <w:tc>
                <w:tcPr>
                  <w:tcW w:w="6225" w:type="dxa"/>
                  <w:noWrap w:val="0"/>
                  <w:vAlign w:val="center"/>
                </w:tcPr>
                <w:p w14:paraId="32DBD7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zh-CN"/>
                    </w:rPr>
                  </w:pPr>
                  <w:r>
                    <w:rPr>
                      <w:rFonts w:hint="eastAsia" w:eastAsia="宋体"/>
                      <w:color w:val="auto"/>
                      <w:sz w:val="21"/>
                      <w:szCs w:val="21"/>
                      <w:highlight w:val="none"/>
                      <w:lang w:val="zh-CN"/>
                    </w:rPr>
                    <w:t>推广使用水性、高固体分、粉末、能量固化等涂料和先进涂装工艺。调漆、涂装、流平、晾干、烘干等工序应在密闭环境（船体等大型工件涂装及补漆确实不能实施密闭作业的除外）中进行，加强有机废气的收集与处理。</w:t>
                  </w:r>
                </w:p>
              </w:tc>
              <w:tc>
                <w:tcPr>
                  <w:tcW w:w="3675" w:type="dxa"/>
                  <w:noWrap w:val="0"/>
                  <w:vAlign w:val="center"/>
                </w:tcPr>
                <w:p w14:paraId="6ED6D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w:t>
                  </w:r>
                  <w:r>
                    <w:rPr>
                      <w:rFonts w:hint="eastAsia"/>
                      <w:color w:val="auto"/>
                      <w:sz w:val="21"/>
                      <w:szCs w:val="21"/>
                      <w:highlight w:val="none"/>
                      <w:lang w:val="en-US" w:eastAsia="zh-CN"/>
                    </w:rPr>
                    <w:t>本项目调漆、喷漆过程在密闭喷漆房内进行，烘干/晾干过程在密闭烘干房内进行，采用风机将调漆、喷漆、烘干/晾干、刮腻子、腻子打磨、除油、漆料及危废储存过程产生的废气采用风机引入1套</w:t>
                  </w:r>
                  <w:r>
                    <w:rPr>
                      <w:rFonts w:hint="eastAsia" w:cs="Times New Roman"/>
                      <w:color w:val="auto"/>
                      <w:sz w:val="21"/>
                      <w:szCs w:val="21"/>
                      <w:highlight w:val="none"/>
                      <w:lang w:val="en-US" w:eastAsia="zh-CN"/>
                    </w:rPr>
                    <w:t>干式喷漆柜</w:t>
                  </w:r>
                  <w:r>
                    <w:rPr>
                      <w:rFonts w:hint="eastAsia"/>
                      <w:color w:val="auto"/>
                      <w:sz w:val="21"/>
                      <w:szCs w:val="21"/>
                      <w:highlight w:val="none"/>
                      <w:lang w:val="en-US" w:eastAsia="zh-CN"/>
                    </w:rPr>
                    <w:t>+过滤棉箱过滤+沸石转轮+催化燃烧装置进行处理，处理后达标排放。</w:t>
                  </w:r>
                </w:p>
              </w:tc>
              <w:tc>
                <w:tcPr>
                  <w:tcW w:w="896" w:type="dxa"/>
                  <w:noWrap w:val="0"/>
                  <w:vAlign w:val="center"/>
                </w:tcPr>
                <w:p w14:paraId="43F99C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6FB8B6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2012" w:hRule="atLeast"/>
                <w:jc w:val="center"/>
              </w:trPr>
              <w:tc>
                <w:tcPr>
                  <w:tcW w:w="559" w:type="dxa"/>
                  <w:vMerge w:val="restart"/>
                  <w:noWrap w:val="0"/>
                  <w:vAlign w:val="center"/>
                </w:tcPr>
                <w:p w14:paraId="61920C31">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kern w:val="0"/>
                      <w:sz w:val="21"/>
                      <w:szCs w:val="21"/>
                      <w:highlight w:val="none"/>
                      <w:lang w:val="en-US" w:eastAsia="zh-CN" w:bidi="ar"/>
                    </w:rPr>
                  </w:pPr>
                </w:p>
              </w:tc>
              <w:tc>
                <w:tcPr>
                  <w:tcW w:w="1684" w:type="dxa"/>
                  <w:vMerge w:val="restart"/>
                  <w:noWrap w:val="0"/>
                  <w:vAlign w:val="center"/>
                </w:tcPr>
                <w:p w14:paraId="2DBAA1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关于开展涉挥发性有机物企业提标改造的通知</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唐环气[2022]1号</w:t>
                  </w:r>
                  <w:r>
                    <w:rPr>
                      <w:rFonts w:hint="eastAsia" w:cs="Times New Roman"/>
                      <w:color w:val="auto"/>
                      <w:sz w:val="21"/>
                      <w:szCs w:val="21"/>
                      <w:highlight w:val="none"/>
                      <w:lang w:eastAsia="zh-CN"/>
                    </w:rPr>
                    <w:t>）</w:t>
                  </w:r>
                </w:p>
              </w:tc>
              <w:tc>
                <w:tcPr>
                  <w:tcW w:w="6225" w:type="dxa"/>
                  <w:noWrap w:val="0"/>
                  <w:vAlign w:val="center"/>
                </w:tcPr>
                <w:p w14:paraId="5585B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eastAsia="宋体"/>
                      <w:color w:val="auto"/>
                      <w:sz w:val="21"/>
                      <w:szCs w:val="21"/>
                      <w:highlight w:val="none"/>
                    </w:rPr>
                    <w:t>提倡使用低VOCs或无VOCs的环保型原辅料。木质家具低VOCs涂料技术主要是使用水性涂料和UV固化涂料；金属家具多用电泳涂料、水性涂料和粉末涂料；胶粘剂则以水性或热熔型为主。工业涂装推荐使用粉末、水性、高固体分、辐射固化等低VOCs含量涂料，以及低VOCs含量、低反应活性的稀释剂、清洗剂、固化剂、胶粘剂、密封胶等，替代溶剂型涂料类材料</w:t>
                  </w:r>
                </w:p>
              </w:tc>
              <w:tc>
                <w:tcPr>
                  <w:tcW w:w="3675" w:type="dxa"/>
                  <w:noWrap w:val="0"/>
                  <w:vAlign w:val="center"/>
                </w:tcPr>
                <w:p w14:paraId="7E53A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w:t>
                  </w:r>
                </w:p>
              </w:tc>
              <w:tc>
                <w:tcPr>
                  <w:tcW w:w="896" w:type="dxa"/>
                  <w:noWrap w:val="0"/>
                  <w:vAlign w:val="center"/>
                </w:tcPr>
                <w:p w14:paraId="42863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12F1A2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continue"/>
                  <w:noWrap w:val="0"/>
                  <w:vAlign w:val="center"/>
                </w:tcPr>
                <w:p w14:paraId="22D744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p>
              </w:tc>
              <w:tc>
                <w:tcPr>
                  <w:tcW w:w="1684" w:type="dxa"/>
                  <w:vMerge w:val="continue"/>
                  <w:noWrap w:val="0"/>
                  <w:vAlign w:val="center"/>
                </w:tcPr>
                <w:p w14:paraId="0E190B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p>
              </w:tc>
              <w:tc>
                <w:tcPr>
                  <w:tcW w:w="6225" w:type="dxa"/>
                  <w:noWrap w:val="0"/>
                  <w:vAlign w:val="center"/>
                </w:tcPr>
                <w:p w14:paraId="02C82F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rPr>
                  </w:pPr>
                  <w:r>
                    <w:rPr>
                      <w:rFonts w:hint="eastAsia" w:eastAsia="宋体"/>
                      <w:color w:val="auto"/>
                      <w:sz w:val="21"/>
                      <w:szCs w:val="21"/>
                      <w:highlight w:val="none"/>
                    </w:rPr>
                    <w:t>①盛装含VOCs的涂料、稀释剂、清洗剂等原辅材料应密闭存储于密闭的容器、包装袋、储罐中，并置于具有防渗设施的室内或专用场地，确保VOCs原辅料贮存过程中容器加盖、封口、无破损和泄漏。②容器在使用过程中随用随开，用后及时密闭，在非取用状态时应加盖、封口，减少挥发；③废涂料桶和废溶剂存放于密闭的危废仓库中；④原辅材料采用密闭管道或密闭容器等输送。⑤以上要求写入车间操作规程，建立管理制度，明确专人负责落实到位</w:t>
                  </w:r>
                </w:p>
              </w:tc>
              <w:tc>
                <w:tcPr>
                  <w:tcW w:w="3675" w:type="dxa"/>
                  <w:noWrap w:val="0"/>
                  <w:vAlign w:val="center"/>
                </w:tcPr>
                <w:p w14:paraId="48544221">
                  <w:pPr>
                    <w:pStyle w:val="31"/>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eastAsia="宋体"/>
                      <w:color w:val="auto"/>
                      <w:sz w:val="21"/>
                      <w:szCs w:val="21"/>
                      <w:highlight w:val="none"/>
                    </w:rPr>
                  </w:pPr>
                  <w:r>
                    <w:rPr>
                      <w:rFonts w:hint="eastAsia"/>
                      <w:color w:val="auto"/>
                      <w:sz w:val="21"/>
                      <w:szCs w:val="21"/>
                      <w:highlight w:val="none"/>
                      <w:lang w:val="en-US" w:eastAsia="zh-CN"/>
                    </w:rPr>
                    <w:t>本项目所用漆料储存于油漆库，油漆库地面进行防渗处理；</w:t>
                  </w:r>
                  <w:r>
                    <w:rPr>
                      <w:rFonts w:hint="eastAsia" w:eastAsia="宋体"/>
                      <w:color w:val="auto"/>
                      <w:sz w:val="21"/>
                      <w:szCs w:val="21"/>
                      <w:highlight w:val="none"/>
                    </w:rPr>
                    <w:t>容器在使用过程中随用随开，用后及时密闭，在非取用状态时加盖、封口，减少挥发</w:t>
                  </w:r>
                  <w:r>
                    <w:rPr>
                      <w:rFonts w:hint="eastAsia"/>
                      <w:color w:val="auto"/>
                      <w:sz w:val="21"/>
                      <w:szCs w:val="21"/>
                      <w:highlight w:val="none"/>
                      <w:lang w:eastAsia="zh-CN"/>
                    </w:rPr>
                    <w:t>；</w:t>
                  </w:r>
                  <w:r>
                    <w:rPr>
                      <w:rFonts w:hint="eastAsia"/>
                      <w:color w:val="auto"/>
                      <w:sz w:val="21"/>
                      <w:szCs w:val="21"/>
                      <w:highlight w:val="none"/>
                      <w:lang w:val="en-US" w:eastAsia="zh-CN"/>
                    </w:rPr>
                    <w:t>涉VOCs物料均密闭包装输送。</w:t>
                  </w:r>
                </w:p>
              </w:tc>
              <w:tc>
                <w:tcPr>
                  <w:tcW w:w="896" w:type="dxa"/>
                  <w:noWrap w:val="0"/>
                  <w:vAlign w:val="center"/>
                </w:tcPr>
                <w:p w14:paraId="41D3A2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48879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2591" w:hRule="atLeast"/>
                <w:jc w:val="center"/>
              </w:trPr>
              <w:tc>
                <w:tcPr>
                  <w:tcW w:w="559" w:type="dxa"/>
                  <w:vMerge w:val="continue"/>
                  <w:noWrap w:val="0"/>
                  <w:vAlign w:val="center"/>
                </w:tcPr>
                <w:p w14:paraId="68EF8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rPr>
                  </w:pPr>
                </w:p>
              </w:tc>
              <w:tc>
                <w:tcPr>
                  <w:tcW w:w="1684" w:type="dxa"/>
                  <w:vMerge w:val="continue"/>
                  <w:noWrap w:val="0"/>
                  <w:vAlign w:val="center"/>
                </w:tcPr>
                <w:p w14:paraId="0D2D95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rPr>
                  </w:pPr>
                </w:p>
              </w:tc>
              <w:tc>
                <w:tcPr>
                  <w:tcW w:w="6225" w:type="dxa"/>
                  <w:noWrap w:val="0"/>
                  <w:vAlign w:val="center"/>
                </w:tcPr>
                <w:p w14:paraId="1FD332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eastAsia="zh-CN"/>
                    </w:rPr>
                  </w:pPr>
                  <w:r>
                    <w:rPr>
                      <w:rFonts w:hint="eastAsia" w:eastAsia="宋体"/>
                      <w:color w:val="auto"/>
                      <w:sz w:val="21"/>
                      <w:szCs w:val="21"/>
                      <w:highlight w:val="none"/>
                      <w:lang w:eastAsia="zh-CN"/>
                    </w:rPr>
                    <w:t>①涂料和胶粘剂等调配要采用密闭设备或在密闭空间内操作，废气必须有效收集排至VOCs废气收集处理系统；②无法密闭的，要采取局部气体收集，排至VOCs废气处理系统。③原辅料调配、转运与回收涂料、稀释剂、清洗剂等原辅料原则上实行集中调配，转运宜采用集中供料系统，无集中供料系统时原辅料应采用密闭容器封存，涂装作业结束应将剩余的所有涂料及含VOCs的辅料送回调配间或储存间密闭存储。④以上要求写入车间操作规程，建立管理制度，明确专人负责落实到位。</w:t>
                  </w:r>
                </w:p>
              </w:tc>
              <w:tc>
                <w:tcPr>
                  <w:tcW w:w="3675" w:type="dxa"/>
                  <w:noWrap w:val="0"/>
                  <w:vAlign w:val="center"/>
                </w:tcPr>
                <w:p w14:paraId="0D337F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本项目所用漆料密闭包装转运，调漆、喷漆过程均在密闭喷漆房中进行，喷漆结束后物料桶装加盖，储存于油漆库。</w:t>
                  </w:r>
                </w:p>
              </w:tc>
              <w:tc>
                <w:tcPr>
                  <w:tcW w:w="896" w:type="dxa"/>
                  <w:noWrap w:val="0"/>
                  <w:vAlign w:val="center"/>
                </w:tcPr>
                <w:p w14:paraId="5590C7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128DBC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continue"/>
                  <w:noWrap w:val="0"/>
                  <w:vAlign w:val="center"/>
                </w:tcPr>
                <w:p w14:paraId="54D88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rPr>
                  </w:pPr>
                </w:p>
              </w:tc>
              <w:tc>
                <w:tcPr>
                  <w:tcW w:w="1684" w:type="dxa"/>
                  <w:vMerge w:val="continue"/>
                  <w:noWrap w:val="0"/>
                  <w:vAlign w:val="center"/>
                </w:tcPr>
                <w:p w14:paraId="29E23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rPr>
                  </w:pPr>
                </w:p>
              </w:tc>
              <w:tc>
                <w:tcPr>
                  <w:tcW w:w="6225" w:type="dxa"/>
                  <w:noWrap w:val="0"/>
                  <w:vAlign w:val="center"/>
                </w:tcPr>
                <w:p w14:paraId="5A72BE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eastAsia="zh-CN"/>
                    </w:rPr>
                  </w:pPr>
                  <w:r>
                    <w:rPr>
                      <w:rFonts w:hint="eastAsia" w:eastAsia="宋体"/>
                      <w:color w:val="auto"/>
                      <w:sz w:val="21"/>
                      <w:szCs w:val="21"/>
                      <w:highlight w:val="none"/>
                      <w:lang w:eastAsia="zh-CN"/>
                    </w:rPr>
                    <w:t>①施胶、调配、喷涂、流平和干燥工序要在密闭空间内操作，密闭操作空间安装废气收集系统送VOCs治理设施处理，密闭操作空间实现负压操作，并设置负压标识（如飘带）。②无法在密闭空间操作的，对产生VOCs排放的生产工艺和装置必须设立局部或整体废气收集系统和净化处理装置。如采取车间环境负压改造、安装吸风罩等高效集气装置，吸风罩设计应符合《排风罩的分类及技术条件》（GB/T16758-2008）。③工业涂装生产线采用整体密闭的，密闭区域内换风次数原则上不少于20次</w:t>
                  </w:r>
                  <w:r>
                    <w:rPr>
                      <w:rFonts w:hint="eastAsia"/>
                      <w:color w:val="auto"/>
                      <w:sz w:val="21"/>
                      <w:szCs w:val="21"/>
                      <w:highlight w:val="none"/>
                      <w:lang w:val="en-US" w:eastAsia="zh-CN"/>
                    </w:rPr>
                    <w:t>/</w:t>
                  </w:r>
                  <w:r>
                    <w:rPr>
                      <w:rFonts w:hint="eastAsia" w:eastAsia="宋体"/>
                      <w:color w:val="auto"/>
                      <w:sz w:val="21"/>
                      <w:szCs w:val="21"/>
                      <w:highlight w:val="none"/>
                      <w:lang w:eastAsia="zh-CN"/>
                    </w:rPr>
                    <w:t>h，车间采用整体密闭的（如烘干、晾干车间、流平车间等），车间换风次数原则上不少于8次</w:t>
                  </w:r>
                  <w:r>
                    <w:rPr>
                      <w:rFonts w:hint="eastAsia"/>
                      <w:color w:val="auto"/>
                      <w:sz w:val="21"/>
                      <w:szCs w:val="21"/>
                      <w:highlight w:val="none"/>
                      <w:lang w:val="en-US" w:eastAsia="zh-CN"/>
                    </w:rPr>
                    <w:t>/</w:t>
                  </w:r>
                  <w:r>
                    <w:rPr>
                      <w:rFonts w:hint="eastAsia" w:eastAsia="宋体"/>
                      <w:color w:val="auto"/>
                      <w:sz w:val="21"/>
                      <w:szCs w:val="21"/>
                      <w:highlight w:val="none"/>
                      <w:lang w:eastAsia="zh-CN"/>
                    </w:rPr>
                    <w:t>h。废气收集系统收集的废气送VOCs治理设施处理。④VOCs废气收集系统应先于生产设施启动，后于对应设施关闭，VOCs废气收集处理系统发生故障或检修时，对应的生产工艺设备应停止运行，待检修完毕后同步投入使用。⑤废气收集系统材质应防腐防锈，定期维护，存在泄漏时需及时修复。⑥挥发性有机污染物各点源、各环节无组织排放得到高效控制，确保车间内（VOCs收集区域外）无明显异味，厂区内无异味。以上要求写入车间操作规程，建立管理制度，明确专人负责落实到位</w:t>
                  </w:r>
                  <w:r>
                    <w:rPr>
                      <w:rFonts w:hint="eastAsia"/>
                      <w:color w:val="auto"/>
                      <w:sz w:val="21"/>
                      <w:szCs w:val="21"/>
                      <w:highlight w:val="none"/>
                      <w:lang w:eastAsia="zh-CN"/>
                    </w:rPr>
                    <w:t>。</w:t>
                  </w:r>
                </w:p>
              </w:tc>
              <w:tc>
                <w:tcPr>
                  <w:tcW w:w="3675" w:type="dxa"/>
                  <w:noWrap w:val="0"/>
                  <w:vAlign w:val="center"/>
                </w:tcPr>
                <w:p w14:paraId="0383E3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本项目调漆、喷漆、刮腻子、腻子打磨、除油过程在密闭喷漆房内进行，烘干/晾干过程在密闭烘干房内进行，采用风机将</w:t>
                  </w:r>
                  <w:r>
                    <w:rPr>
                      <w:rFonts w:hint="eastAsia" w:cs="Times New Roman"/>
                      <w:b w:val="0"/>
                      <w:bCs w:val="0"/>
                      <w:caps w:val="0"/>
                      <w:smallCaps w:val="0"/>
                      <w:color w:val="auto"/>
                      <w:spacing w:val="0"/>
                      <w:kern w:val="2"/>
                      <w:position w:val="0"/>
                      <w:sz w:val="21"/>
                      <w:szCs w:val="21"/>
                      <w:highlight w:val="none"/>
                      <w:vertAlign w:val="baseline"/>
                      <w:lang w:val="en-US" w:eastAsia="zh-CN" w:bidi="ar-SA"/>
                    </w:rPr>
                    <w:t>调漆、喷漆、刮腻子、腻子打磨、除油</w:t>
                  </w:r>
                  <w:r>
                    <w:rPr>
                      <w:rFonts w:hint="eastAsia" w:cs="Times New Roman"/>
                      <w:color w:val="auto"/>
                      <w:sz w:val="21"/>
                      <w:szCs w:val="21"/>
                      <w:highlight w:val="none"/>
                      <w:lang w:val="en-US" w:eastAsia="zh-CN"/>
                    </w:rPr>
                    <w:t>过程产生的废气引入干式喷漆柜（纸盒）去除大部分颗粒物后，与烘干/晾干、漆料和危废储存过程产生的废气一起进入1套过滤棉箱过滤+沸石转轮+催化燃烧装置进行处理</w:t>
                  </w:r>
                  <w:r>
                    <w:rPr>
                      <w:rFonts w:hint="eastAsia"/>
                      <w:color w:val="auto"/>
                      <w:sz w:val="21"/>
                      <w:szCs w:val="21"/>
                      <w:highlight w:val="none"/>
                      <w:lang w:val="en-US" w:eastAsia="zh-CN"/>
                    </w:rPr>
                    <w:t>，处理后达标排放，喷漆房换气次数可达60次/h，烘干房换气次数可达20次/h。</w:t>
                  </w:r>
                  <w:r>
                    <w:rPr>
                      <w:rFonts w:hint="eastAsia" w:eastAsia="宋体"/>
                      <w:color w:val="auto"/>
                      <w:sz w:val="21"/>
                      <w:szCs w:val="21"/>
                      <w:highlight w:val="none"/>
                      <w:lang w:eastAsia="zh-CN"/>
                    </w:rPr>
                    <w:t>VOCs废气收集系统先于生产设施启动，后于对应设施关闭，VOCs废气收集处理系统发生故障或检修时，对应的生产工艺设备停止运行，待检修完毕后同步投入使用</w:t>
                  </w:r>
                  <w:r>
                    <w:rPr>
                      <w:rFonts w:hint="eastAsia"/>
                      <w:color w:val="auto"/>
                      <w:sz w:val="21"/>
                      <w:szCs w:val="21"/>
                      <w:highlight w:val="none"/>
                      <w:lang w:eastAsia="zh-CN"/>
                    </w:rPr>
                    <w:t>；</w:t>
                  </w:r>
                  <w:r>
                    <w:rPr>
                      <w:rFonts w:hint="eastAsia" w:eastAsia="宋体"/>
                      <w:color w:val="auto"/>
                      <w:sz w:val="21"/>
                      <w:szCs w:val="21"/>
                      <w:highlight w:val="none"/>
                      <w:lang w:eastAsia="zh-CN"/>
                    </w:rPr>
                    <w:t>废气收集系统材质防腐防锈，定期维护，存在泄漏时及时修复</w:t>
                  </w:r>
                  <w:r>
                    <w:rPr>
                      <w:rFonts w:hint="eastAsia"/>
                      <w:color w:val="auto"/>
                      <w:sz w:val="21"/>
                      <w:szCs w:val="21"/>
                      <w:highlight w:val="none"/>
                      <w:lang w:eastAsia="zh-CN"/>
                    </w:rPr>
                    <w:t>；</w:t>
                  </w:r>
                  <w:r>
                    <w:rPr>
                      <w:rFonts w:hint="eastAsia" w:eastAsia="宋体"/>
                      <w:color w:val="auto"/>
                      <w:sz w:val="21"/>
                      <w:szCs w:val="21"/>
                      <w:highlight w:val="none"/>
                      <w:lang w:eastAsia="zh-CN"/>
                    </w:rPr>
                    <w:t>车间内（VOCs收集区域外）无明显异味，厂区内无异味</w:t>
                  </w:r>
                  <w:r>
                    <w:rPr>
                      <w:rFonts w:hint="eastAsia"/>
                      <w:color w:val="auto"/>
                      <w:sz w:val="21"/>
                      <w:szCs w:val="21"/>
                      <w:highlight w:val="none"/>
                      <w:lang w:eastAsia="zh-CN"/>
                    </w:rPr>
                    <w:t>。</w:t>
                  </w:r>
                </w:p>
              </w:tc>
              <w:tc>
                <w:tcPr>
                  <w:tcW w:w="896" w:type="dxa"/>
                  <w:noWrap w:val="0"/>
                  <w:vAlign w:val="center"/>
                </w:tcPr>
                <w:p w14:paraId="316A69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47D354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4342" w:hRule="atLeast"/>
                <w:jc w:val="center"/>
              </w:trPr>
              <w:tc>
                <w:tcPr>
                  <w:tcW w:w="559" w:type="dxa"/>
                  <w:vMerge w:val="continue"/>
                  <w:noWrap w:val="0"/>
                  <w:vAlign w:val="center"/>
                </w:tcPr>
                <w:p w14:paraId="5EAC54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rPr>
                  </w:pPr>
                </w:p>
              </w:tc>
              <w:tc>
                <w:tcPr>
                  <w:tcW w:w="1684" w:type="dxa"/>
                  <w:vMerge w:val="continue"/>
                  <w:noWrap w:val="0"/>
                  <w:vAlign w:val="center"/>
                </w:tcPr>
                <w:p w14:paraId="42E44B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rPr>
                  </w:pPr>
                </w:p>
              </w:tc>
              <w:tc>
                <w:tcPr>
                  <w:tcW w:w="6225" w:type="dxa"/>
                  <w:noWrap w:val="0"/>
                  <w:vAlign w:val="center"/>
                </w:tcPr>
                <w:p w14:paraId="209FCF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lang w:eastAsia="zh-CN"/>
                    </w:rPr>
                  </w:pPr>
                  <w:r>
                    <w:rPr>
                      <w:rFonts w:hint="eastAsia" w:eastAsia="宋体"/>
                      <w:color w:val="auto"/>
                      <w:sz w:val="21"/>
                      <w:szCs w:val="21"/>
                      <w:highlight w:val="none"/>
                      <w:lang w:eastAsia="zh-CN"/>
                    </w:rPr>
                    <w:t>采取车间环境负压改造、安装的高效集气装置，吸风罩设计应符合《排风罩的分类及技术条件》（GB/T16758-2008）。设计风速满足以下要求：①采用半密闭罩或通风橱方式收集的，污染物产生点（面）处，往吸入口方向的控制风速不小于最低基准值（喷漆不小于0.9m/s，其余不小于0.6m/s）；②采用热态上吸风罩收集的，污染物产生点（面）处，往吸入口方向的控制风速不小于1.0m/s（热态指污染源散发气体温度≥60℃）；③采用冷态上吸风罩收集的，污染物产生点（面）处，往吸入口方向的控制风速不小于0.8m/s（冷态指污染源散发气体温度＜60</w:t>
                  </w:r>
                  <w:r>
                    <w:rPr>
                      <w:rFonts w:hint="default" w:ascii="Times New Roman" w:hAnsi="Times New Roman" w:eastAsia="宋体" w:cs="Times New Roman"/>
                      <w:color w:val="auto"/>
                      <w:sz w:val="21"/>
                      <w:szCs w:val="21"/>
                      <w:highlight w:val="none"/>
                      <w:lang w:eastAsia="zh-CN"/>
                    </w:rPr>
                    <w:t>℃</w:t>
                  </w:r>
                  <w:r>
                    <w:rPr>
                      <w:rFonts w:hint="eastAsia" w:eastAsia="宋体"/>
                      <w:color w:val="auto"/>
                      <w:sz w:val="21"/>
                      <w:szCs w:val="21"/>
                      <w:highlight w:val="none"/>
                      <w:lang w:eastAsia="zh-CN"/>
                    </w:rPr>
                    <w:t>）；④采用侧吸风罩方式收集的，污染物产生点（面）处，往吸入口方向的控制风速不小于1.2m/s，且吸风罩离污染源远端距离不大于0.6m。⑤工业涂装生产线采用整体密闭的，密闭区域内换风次数原则上不少于20次</w:t>
                  </w:r>
                  <w:r>
                    <w:rPr>
                      <w:rFonts w:hint="eastAsia"/>
                      <w:color w:val="auto"/>
                      <w:sz w:val="21"/>
                      <w:szCs w:val="21"/>
                      <w:highlight w:val="none"/>
                      <w:lang w:val="en-US" w:eastAsia="zh-CN"/>
                    </w:rPr>
                    <w:t>/</w:t>
                  </w:r>
                  <w:r>
                    <w:rPr>
                      <w:rFonts w:hint="eastAsia" w:eastAsia="宋体"/>
                      <w:color w:val="auto"/>
                      <w:sz w:val="21"/>
                      <w:szCs w:val="21"/>
                      <w:highlight w:val="none"/>
                      <w:lang w:eastAsia="zh-CN"/>
                    </w:rPr>
                    <w:t>h，车间采用整体密闭的（如烘干、晾干车间、流平车间等），车间换风次数原则上不少于8次</w:t>
                  </w:r>
                  <w:r>
                    <w:rPr>
                      <w:rFonts w:hint="eastAsia"/>
                      <w:color w:val="auto"/>
                      <w:sz w:val="21"/>
                      <w:szCs w:val="21"/>
                      <w:highlight w:val="none"/>
                      <w:lang w:val="en-US" w:eastAsia="zh-CN"/>
                    </w:rPr>
                    <w:t>/</w:t>
                  </w:r>
                  <w:r>
                    <w:rPr>
                      <w:rFonts w:hint="eastAsia" w:eastAsia="宋体"/>
                      <w:color w:val="auto"/>
                      <w:sz w:val="21"/>
                      <w:szCs w:val="21"/>
                      <w:highlight w:val="none"/>
                      <w:lang w:eastAsia="zh-CN"/>
                    </w:rPr>
                    <w:t>h</w:t>
                  </w:r>
                  <w:r>
                    <w:rPr>
                      <w:rFonts w:hint="eastAsia"/>
                      <w:color w:val="auto"/>
                      <w:sz w:val="21"/>
                      <w:szCs w:val="21"/>
                      <w:highlight w:val="none"/>
                      <w:lang w:eastAsia="zh-CN"/>
                    </w:rPr>
                    <w:t>。</w:t>
                  </w:r>
                </w:p>
              </w:tc>
              <w:tc>
                <w:tcPr>
                  <w:tcW w:w="3675" w:type="dxa"/>
                  <w:noWrap w:val="0"/>
                  <w:vAlign w:val="center"/>
                </w:tcPr>
                <w:p w14:paraId="763F3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本项目喷漆房、烘干房密闭，喷漆房换气次数可达60次/h，烘干房换气次数可达20次/h。</w:t>
                  </w:r>
                </w:p>
              </w:tc>
              <w:tc>
                <w:tcPr>
                  <w:tcW w:w="896" w:type="dxa"/>
                  <w:noWrap w:val="0"/>
                  <w:vAlign w:val="center"/>
                </w:tcPr>
                <w:p w14:paraId="54187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38C2DB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restart"/>
                  <w:noWrap w:val="0"/>
                  <w:vAlign w:val="center"/>
                </w:tcPr>
                <w:p w14:paraId="293FDE54">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sz w:val="21"/>
                      <w:szCs w:val="21"/>
                      <w:highlight w:val="none"/>
                    </w:rPr>
                  </w:pPr>
                </w:p>
              </w:tc>
              <w:tc>
                <w:tcPr>
                  <w:tcW w:w="1684" w:type="dxa"/>
                  <w:vMerge w:val="restart"/>
                  <w:noWrap w:val="0"/>
                  <w:vAlign w:val="center"/>
                </w:tcPr>
                <w:p w14:paraId="74CBD2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color w:val="auto"/>
                      <w:sz w:val="21"/>
                      <w:szCs w:val="21"/>
                      <w:highlight w:val="none"/>
                      <w:lang w:eastAsia="zh-CN"/>
                    </w:rPr>
                  </w:pPr>
                  <w:r>
                    <w:rPr>
                      <w:rFonts w:hint="eastAsia"/>
                      <w:color w:val="auto"/>
                      <w:kern w:val="0"/>
                      <w:sz w:val="21"/>
                      <w:szCs w:val="21"/>
                      <w:highlight w:val="none"/>
                      <w:lang w:val="en-US" w:eastAsia="zh-CN" w:bidi="ar"/>
                    </w:rPr>
                    <w:t>《唐山市重点行业涉VOCs治理技术推荐指导意见》（唐环气[2023]1号）</w:t>
                  </w:r>
                </w:p>
              </w:tc>
              <w:tc>
                <w:tcPr>
                  <w:tcW w:w="6225" w:type="dxa"/>
                  <w:noWrap w:val="0"/>
                  <w:vAlign w:val="center"/>
                </w:tcPr>
                <w:p w14:paraId="046B7C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1.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3675" w:type="dxa"/>
                  <w:noWrap w:val="0"/>
                  <w:vAlign w:val="center"/>
                </w:tcPr>
                <w:p w14:paraId="242BFA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w:t>
                  </w:r>
                  <w:r>
                    <w:rPr>
                      <w:rFonts w:hint="eastAsia"/>
                      <w:color w:val="auto"/>
                      <w:sz w:val="21"/>
                      <w:szCs w:val="21"/>
                      <w:highlight w:val="none"/>
                      <w:lang w:val="en-US" w:eastAsia="zh-CN"/>
                    </w:rPr>
                    <w:t>本项目调漆、喷漆、刮腻子、腻子打磨、除油过程在密闭喷漆房内进行，烘干/晾干过程在密闭烘干房内进行，采用风机将</w:t>
                  </w:r>
                  <w:r>
                    <w:rPr>
                      <w:rFonts w:hint="eastAsia" w:cs="Times New Roman"/>
                      <w:b w:val="0"/>
                      <w:bCs w:val="0"/>
                      <w:caps w:val="0"/>
                      <w:smallCaps w:val="0"/>
                      <w:color w:val="auto"/>
                      <w:spacing w:val="0"/>
                      <w:kern w:val="2"/>
                      <w:position w:val="0"/>
                      <w:sz w:val="21"/>
                      <w:szCs w:val="21"/>
                      <w:highlight w:val="none"/>
                      <w:vertAlign w:val="baseline"/>
                      <w:lang w:val="en-US" w:eastAsia="zh-CN" w:bidi="ar-SA"/>
                    </w:rPr>
                    <w:t>调漆、喷漆、刮腻子、腻子打磨、除油</w:t>
                  </w:r>
                  <w:r>
                    <w:rPr>
                      <w:rFonts w:hint="eastAsia" w:cs="Times New Roman"/>
                      <w:color w:val="auto"/>
                      <w:sz w:val="21"/>
                      <w:szCs w:val="21"/>
                      <w:highlight w:val="none"/>
                      <w:lang w:val="en-US" w:eastAsia="zh-CN"/>
                    </w:rPr>
                    <w:t>过程产生的废气引入干式喷漆柜（纸盒）去除大部分颗粒物后，与烘干/晾干、漆料和危废储存过程产生的废气一起进入1套过滤棉箱过滤+沸石转轮+催化燃烧装置进行处理</w:t>
                  </w:r>
                  <w:r>
                    <w:rPr>
                      <w:rFonts w:hint="eastAsia"/>
                      <w:color w:val="auto"/>
                      <w:sz w:val="21"/>
                      <w:szCs w:val="21"/>
                      <w:highlight w:val="none"/>
                      <w:lang w:val="en-US" w:eastAsia="zh-CN"/>
                    </w:rPr>
                    <w:t>，处理后达标排放。</w:t>
                  </w:r>
                </w:p>
              </w:tc>
              <w:tc>
                <w:tcPr>
                  <w:tcW w:w="896" w:type="dxa"/>
                  <w:noWrap w:val="0"/>
                  <w:vAlign w:val="center"/>
                </w:tcPr>
                <w:p w14:paraId="40322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2614A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1071" w:hRule="atLeast"/>
                <w:jc w:val="center"/>
              </w:trPr>
              <w:tc>
                <w:tcPr>
                  <w:tcW w:w="559" w:type="dxa"/>
                  <w:vMerge w:val="continue"/>
                  <w:noWrap w:val="0"/>
                  <w:vAlign w:val="center"/>
                </w:tcPr>
                <w:p w14:paraId="5EAD13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sz w:val="21"/>
                      <w:szCs w:val="21"/>
                      <w:highlight w:val="none"/>
                    </w:rPr>
                  </w:pPr>
                </w:p>
              </w:tc>
              <w:tc>
                <w:tcPr>
                  <w:tcW w:w="1684" w:type="dxa"/>
                  <w:vMerge w:val="continue"/>
                  <w:noWrap w:val="0"/>
                  <w:vAlign w:val="center"/>
                </w:tcPr>
                <w:p w14:paraId="3D8960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kern w:val="0"/>
                      <w:sz w:val="21"/>
                      <w:szCs w:val="21"/>
                      <w:highlight w:val="none"/>
                      <w:lang w:val="en-US" w:eastAsia="zh-CN" w:bidi="ar"/>
                    </w:rPr>
                  </w:pPr>
                </w:p>
              </w:tc>
              <w:tc>
                <w:tcPr>
                  <w:tcW w:w="6225" w:type="dxa"/>
                  <w:noWrap w:val="0"/>
                  <w:vAlign w:val="center"/>
                </w:tcPr>
                <w:p w14:paraId="434C7A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对低浓度、中风量（浓度≤300mg/m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；20000m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/h≤风量≤60000m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/h）的废气，宜采用活性炭吸附+移动催化燃烧（CO）或活性炭吸附+催化燃烧（CO）治理设施</w:t>
                  </w:r>
                  <w:r>
                    <w:rPr>
                      <w:rFonts w:hint="eastAsia" w:cs="Times New Roman"/>
                      <w:color w:val="auto"/>
                      <w:sz w:val="21"/>
                      <w:szCs w:val="21"/>
                      <w:highlight w:val="none"/>
                      <w:lang w:val="en-US" w:eastAsia="zh-CN"/>
                    </w:rPr>
                    <w:t>。</w:t>
                  </w:r>
                </w:p>
                <w:p w14:paraId="173BCC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对低浓度、中风量（浓度≤300mg/m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；20000m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/h≤风量≤60000m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/h）的废气，宜采用活性炭吸附+移动催化燃烧（CO）或活性炭吸附+催化燃烧（CO）治理设施</w:t>
                  </w:r>
                  <w:r>
                    <w:rPr>
                      <w:rFonts w:hint="eastAsia" w:ascii="Times New Roman" w:hAnsi="Times New Roman" w:eastAsia="宋体" w:cs="Times New Roman"/>
                      <w:color w:val="auto"/>
                      <w:sz w:val="21"/>
                      <w:szCs w:val="21"/>
                      <w:lang w:val="en-US" w:eastAsia="zh-CN"/>
                    </w:rPr>
                    <w:t>。</w:t>
                  </w:r>
                </w:p>
                <w:p w14:paraId="0CB3D3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4.对低浓度、大风量（浓度</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300mg/m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；60000m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风量</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200000m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/h）的废气，采用活性炭吸附+催化燃烧（CO）、沸石分子筛转轮浓缩+催化燃烧（CO）、沸石分子筛转轮浓缩+蓄热燃烧（RTO）等治理设施。</w:t>
                  </w:r>
                </w:p>
                <w:p w14:paraId="35E841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5.对中浓度（300mg/m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浓度</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1000mg/m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）的废气，采用沸石分子筛转轮浓缩+催化燃烧（CO）、沸石分子筛转轮浓缩+蓄热燃烧（RTO）等治理设施。</w:t>
                  </w:r>
                </w:p>
                <w:p w14:paraId="1A4809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6.对高浓度（2000mg/m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浓度≤6000mg/m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）的废气，宜采用蓄热燃烧（RTO）直接焚烧处理。</w:t>
                  </w:r>
                </w:p>
                <w:p w14:paraId="624D88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7.对浓度较高、风量</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10000m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/h，宜采用树脂吸附蒸汽脱附技术。</w:t>
                  </w:r>
                </w:p>
                <w:p w14:paraId="768869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8.对高浓度废气，优先进行溶剂回收，难以回收的，宜采用蓄热燃烧等技术。对于溶剂回收后仍然得不到排放标准的再根据溶剂回收的浓度及风量选用相应的二级治理设施。</w:t>
                  </w:r>
                </w:p>
              </w:tc>
              <w:tc>
                <w:tcPr>
                  <w:tcW w:w="3675" w:type="dxa"/>
                  <w:noWrap w:val="0"/>
                  <w:vAlign w:val="center"/>
                </w:tcPr>
                <w:p w14:paraId="6A21D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vertAlign w:val="baseline"/>
                      <w:lang w:val="en-US" w:eastAsia="zh-CN"/>
                    </w:rPr>
                  </w:pPr>
                  <w:r>
                    <w:rPr>
                      <w:rFonts w:hint="eastAsia"/>
                      <w:color w:val="auto"/>
                      <w:sz w:val="21"/>
                      <w:szCs w:val="21"/>
                      <w:highlight w:val="none"/>
                      <w:lang w:val="en-US" w:eastAsia="zh-CN"/>
                    </w:rPr>
                    <w:t>本项目吸附风机风量为30000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，非甲烷总烃产生浓度为</w:t>
                  </w:r>
                  <w:r>
                    <w:rPr>
                      <w:rFonts w:hint="eastAsia" w:cs="Times New Roman"/>
                      <w:color w:val="auto"/>
                      <w:sz w:val="21"/>
                      <w:szCs w:val="21"/>
                      <w:highlight w:val="none"/>
                      <w:lang w:val="en-US" w:eastAsia="zh-CN"/>
                    </w:rPr>
                    <w:t>28.5</w:t>
                  </w:r>
                  <w:r>
                    <w:rPr>
                      <w:rFonts w:hint="eastAsia" w:ascii="Times New Roman" w:hAnsi="Times New Roman" w:eastAsia="宋体" w:cs="Times New Roman"/>
                      <w:color w:val="auto"/>
                      <w:sz w:val="21"/>
                      <w:szCs w:val="21"/>
                      <w:highlight w:val="no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本项目所用漆料为油性漆，为保证去除效率，减少污染物排放，本项目</w:t>
                  </w:r>
                  <w:r>
                    <w:rPr>
                      <w:rFonts w:hint="eastAsia" w:ascii="Times New Roman" w:hAnsi="Times New Roman" w:eastAsia="宋体" w:cs="Times New Roman"/>
                      <w:color w:val="auto"/>
                      <w:sz w:val="21"/>
                      <w:szCs w:val="21"/>
                      <w:highlight w:val="none"/>
                      <w:vertAlign w:val="baseline"/>
                      <w:lang w:val="en-US" w:eastAsia="zh-CN"/>
                    </w:rPr>
                    <w:t>采用</w:t>
                  </w:r>
                  <w:r>
                    <w:rPr>
                      <w:rFonts w:hint="eastAsia" w:ascii="Times New Roman" w:hAnsi="Times New Roman" w:eastAsia="宋体" w:cs="Times New Roman"/>
                      <w:color w:val="auto"/>
                      <w:sz w:val="21"/>
                      <w:szCs w:val="21"/>
                      <w:lang w:val="en-US" w:eastAsia="zh-CN"/>
                    </w:rPr>
                    <w:t>沸石分子筛转轮浓缩+催化燃烧</w:t>
                  </w:r>
                  <w:r>
                    <w:rPr>
                      <w:rFonts w:hint="default" w:ascii="Times New Roman" w:hAnsi="Times New Roman" w:eastAsia="宋体" w:cs="Times New Roman"/>
                      <w:color w:val="auto"/>
                      <w:sz w:val="21"/>
                      <w:szCs w:val="21"/>
                      <w:highlight w:val="none"/>
                      <w:lang w:val="en-US" w:eastAsia="zh-CN"/>
                    </w:rPr>
                    <w:t>治理设施</w:t>
                  </w:r>
                  <w:r>
                    <w:rPr>
                      <w:rFonts w:hint="eastAsia" w:ascii="Times New Roman" w:hAnsi="Times New Roman" w:eastAsia="宋体" w:cs="Times New Roman"/>
                      <w:color w:val="auto"/>
                      <w:sz w:val="21"/>
                      <w:szCs w:val="21"/>
                      <w:highlight w:val="none"/>
                      <w:lang w:val="en-US" w:eastAsia="zh-CN"/>
                    </w:rPr>
                    <w:t>。</w:t>
                  </w:r>
                </w:p>
              </w:tc>
              <w:tc>
                <w:tcPr>
                  <w:tcW w:w="896" w:type="dxa"/>
                  <w:noWrap w:val="0"/>
                  <w:vAlign w:val="center"/>
                </w:tcPr>
                <w:p w14:paraId="77BD2C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ADF09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continue"/>
                  <w:noWrap w:val="0"/>
                  <w:vAlign w:val="center"/>
                </w:tcPr>
                <w:p w14:paraId="3E71B7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sz w:val="21"/>
                      <w:szCs w:val="21"/>
                      <w:highlight w:val="none"/>
                    </w:rPr>
                  </w:pPr>
                </w:p>
              </w:tc>
              <w:tc>
                <w:tcPr>
                  <w:tcW w:w="1684" w:type="dxa"/>
                  <w:vMerge w:val="continue"/>
                  <w:noWrap w:val="0"/>
                  <w:vAlign w:val="center"/>
                </w:tcPr>
                <w:p w14:paraId="29EA9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kern w:val="0"/>
                      <w:sz w:val="21"/>
                      <w:szCs w:val="21"/>
                      <w:highlight w:val="none"/>
                      <w:lang w:val="en-US" w:eastAsia="zh-CN" w:bidi="ar"/>
                    </w:rPr>
                  </w:pPr>
                </w:p>
              </w:tc>
              <w:tc>
                <w:tcPr>
                  <w:tcW w:w="6225" w:type="dxa"/>
                  <w:noWrap w:val="0"/>
                  <w:vAlign w:val="center"/>
                </w:tcPr>
                <w:p w14:paraId="5D1BB1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鼓励企业加快使用水性、无溶剂、粉末、辐射固化等低（无）VOCs含量的环保型涂料，限制使用溶剂型涂料。低VOCs含量涂料应符合《低挥发性有机化合物含量涂料产品技术要求》（GB/T 38597-2020）</w:t>
                  </w:r>
                </w:p>
              </w:tc>
              <w:tc>
                <w:tcPr>
                  <w:tcW w:w="3675" w:type="dxa"/>
                  <w:noWrap w:val="0"/>
                  <w:vAlign w:val="center"/>
                </w:tcPr>
                <w:p w14:paraId="7071EB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根据建设单位提供漆料VOCs检测报告及成分信息，本项目所用漆料均符合</w:t>
                  </w:r>
                  <w:r>
                    <w:rPr>
                      <w:rFonts w:hint="eastAsia" w:ascii="Times New Roman" w:hAnsi="Times New Roman" w:eastAsia="宋体" w:cs="Times New Roman"/>
                      <w:b w:val="0"/>
                      <w:bCs w:val="0"/>
                      <w:caps w:val="0"/>
                      <w:smallCaps w:val="0"/>
                      <w:color w:val="auto"/>
                      <w:spacing w:val="0"/>
                      <w:kern w:val="2"/>
                      <w:position w:val="0"/>
                      <w:sz w:val="21"/>
                      <w:szCs w:val="21"/>
                      <w:highlight w:val="none"/>
                      <w:vertAlign w:val="baseline"/>
                      <w:lang w:val="en-US" w:eastAsia="zh-CN" w:bidi="ar-SA"/>
                    </w:rPr>
                    <w:t>《低挥发性有机化合物含量涂料产品技术要求》（GB/T38597-2020）</w:t>
                  </w:r>
                  <w:r>
                    <w:rPr>
                      <w:rFonts w:hint="eastAsia" w:cs="Times New Roman"/>
                      <w:b w:val="0"/>
                      <w:bCs w:val="0"/>
                      <w:caps w:val="0"/>
                      <w:smallCaps w:val="0"/>
                      <w:color w:val="auto"/>
                      <w:spacing w:val="0"/>
                      <w:kern w:val="2"/>
                      <w:position w:val="0"/>
                      <w:sz w:val="21"/>
                      <w:szCs w:val="21"/>
                      <w:highlight w:val="none"/>
                      <w:vertAlign w:val="baseline"/>
                      <w:lang w:val="en-US" w:eastAsia="zh-CN" w:bidi="ar-SA"/>
                    </w:rPr>
                    <w:t>中相关限值</w:t>
                  </w:r>
                  <w:r>
                    <w:rPr>
                      <w:rFonts w:hint="eastAsia" w:ascii="Times New Roman" w:hAnsi="Times New Roman" w:cs="Times New Roman"/>
                      <w:b w:val="0"/>
                      <w:bCs w:val="0"/>
                      <w:caps w:val="0"/>
                      <w:smallCaps w:val="0"/>
                      <w:color w:val="auto"/>
                      <w:spacing w:val="0"/>
                      <w:kern w:val="2"/>
                      <w:position w:val="0"/>
                      <w:sz w:val="21"/>
                      <w:szCs w:val="21"/>
                      <w:highlight w:val="none"/>
                      <w:vertAlign w:val="baseline"/>
                      <w:lang w:val="en-US" w:eastAsia="zh-CN" w:bidi="ar-SA"/>
                    </w:rPr>
                    <w:t>要求，</w:t>
                  </w:r>
                  <w:r>
                    <w:rPr>
                      <w:rFonts w:hint="eastAsia" w:cs="Times New Roman"/>
                      <w:color w:val="auto"/>
                      <w:sz w:val="21"/>
                      <w:szCs w:val="21"/>
                      <w:highlight w:val="none"/>
                      <w:lang w:val="en-US" w:eastAsia="zh-CN"/>
                    </w:rPr>
                    <w:t>属于低VOCs原辅料。</w:t>
                  </w:r>
                </w:p>
              </w:tc>
              <w:tc>
                <w:tcPr>
                  <w:tcW w:w="896" w:type="dxa"/>
                  <w:noWrap w:val="0"/>
                  <w:vAlign w:val="center"/>
                </w:tcPr>
                <w:p w14:paraId="71556B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BBD0D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continue"/>
                  <w:noWrap w:val="0"/>
                  <w:vAlign w:val="center"/>
                </w:tcPr>
                <w:p w14:paraId="61010E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sz w:val="21"/>
                      <w:szCs w:val="21"/>
                      <w:highlight w:val="none"/>
                    </w:rPr>
                  </w:pPr>
                </w:p>
              </w:tc>
              <w:tc>
                <w:tcPr>
                  <w:tcW w:w="1684" w:type="dxa"/>
                  <w:vMerge w:val="continue"/>
                  <w:noWrap w:val="0"/>
                  <w:vAlign w:val="center"/>
                </w:tcPr>
                <w:p w14:paraId="1B38D1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kern w:val="0"/>
                      <w:sz w:val="21"/>
                      <w:szCs w:val="21"/>
                      <w:highlight w:val="none"/>
                      <w:lang w:val="en-US" w:eastAsia="zh-CN" w:bidi="ar"/>
                    </w:rPr>
                  </w:pPr>
                </w:p>
              </w:tc>
              <w:tc>
                <w:tcPr>
                  <w:tcW w:w="6225" w:type="dxa"/>
                  <w:noWrap w:val="0"/>
                  <w:vAlign w:val="center"/>
                </w:tcPr>
                <w:p w14:paraId="6E9D81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鼓励企业采用高效环保涂装工艺推广采用静电喷涂、淋涂、辊涂、浸涂、高压无气喷涂、空气辅助无气喷涂、热喷涂等涂装效率较高的涂装工艺。</w:t>
                  </w:r>
                </w:p>
              </w:tc>
              <w:tc>
                <w:tcPr>
                  <w:tcW w:w="3675" w:type="dxa"/>
                  <w:noWrap w:val="0"/>
                  <w:vAlign w:val="center"/>
                </w:tcPr>
                <w:p w14:paraId="2ACA4EEA">
                  <w:pPr>
                    <w:pStyle w:val="31"/>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本项目喷漆过程</w:t>
                  </w:r>
                  <w:r>
                    <w:rPr>
                      <w:rFonts w:hint="eastAsia" w:cs="Times New Roman"/>
                      <w:b w:val="0"/>
                      <w:bCs w:val="0"/>
                      <w:caps w:val="0"/>
                      <w:smallCaps w:val="0"/>
                      <w:color w:val="auto"/>
                      <w:spacing w:val="0"/>
                      <w:kern w:val="2"/>
                      <w:position w:val="0"/>
                      <w:sz w:val="21"/>
                      <w:szCs w:val="21"/>
                      <w:highlight w:val="none"/>
                      <w:vertAlign w:val="baseline"/>
                      <w:lang w:val="en-US" w:eastAsia="zh-CN" w:bidi="ar-SA"/>
                    </w:rPr>
                    <w:t>采用</w:t>
                  </w:r>
                  <w:r>
                    <w:rPr>
                      <w:rFonts w:hint="default" w:ascii="Times New Roman" w:hAnsi="Times New Roman" w:eastAsia="宋体" w:cs="Times New Roman"/>
                      <w:color w:val="auto"/>
                      <w:sz w:val="21"/>
                      <w:szCs w:val="21"/>
                      <w:highlight w:val="none"/>
                      <w:lang w:val="en-US" w:eastAsia="zh-CN"/>
                    </w:rPr>
                    <w:t>高流低压</w:t>
                  </w:r>
                  <w:r>
                    <w:rPr>
                      <w:rFonts w:hint="eastAsia" w:cs="Times New Roman"/>
                      <w:color w:val="auto"/>
                      <w:sz w:val="21"/>
                      <w:szCs w:val="21"/>
                      <w:highlight w:val="none"/>
                      <w:lang w:val="en-US" w:eastAsia="zh-CN"/>
                    </w:rPr>
                    <w:t>喷枪进行喷涂</w:t>
                  </w:r>
                  <w:r>
                    <w:rPr>
                      <w:rFonts w:hint="eastAsia" w:cs="Times New Roman"/>
                      <w:b w:val="0"/>
                      <w:bCs w:val="0"/>
                      <w:caps w:val="0"/>
                      <w:smallCaps w:val="0"/>
                      <w:color w:val="auto"/>
                      <w:spacing w:val="0"/>
                      <w:kern w:val="2"/>
                      <w:position w:val="0"/>
                      <w:sz w:val="21"/>
                      <w:szCs w:val="21"/>
                      <w:highlight w:val="none"/>
                      <w:vertAlign w:val="baseline"/>
                      <w:lang w:val="en-US" w:eastAsia="zh-CN" w:bidi="ar-SA"/>
                    </w:rPr>
                    <w:t>。</w:t>
                  </w:r>
                </w:p>
              </w:tc>
              <w:tc>
                <w:tcPr>
                  <w:tcW w:w="896" w:type="dxa"/>
                  <w:noWrap w:val="0"/>
                  <w:vAlign w:val="center"/>
                </w:tcPr>
                <w:p w14:paraId="2EF33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79CF9A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559" w:type="dxa"/>
                  <w:vMerge w:val="continue"/>
                  <w:noWrap w:val="0"/>
                  <w:vAlign w:val="center"/>
                </w:tcPr>
                <w:p w14:paraId="07A801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sz w:val="21"/>
                      <w:szCs w:val="21"/>
                      <w:highlight w:val="none"/>
                    </w:rPr>
                  </w:pPr>
                </w:p>
              </w:tc>
              <w:tc>
                <w:tcPr>
                  <w:tcW w:w="1684" w:type="dxa"/>
                  <w:vMerge w:val="continue"/>
                  <w:noWrap w:val="0"/>
                  <w:vAlign w:val="center"/>
                </w:tcPr>
                <w:p w14:paraId="18F4A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kern w:val="0"/>
                      <w:sz w:val="21"/>
                      <w:szCs w:val="21"/>
                      <w:highlight w:val="none"/>
                      <w:lang w:val="en-US" w:eastAsia="zh-CN" w:bidi="ar"/>
                    </w:rPr>
                  </w:pPr>
                </w:p>
              </w:tc>
              <w:tc>
                <w:tcPr>
                  <w:tcW w:w="6225" w:type="dxa"/>
                  <w:noWrap w:val="0"/>
                  <w:vAlign w:val="center"/>
                </w:tcPr>
                <w:p w14:paraId="4DA9D3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喷涂废气应设置高效漆雾处理装置。喷涂、晾（风）干废气宜采用吸附浓缩+燃烧处理方式，烘干废气宜采用燃烧法处理</w:t>
                  </w:r>
                </w:p>
              </w:tc>
              <w:tc>
                <w:tcPr>
                  <w:tcW w:w="3675" w:type="dxa"/>
                  <w:noWrap w:val="0"/>
                  <w:vAlign w:val="center"/>
                </w:tcPr>
                <w:p w14:paraId="4B2BEF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本项目调漆、喷漆、刮腻子、腻子打磨、除油过程在密闭喷漆房内进行，烘干/晾干过程在密闭烘干房内进行，采用风机将</w:t>
                  </w:r>
                  <w:r>
                    <w:rPr>
                      <w:rFonts w:hint="eastAsia" w:cs="Times New Roman"/>
                      <w:b w:val="0"/>
                      <w:bCs w:val="0"/>
                      <w:caps w:val="0"/>
                      <w:smallCaps w:val="0"/>
                      <w:color w:val="auto"/>
                      <w:spacing w:val="0"/>
                      <w:kern w:val="2"/>
                      <w:position w:val="0"/>
                      <w:sz w:val="21"/>
                      <w:szCs w:val="21"/>
                      <w:highlight w:val="none"/>
                      <w:vertAlign w:val="baseline"/>
                      <w:lang w:val="en-US" w:eastAsia="zh-CN" w:bidi="ar-SA"/>
                    </w:rPr>
                    <w:t>调漆、喷漆、刮腻子、腻子打磨、除油</w:t>
                  </w:r>
                  <w:r>
                    <w:rPr>
                      <w:rFonts w:hint="eastAsia" w:cs="Times New Roman"/>
                      <w:color w:val="auto"/>
                      <w:sz w:val="21"/>
                      <w:szCs w:val="21"/>
                      <w:highlight w:val="none"/>
                      <w:lang w:val="en-US" w:eastAsia="zh-CN"/>
                    </w:rPr>
                    <w:t>过程产生的废气引入干式喷漆柜（纸盒）去除大部分颗粒物后，与烘干/晾干、漆料和危废储存过程产生的废气一起进入1套过滤棉箱过滤+沸石转轮+催化燃烧装置进行处理</w:t>
                  </w:r>
                  <w:r>
                    <w:rPr>
                      <w:rFonts w:hint="eastAsia"/>
                      <w:color w:val="auto"/>
                      <w:sz w:val="21"/>
                      <w:szCs w:val="21"/>
                      <w:highlight w:val="none"/>
                      <w:lang w:val="en-US" w:eastAsia="zh-CN"/>
                    </w:rPr>
                    <w:t>，处理后达标排放。</w:t>
                  </w:r>
                </w:p>
              </w:tc>
              <w:tc>
                <w:tcPr>
                  <w:tcW w:w="896" w:type="dxa"/>
                  <w:noWrap w:val="0"/>
                  <w:vAlign w:val="center"/>
                </w:tcPr>
                <w:p w14:paraId="56BDFB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077BE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1698" w:hRule="atLeast"/>
                <w:jc w:val="center"/>
              </w:trPr>
              <w:tc>
                <w:tcPr>
                  <w:tcW w:w="559" w:type="dxa"/>
                  <w:vAlign w:val="center"/>
                </w:tcPr>
                <w:p w14:paraId="67FE58F3">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jc w:val="center"/>
                    <w:textAlignment w:val="center"/>
                    <w:rPr>
                      <w:rFonts w:hint="eastAsia" w:eastAsia="宋体"/>
                      <w:color w:val="auto"/>
                      <w:sz w:val="21"/>
                      <w:szCs w:val="21"/>
                      <w:highlight w:val="none"/>
                    </w:rPr>
                  </w:pPr>
                </w:p>
              </w:tc>
              <w:tc>
                <w:tcPr>
                  <w:tcW w:w="1684" w:type="dxa"/>
                  <w:vAlign w:val="center"/>
                </w:tcPr>
                <w:p w14:paraId="49D133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《挥发性有机物无组织排放控制标准》（GB37822-2019）</w:t>
                  </w:r>
                </w:p>
              </w:tc>
              <w:tc>
                <w:tcPr>
                  <w:tcW w:w="6225" w:type="dxa"/>
                  <w:vAlign w:val="center"/>
                </w:tcPr>
                <w:p w14:paraId="37FBF4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3675" w:type="dxa"/>
                  <w:vAlign w:val="center"/>
                </w:tcPr>
                <w:p w14:paraId="41947E42">
                  <w:pPr>
                    <w:pStyle w:val="31"/>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本项目所用漆料储存于油漆库，油漆库地面进行防渗处理；</w:t>
                  </w:r>
                  <w:r>
                    <w:rPr>
                      <w:rFonts w:hint="eastAsia" w:eastAsia="宋体"/>
                      <w:color w:val="auto"/>
                      <w:sz w:val="21"/>
                      <w:szCs w:val="21"/>
                      <w:highlight w:val="none"/>
                    </w:rPr>
                    <w:t>容器在使用过程中随用随开，用后及时密闭，在非取用状态时加盖、封口，减少挥发</w:t>
                  </w:r>
                  <w:r>
                    <w:rPr>
                      <w:rFonts w:hint="eastAsia"/>
                      <w:color w:val="auto"/>
                      <w:sz w:val="21"/>
                      <w:szCs w:val="21"/>
                      <w:highlight w:val="none"/>
                      <w:lang w:eastAsia="zh-CN"/>
                    </w:rPr>
                    <w:t>；</w:t>
                  </w:r>
                  <w:r>
                    <w:rPr>
                      <w:rFonts w:hint="eastAsia"/>
                      <w:color w:val="auto"/>
                      <w:sz w:val="21"/>
                      <w:szCs w:val="21"/>
                      <w:highlight w:val="none"/>
                      <w:lang w:val="en-US" w:eastAsia="zh-CN"/>
                    </w:rPr>
                    <w:t>涉VOCs物料均密闭包装输送。</w:t>
                  </w:r>
                </w:p>
              </w:tc>
              <w:tc>
                <w:tcPr>
                  <w:tcW w:w="896" w:type="dxa"/>
                  <w:vAlign w:val="center"/>
                </w:tcPr>
                <w:p w14:paraId="1A094B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152F8A50">
            <w:pPr>
              <w:bidi w:val="0"/>
              <w:rPr>
                <w:rFonts w:hint="eastAsia"/>
                <w:color w:val="auto"/>
                <w:lang w:val="en-US" w:eastAsia="zh-CN"/>
              </w:rPr>
            </w:pPr>
            <w:r>
              <w:rPr>
                <w:rFonts w:hint="eastAsia"/>
                <w:color w:val="auto"/>
                <w:lang w:val="en-US" w:eastAsia="zh-CN"/>
              </w:rPr>
              <w:t>由上表可知，项目符合VOCs环保政策要求。</w:t>
            </w:r>
          </w:p>
          <w:p w14:paraId="04B342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firstLine="0" w:firstLineChars="0"/>
              <w:jc w:val="left"/>
              <w:textAlignment w:val="auto"/>
              <w:rPr>
                <w:rFonts w:hint="default"/>
                <w:b/>
                <w:bCs/>
                <w:color w:val="auto"/>
                <w:sz w:val="24"/>
                <w:szCs w:val="24"/>
                <w:highlight w:val="none"/>
                <w:lang w:val="en-US"/>
              </w:rPr>
            </w:pPr>
            <w:r>
              <w:rPr>
                <w:rFonts w:hint="eastAsia"/>
                <w:b/>
                <w:bCs/>
                <w:color w:val="auto"/>
                <w:sz w:val="24"/>
                <w:szCs w:val="24"/>
                <w:highlight w:val="none"/>
                <w:lang w:val="en-US" w:eastAsia="zh-CN"/>
              </w:rPr>
              <w:t>7、</w:t>
            </w:r>
            <w:r>
              <w:rPr>
                <w:rFonts w:hint="eastAsia"/>
                <w:b/>
                <w:bCs/>
                <w:color w:val="auto"/>
                <w:sz w:val="24"/>
                <w:szCs w:val="24"/>
                <w:highlight w:val="none"/>
              </w:rPr>
              <w:t>与</w:t>
            </w:r>
            <w:r>
              <w:rPr>
                <w:rFonts w:hint="default" w:ascii="Times New Roman" w:hAnsi="Times New Roman" w:eastAsia="宋体" w:cs="Times New Roman"/>
                <w:b/>
                <w:bCs/>
                <w:color w:val="auto"/>
                <w:highlight w:val="none"/>
                <w:lang w:val="en-US" w:eastAsia="zh-CN"/>
              </w:rPr>
              <w:t>环境保护综合名录（2021年版）</w:t>
            </w:r>
            <w:r>
              <w:rPr>
                <w:rFonts w:hint="eastAsia"/>
                <w:b/>
                <w:bCs/>
                <w:color w:val="auto"/>
                <w:sz w:val="24"/>
                <w:szCs w:val="24"/>
                <w:highlight w:val="none"/>
                <w:lang w:val="en-US" w:eastAsia="zh-CN"/>
              </w:rPr>
              <w:t>符合性分析</w:t>
            </w:r>
          </w:p>
          <w:p w14:paraId="3353FBC5">
            <w:pPr>
              <w:rPr>
                <w:rFonts w:hint="eastAsia" w:ascii="黑体" w:hAnsi="黑体" w:eastAsia="黑体"/>
                <w:snapToGrid w:val="0"/>
                <w:color w:val="auto"/>
                <w:sz w:val="30"/>
                <w:szCs w:val="30"/>
                <w:highlight w:val="none"/>
                <w:vertAlign w:val="baseline"/>
              </w:rPr>
            </w:pPr>
            <w:r>
              <w:rPr>
                <w:rFonts w:hint="default" w:ascii="Times New Roman" w:hAnsi="Times New Roman" w:eastAsia="宋体" w:cs="Times New Roman"/>
                <w:color w:val="auto"/>
                <w:highlight w:val="none"/>
                <w:lang w:val="en-US" w:eastAsia="zh-CN"/>
              </w:rPr>
              <w:t>本项目产品不在《环境保护综合名录（2021年版）》（环办综合函</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2021</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495号）中</w:t>
            </w:r>
            <w:r>
              <w:rPr>
                <w:rFonts w:hint="eastAsia" w:ascii="宋体" w:hAnsi="宋体" w:eastAsia="宋体" w:cs="宋体"/>
                <w:color w:val="auto"/>
                <w:highlight w:val="none"/>
                <w:lang w:val="en-US" w:eastAsia="zh-CN"/>
              </w:rPr>
              <w:t>“高污染”、“高环境风险”、“高污染、高环境风险”</w:t>
            </w:r>
            <w:r>
              <w:rPr>
                <w:rFonts w:hint="default" w:ascii="Times New Roman" w:hAnsi="Times New Roman" w:eastAsia="宋体" w:cs="Times New Roman"/>
                <w:color w:val="auto"/>
                <w:highlight w:val="none"/>
                <w:lang w:val="en-US" w:eastAsia="zh-CN"/>
              </w:rPr>
              <w:t>产品名录之列</w:t>
            </w:r>
            <w:r>
              <w:rPr>
                <w:rFonts w:hint="eastAsia" w:ascii="Times New Roman" w:hAnsi="Times New Roman" w:eastAsia="宋体" w:cs="Times New Roman"/>
                <w:color w:val="auto"/>
                <w:highlight w:val="none"/>
                <w:lang w:val="en-US" w:eastAsia="zh-CN"/>
              </w:rPr>
              <w:t>。</w:t>
            </w:r>
          </w:p>
          <w:p w14:paraId="06EB79FA">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highlight w:val="none"/>
                <w:lang w:val="en-US" w:eastAsia="zh-CN"/>
              </w:rPr>
            </w:pPr>
          </w:p>
          <w:p w14:paraId="414AC648">
            <w:pPr>
              <w:pStyle w:val="2"/>
              <w:rPr>
                <w:rFonts w:hint="eastAsia"/>
                <w:color w:val="auto"/>
                <w:lang w:val="en-US" w:eastAsia="zh-CN"/>
              </w:rPr>
            </w:pPr>
          </w:p>
        </w:tc>
      </w:tr>
    </w:tbl>
    <w:p w14:paraId="306FCB6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highlight w:val="none"/>
          <w:lang w:val="zh-CN"/>
        </w:rPr>
        <w:sectPr>
          <w:footerReference r:id="rId9" w:type="default"/>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20A20D8">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ascii="黑体" w:hAnsi="黑体" w:eastAsia="黑体"/>
          <w:snapToGrid w:val="0"/>
          <w:color w:val="auto"/>
          <w:sz w:val="30"/>
          <w:szCs w:val="30"/>
          <w:highlight w:val="none"/>
        </w:rPr>
      </w:pPr>
      <w:bookmarkStart w:id="3" w:name="_Toc15867"/>
      <w:r>
        <w:rPr>
          <w:rFonts w:hint="eastAsia" w:ascii="黑体" w:hAnsi="黑体" w:eastAsia="黑体"/>
          <w:snapToGrid w:val="0"/>
          <w:color w:val="auto"/>
          <w:sz w:val="30"/>
          <w:szCs w:val="30"/>
          <w:highlight w:val="none"/>
        </w:rPr>
        <w:t>二、建设项目工程分析</w:t>
      </w:r>
      <w:bookmarkEnd w:id="3"/>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0"/>
        <w:gridCol w:w="8514"/>
      </w:tblGrid>
      <w:tr w14:paraId="415AC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40" w:type="dxa"/>
            <w:noWrap w:val="0"/>
            <w:vAlign w:val="center"/>
          </w:tcPr>
          <w:p w14:paraId="3F0236EB">
            <w:pPr>
              <w:pStyle w:val="31"/>
              <w:bidi w:val="0"/>
              <w:rPr>
                <w:color w:val="auto"/>
                <w:sz w:val="24"/>
                <w:szCs w:val="24"/>
                <w:highlight w:val="none"/>
              </w:rPr>
            </w:pPr>
            <w:r>
              <w:rPr>
                <w:rFonts w:hint="eastAsia"/>
                <w:color w:val="auto"/>
                <w:sz w:val="24"/>
                <w:szCs w:val="24"/>
                <w:highlight w:val="none"/>
              </w:rPr>
              <w:t>建设内容</w:t>
            </w:r>
          </w:p>
        </w:tc>
        <w:tc>
          <w:tcPr>
            <w:tcW w:w="8514" w:type="dxa"/>
            <w:noWrap w:val="0"/>
            <w:vAlign w:val="top"/>
          </w:tcPr>
          <w:p w14:paraId="57D569BA">
            <w:pPr>
              <w:keepNext w:val="0"/>
              <w:keepLines w:val="0"/>
              <w:pageBreakBefore w:val="0"/>
              <w:widowControl w:val="0"/>
              <w:numPr>
                <w:ilvl w:val="0"/>
                <w:numId w:val="7"/>
              </w:numPr>
              <w:suppressLineNumbers w:val="0"/>
              <w:kinsoku/>
              <w:wordWrap/>
              <w:overflowPunct/>
              <w:topLinePunct w:val="0"/>
              <w:autoSpaceDE w:val="0"/>
              <w:autoSpaceDN w:val="0"/>
              <w:bidi w:val="0"/>
              <w:adjustRightInd w:val="0"/>
              <w:snapToGrid/>
              <w:spacing w:beforeAutospacing="0" w:after="0" w:afterAutospacing="0" w:line="480" w:lineRule="exact"/>
              <w:ind w:right="0" w:firstLine="0" w:firstLineChars="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项目由来</w:t>
            </w:r>
          </w:p>
          <w:p w14:paraId="43A1AC62">
            <w:pPr>
              <w:bidi w:val="0"/>
              <w:rPr>
                <w:rFonts w:hint="default"/>
                <w:color w:val="auto"/>
                <w:sz w:val="24"/>
                <w:szCs w:val="24"/>
                <w:highlight w:val="none"/>
                <w:lang w:val="en-US" w:eastAsia="zh-CN"/>
              </w:rPr>
            </w:pPr>
            <w:r>
              <w:rPr>
                <w:rFonts w:hint="eastAsia"/>
                <w:color w:val="auto"/>
                <w:sz w:val="24"/>
                <w:szCs w:val="24"/>
                <w:highlight w:val="none"/>
                <w:lang w:val="en-US" w:eastAsia="zh-CN"/>
              </w:rPr>
              <w:t>中信重工开诚智能装备有限公司位于河北省唐山市高新技术产业开发区学院北路1686号，成立于2008年05月14日，于2021年05月实施了特种机器人研发及产业化基地项目，项目占地46668.08m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主要建设生产车间（智能机器人组装生产车间），该项目于2017年09月11日取得了唐山高新技术产业开发区行政审批局的审批意见（唐高审环表[2017]13号），并于2021年05月27日进行了自主验收，取得了专家签字的验收意见。企业于2021年05月20日进行了排污登记，取得固定污染源排污登记回执，登记编号：911302934746855014001W，有效期为2021年05月20日至2026年05月19日。</w:t>
            </w:r>
          </w:p>
          <w:p w14:paraId="4F92E247">
            <w:pPr>
              <w:bidi w:val="0"/>
              <w:rPr>
                <w:rFonts w:hint="default"/>
                <w:color w:val="auto"/>
                <w:sz w:val="24"/>
                <w:szCs w:val="24"/>
                <w:highlight w:val="none"/>
                <w:lang w:val="en-US" w:eastAsia="zh-CN"/>
              </w:rPr>
            </w:pPr>
            <w:r>
              <w:rPr>
                <w:rFonts w:hint="eastAsia"/>
                <w:color w:val="auto"/>
                <w:sz w:val="24"/>
                <w:szCs w:val="24"/>
                <w:highlight w:val="none"/>
                <w:lang w:val="en-US" w:eastAsia="zh-CN"/>
              </w:rPr>
              <w:t>中信重工开诚智能装备有限公司现机器人生产过程使用的壳体外购成品，委托其他单位进行喷涂加工，为提高生产效率，减低生产成本，中信重工开诚智能装备有限公司拟投资21028万元建设特种机器人研发及产业化基地项目（二期）项目，主要新建2栋生产厂房，1栋综合楼，在1#厂房内建设2座喷漆房、1座打磨房、1座烘干房，用于对外购的壳体进行除锈、除油、喷漆表面处理，喷漆后的壳体用于机器人生产，在2#厂房内购置安装高压试验设备，用于对产品进行高压试验。</w:t>
            </w:r>
          </w:p>
          <w:p w14:paraId="4913B3D5">
            <w:pPr>
              <w:bidi w:val="0"/>
              <w:rPr>
                <w:rFonts w:hint="eastAsia" w:eastAsia="宋体"/>
                <w:color w:val="auto"/>
                <w:sz w:val="24"/>
                <w:szCs w:val="24"/>
                <w:highlight w:val="none"/>
                <w:lang w:eastAsia="zh-CN"/>
              </w:rPr>
            </w:pPr>
            <w:r>
              <w:rPr>
                <w:rFonts w:hint="eastAsia"/>
                <w:color w:val="auto"/>
                <w:sz w:val="24"/>
                <w:szCs w:val="24"/>
                <w:highlight w:val="none"/>
                <w:lang w:val="en-US" w:eastAsia="zh-CN"/>
              </w:rPr>
              <w:t>本项目主要对外购的壳体进行除锈、除油、喷漆表面处理，喷漆后的成品自用，项目油性漆消耗量为8.78t/a。</w:t>
            </w:r>
            <w:r>
              <w:rPr>
                <w:rFonts w:hint="default"/>
                <w:color w:val="auto"/>
                <w:sz w:val="24"/>
                <w:szCs w:val="24"/>
                <w:highlight w:val="none"/>
                <w:lang w:eastAsia="zh-CN"/>
              </w:rPr>
              <w:t>根据《中华人民共和国环境保护法》、《中华人民共和国环境影响评价法》、《建设项目环境保护管理条例》（国务院</w:t>
            </w:r>
            <w:r>
              <w:rPr>
                <w:rFonts w:hint="eastAsia"/>
                <w:color w:val="auto"/>
                <w:sz w:val="24"/>
                <w:szCs w:val="24"/>
                <w:highlight w:val="none"/>
                <w:lang w:val="en-US" w:eastAsia="zh-CN"/>
              </w:rPr>
              <w:t>第</w:t>
            </w:r>
            <w:r>
              <w:rPr>
                <w:rFonts w:hint="default"/>
                <w:color w:val="auto"/>
                <w:sz w:val="24"/>
                <w:szCs w:val="24"/>
                <w:highlight w:val="none"/>
                <w:lang w:eastAsia="zh-CN"/>
              </w:rPr>
              <w:t>682号令）的要求，</w:t>
            </w:r>
            <w:r>
              <w:rPr>
                <w:rFonts w:hint="eastAsia"/>
                <w:color w:val="auto"/>
                <w:highlight w:val="none"/>
                <w:lang w:val="en-US" w:eastAsia="zh-CN"/>
              </w:rPr>
              <w:t>以及</w:t>
            </w:r>
            <w:r>
              <w:rPr>
                <w:rFonts w:hint="default"/>
                <w:color w:val="auto"/>
                <w:highlight w:val="none"/>
                <w:lang w:eastAsia="zh-CN"/>
              </w:rPr>
              <w:t>《建设项目环境影响评价分类管理名录》（</w:t>
            </w:r>
            <w:r>
              <w:rPr>
                <w:rFonts w:hint="default"/>
                <w:color w:val="auto"/>
                <w:highlight w:val="none"/>
                <w:lang w:val="en-US" w:eastAsia="zh-CN"/>
              </w:rPr>
              <w:t>2021年版</w:t>
            </w:r>
            <w:r>
              <w:rPr>
                <w:rFonts w:hint="default"/>
                <w:color w:val="auto"/>
                <w:highlight w:val="none"/>
                <w:lang w:eastAsia="zh-CN"/>
              </w:rPr>
              <w:t>）（部令</w:t>
            </w:r>
            <w:r>
              <w:rPr>
                <w:rFonts w:hint="default"/>
                <w:color w:val="auto"/>
                <w:highlight w:val="none"/>
                <w:lang w:val="en-US" w:eastAsia="zh-CN"/>
              </w:rPr>
              <w:t>第</w:t>
            </w:r>
            <w:r>
              <w:rPr>
                <w:rFonts w:hint="default"/>
                <w:color w:val="auto"/>
                <w:highlight w:val="none"/>
                <w:lang w:eastAsia="zh-CN"/>
              </w:rPr>
              <w:t>16号）等环保法律法规的相关规定</w:t>
            </w:r>
            <w:r>
              <w:rPr>
                <w:rFonts w:hint="eastAsia"/>
                <w:color w:val="auto"/>
                <w:highlight w:val="none"/>
                <w:lang w:eastAsia="zh-CN"/>
              </w:rPr>
              <w:t>，</w:t>
            </w:r>
            <w:r>
              <w:rPr>
                <w:rFonts w:hint="default"/>
                <w:color w:val="auto"/>
                <w:highlight w:val="none"/>
              </w:rPr>
              <w:t>该项目属于</w:t>
            </w:r>
            <w:r>
              <w:rPr>
                <w:rFonts w:hint="eastAsia"/>
                <w:color w:val="auto"/>
                <w:highlight w:val="none"/>
              </w:rPr>
              <w:t>“</w:t>
            </w:r>
            <w:r>
              <w:rPr>
                <w:rFonts w:hint="eastAsia"/>
                <w:color w:val="auto"/>
                <w:sz w:val="24"/>
                <w:szCs w:val="24"/>
                <w:highlight w:val="none"/>
                <w:lang w:val="en-US" w:eastAsia="zh-CN"/>
              </w:rPr>
              <w:t>三十、金属制品业33</w:t>
            </w:r>
            <w:r>
              <w:rPr>
                <w:rFonts w:hint="eastAsia" w:ascii="宋体" w:hAnsi="宋体" w:eastAsia="宋体" w:cs="宋体"/>
                <w:color w:val="auto"/>
                <w:sz w:val="24"/>
                <w:szCs w:val="24"/>
                <w:highlight w:val="none"/>
                <w:lang w:val="en-US" w:eastAsia="zh-CN"/>
              </w:rPr>
              <w:t>－</w:t>
            </w:r>
            <w:r>
              <w:rPr>
                <w:rFonts w:hint="eastAsia"/>
                <w:color w:val="auto"/>
                <w:sz w:val="24"/>
                <w:szCs w:val="24"/>
                <w:highlight w:val="none"/>
                <w:lang w:val="en-US" w:eastAsia="zh-CN"/>
              </w:rPr>
              <w:t>67.金属表面处理及热处理加工</w:t>
            </w:r>
            <w:r>
              <w:rPr>
                <w:rFonts w:hint="eastAsia" w:ascii="宋体" w:hAnsi="宋体" w:eastAsia="宋体" w:cs="宋体"/>
                <w:color w:val="auto"/>
                <w:sz w:val="24"/>
                <w:szCs w:val="24"/>
                <w:highlight w:val="none"/>
                <w:lang w:val="en-US" w:eastAsia="zh-CN"/>
              </w:rPr>
              <w:t>－</w:t>
            </w:r>
            <w:r>
              <w:rPr>
                <w:rFonts w:hint="eastAsia"/>
                <w:color w:val="auto"/>
                <w:sz w:val="24"/>
                <w:szCs w:val="24"/>
                <w:highlight w:val="none"/>
                <w:lang w:val="en-US" w:eastAsia="zh-CN"/>
              </w:rPr>
              <w:t>其他（年用非溶剂型低VOCs含量涂料10吨以下的除外）”</w:t>
            </w:r>
            <w:r>
              <w:rPr>
                <w:rFonts w:hint="eastAsia"/>
                <w:color w:val="auto"/>
                <w:highlight w:val="none"/>
                <w:lang w:val="en-US" w:eastAsia="zh-CN"/>
              </w:rPr>
              <w:t>，</w:t>
            </w:r>
            <w:r>
              <w:rPr>
                <w:rFonts w:hint="default"/>
                <w:color w:val="auto"/>
                <w:highlight w:val="none"/>
              </w:rPr>
              <w:t>应编制环境影响报告表。</w:t>
            </w:r>
            <w:r>
              <w:rPr>
                <w:rFonts w:hint="eastAsia"/>
                <w:color w:val="auto"/>
                <w:highlight w:val="none"/>
                <w:lang w:val="en-US" w:eastAsia="zh-CN"/>
              </w:rPr>
              <w:t>中信重工开诚智能装备有限公司</w:t>
            </w:r>
            <w:r>
              <w:rPr>
                <w:rFonts w:hint="default"/>
                <w:color w:val="auto"/>
                <w:highlight w:val="none"/>
              </w:rPr>
              <w:t>委托我公司承担该项目的环境影响报告表的编制工作，接受委托后，我单位立即开展了现场踏勘、资料收集等工作，</w:t>
            </w:r>
            <w:r>
              <w:rPr>
                <w:rFonts w:hint="eastAsia"/>
                <w:color w:val="auto"/>
                <w:highlight w:val="none"/>
                <w:lang w:val="en-US" w:eastAsia="zh-CN"/>
              </w:rPr>
              <w:t>并</w:t>
            </w:r>
            <w:r>
              <w:rPr>
                <w:rFonts w:hint="default"/>
                <w:color w:val="auto"/>
                <w:highlight w:val="none"/>
              </w:rPr>
              <w:t>根据国家、省、市有关环保政策、法规及</w:t>
            </w:r>
            <w:r>
              <w:rPr>
                <w:rFonts w:hint="eastAsia"/>
                <w:color w:val="auto"/>
                <w:sz w:val="24"/>
                <w:szCs w:val="24"/>
                <w:highlight w:val="none"/>
                <w:lang w:val="en-US" w:eastAsia="zh-CN"/>
              </w:rPr>
              <w:t>唐山市生态环境局高新技术产业开发区分局、唐山高新技术产业开发区行政审批局</w:t>
            </w:r>
            <w:r>
              <w:rPr>
                <w:rFonts w:hint="default"/>
                <w:color w:val="auto"/>
                <w:highlight w:val="none"/>
              </w:rPr>
              <w:t>要求，从本项目及周边环境实际出发，分析项目建设与运营对环境的影响，</w:t>
            </w:r>
            <w:r>
              <w:rPr>
                <w:rFonts w:hint="eastAsia"/>
                <w:color w:val="auto"/>
                <w:highlight w:val="none"/>
                <w:lang w:val="en-US" w:eastAsia="zh-CN"/>
              </w:rPr>
              <w:t>编制完成了</w:t>
            </w:r>
            <w:r>
              <w:rPr>
                <w:rFonts w:hint="default"/>
                <w:color w:val="auto"/>
                <w:highlight w:val="none"/>
              </w:rPr>
              <w:t>本项目环境影响报告表</w:t>
            </w:r>
            <w:r>
              <w:rPr>
                <w:rFonts w:hint="eastAsia"/>
                <w:color w:val="auto"/>
                <w:highlight w:val="none"/>
                <w:lang w:eastAsia="zh-CN"/>
              </w:rPr>
              <w:t>。</w:t>
            </w:r>
          </w:p>
          <w:p w14:paraId="2A434EF3">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Times New Roman" w:hAnsi="Times New Roman" w:cs="Times New Roman"/>
                <w:b/>
                <w:bCs/>
                <w:color w:val="auto"/>
                <w:sz w:val="24"/>
                <w:szCs w:val="24"/>
                <w:highlight w:val="none"/>
                <w:lang w:val="en-US" w:eastAsia="zh-CN"/>
              </w:rPr>
            </w:pPr>
            <w:r>
              <w:rPr>
                <w:rFonts w:hint="eastAsia"/>
                <w:color w:val="auto"/>
                <w:sz w:val="24"/>
                <w:szCs w:val="24"/>
                <w:highlight w:val="none"/>
                <w:lang w:val="en-US" w:eastAsia="zh-CN"/>
              </w:rPr>
              <w:t>二</w:t>
            </w:r>
            <w:r>
              <w:rPr>
                <w:rFonts w:hint="eastAsia"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现有</w:t>
            </w:r>
            <w:r>
              <w:rPr>
                <w:rFonts w:hint="eastAsia" w:ascii="Times New Roman" w:hAnsi="Times New Roman" w:cs="Times New Roman"/>
                <w:b/>
                <w:bCs/>
                <w:color w:val="auto"/>
                <w:sz w:val="24"/>
                <w:szCs w:val="24"/>
                <w:highlight w:val="none"/>
                <w:lang w:val="en-US" w:eastAsia="zh-CN"/>
              </w:rPr>
              <w:t>工程建设情况</w:t>
            </w:r>
          </w:p>
          <w:p w14:paraId="62DA8CFF">
            <w:pPr>
              <w:bidi w:val="0"/>
              <w:rPr>
                <w:rFonts w:hint="default"/>
                <w:color w:val="auto"/>
                <w:highlight w:val="none"/>
              </w:rPr>
            </w:pPr>
            <w:r>
              <w:rPr>
                <w:rFonts w:hint="eastAsia"/>
                <w:color w:val="auto"/>
                <w:highlight w:val="none"/>
                <w:lang w:val="en-US" w:eastAsia="zh-CN"/>
              </w:rPr>
              <w:t>1、</w:t>
            </w:r>
            <w:r>
              <w:rPr>
                <w:rFonts w:hint="default"/>
                <w:color w:val="auto"/>
                <w:highlight w:val="none"/>
              </w:rPr>
              <w:t>建设单位：</w:t>
            </w:r>
            <w:r>
              <w:rPr>
                <w:rFonts w:hint="eastAsia"/>
                <w:color w:val="auto"/>
                <w:sz w:val="24"/>
                <w:szCs w:val="24"/>
                <w:highlight w:val="none"/>
                <w:lang w:val="en-US" w:eastAsia="zh-CN"/>
              </w:rPr>
              <w:t>中信重工开诚智能装备有限公司</w:t>
            </w:r>
            <w:r>
              <w:rPr>
                <w:rFonts w:hint="default"/>
                <w:color w:val="auto"/>
                <w:highlight w:val="none"/>
              </w:rPr>
              <w:t>。</w:t>
            </w:r>
          </w:p>
          <w:p w14:paraId="7E468496">
            <w:pPr>
              <w:bidi w:val="0"/>
              <w:rPr>
                <w:rFonts w:hint="eastAsia" w:eastAsia="宋体"/>
                <w:color w:val="auto"/>
                <w:highlight w:val="none"/>
                <w:lang w:val="en-US" w:eastAsia="zh-CN"/>
              </w:rPr>
            </w:pPr>
            <w:r>
              <w:rPr>
                <w:rFonts w:hint="eastAsia"/>
                <w:color w:val="auto"/>
                <w:highlight w:val="none"/>
                <w:lang w:val="en-US" w:eastAsia="zh-CN"/>
              </w:rPr>
              <w:t>2、</w:t>
            </w:r>
            <w:r>
              <w:rPr>
                <w:rFonts w:hint="default"/>
                <w:color w:val="auto"/>
                <w:highlight w:val="none"/>
              </w:rPr>
              <w:t>建设地点：</w:t>
            </w:r>
            <w:r>
              <w:rPr>
                <w:rFonts w:hint="eastAsia"/>
                <w:color w:val="auto"/>
                <w:sz w:val="24"/>
                <w:szCs w:val="30"/>
                <w:highlight w:val="none"/>
                <w:lang w:eastAsia="zh-CN"/>
              </w:rPr>
              <w:t>河北省唐山市高新技术产业开发区学院北路1686号</w:t>
            </w:r>
            <w:r>
              <w:rPr>
                <w:rFonts w:hint="default"/>
                <w:color w:val="auto"/>
                <w:highlight w:val="none"/>
              </w:rPr>
              <w:t>。</w:t>
            </w:r>
          </w:p>
          <w:p w14:paraId="5E26FA62">
            <w:pPr>
              <w:bidi w:val="0"/>
              <w:rPr>
                <w:rFonts w:hint="default" w:eastAsia="宋体"/>
                <w:color w:val="auto"/>
                <w:sz w:val="24"/>
                <w:szCs w:val="24"/>
                <w:highlight w:val="none"/>
                <w:lang w:val="en-US" w:eastAsia="zh-CN"/>
              </w:rPr>
            </w:pPr>
            <w:r>
              <w:rPr>
                <w:rFonts w:hint="eastAsia"/>
                <w:color w:val="auto"/>
                <w:sz w:val="24"/>
                <w:szCs w:val="24"/>
                <w:highlight w:val="none"/>
                <w:lang w:val="en-US" w:eastAsia="zh-CN"/>
              </w:rPr>
              <w:t>3、建设规模及内容：占地面积46668.08m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，建筑面积34290.75m</w:t>
            </w:r>
            <w:r>
              <w:rPr>
                <w:rFonts w:hint="eastAsia"/>
                <w:color w:val="auto"/>
                <w:sz w:val="24"/>
                <w:szCs w:val="24"/>
                <w:highlight w:val="none"/>
                <w:vertAlign w:val="superscript"/>
                <w:lang w:val="en-US" w:eastAsia="zh-CN"/>
              </w:rPr>
              <w:t>2</w:t>
            </w:r>
            <w:r>
              <w:rPr>
                <w:rFonts w:hint="eastAsia"/>
                <w:color w:val="auto"/>
                <w:sz w:val="24"/>
                <w:szCs w:val="24"/>
                <w:highlight w:val="none"/>
                <w:vertAlign w:val="baseline"/>
                <w:lang w:val="en-US" w:eastAsia="zh-CN"/>
              </w:rPr>
              <w:t>，主要建设智能机器人组装生产车间</w:t>
            </w:r>
            <w:r>
              <w:rPr>
                <w:rFonts w:hint="default"/>
                <w:color w:val="auto"/>
                <w:sz w:val="24"/>
                <w:szCs w:val="24"/>
                <w:highlight w:val="none"/>
              </w:rPr>
              <w:t>。</w:t>
            </w:r>
            <w:r>
              <w:rPr>
                <w:rFonts w:hint="eastAsia"/>
                <w:color w:val="auto"/>
                <w:sz w:val="24"/>
                <w:szCs w:val="24"/>
                <w:highlight w:val="none"/>
                <w:lang w:val="en-US" w:eastAsia="zh-CN"/>
              </w:rPr>
              <w:t>现有工程主要建筑物情况见下表。</w:t>
            </w:r>
          </w:p>
          <w:p w14:paraId="39993389">
            <w:pPr>
              <w:pStyle w:val="33"/>
              <w:bidi w:val="0"/>
              <w:rPr>
                <w:color w:val="auto"/>
                <w:highlight w:val="none"/>
              </w:rPr>
            </w:pPr>
            <w:r>
              <w:rPr>
                <w:rFonts w:hint="eastAsia"/>
                <w:color w:val="auto"/>
                <w:highlight w:val="none"/>
              </w:rPr>
              <w:t>表</w:t>
            </w:r>
            <w:r>
              <w:rPr>
                <w:rFonts w:hint="eastAsia"/>
                <w:color w:val="auto"/>
                <w:highlight w:val="none"/>
                <w:lang w:val="en-US" w:eastAsia="zh-CN"/>
              </w:rPr>
              <w:t>8</w:t>
            </w:r>
            <w:r>
              <w:rPr>
                <w:rFonts w:hint="eastAsia"/>
                <w:color w:val="auto"/>
                <w:highlight w:val="none"/>
              </w:rPr>
              <w:t xml:space="preserve">  </w:t>
            </w:r>
            <w:r>
              <w:rPr>
                <w:rFonts w:hint="eastAsia"/>
                <w:color w:val="auto"/>
                <w:highlight w:val="none"/>
                <w:lang w:val="en-US" w:eastAsia="zh-CN"/>
              </w:rPr>
              <w:t>现有工程</w:t>
            </w:r>
            <w:r>
              <w:rPr>
                <w:color w:val="auto"/>
                <w:highlight w:val="none"/>
              </w:rPr>
              <w:t>主要建、构筑物一览表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500"/>
              <w:gridCol w:w="1665"/>
              <w:gridCol w:w="1935"/>
              <w:gridCol w:w="2512"/>
            </w:tblGrid>
            <w:tr w14:paraId="39317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665" w:type="dxa"/>
                  <w:tcBorders>
                    <w:tl2br w:val="nil"/>
                    <w:tr2bl w:val="nil"/>
                  </w:tcBorders>
                  <w:noWrap w:val="0"/>
                  <w:vAlign w:val="center"/>
                </w:tcPr>
                <w:p w14:paraId="124A59F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序号</w:t>
                  </w:r>
                </w:p>
              </w:tc>
              <w:tc>
                <w:tcPr>
                  <w:tcW w:w="1500" w:type="dxa"/>
                  <w:tcBorders>
                    <w:tl2br w:val="nil"/>
                    <w:tr2bl w:val="nil"/>
                  </w:tcBorders>
                  <w:noWrap w:val="0"/>
                  <w:vAlign w:val="center"/>
                </w:tcPr>
                <w:p w14:paraId="6F394A8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名称</w:t>
                  </w:r>
                </w:p>
              </w:tc>
              <w:tc>
                <w:tcPr>
                  <w:tcW w:w="1665" w:type="dxa"/>
                  <w:tcBorders>
                    <w:tl2br w:val="nil"/>
                    <w:tr2bl w:val="nil"/>
                  </w:tcBorders>
                  <w:noWrap w:val="0"/>
                  <w:vAlign w:val="center"/>
                </w:tcPr>
                <w:p w14:paraId="3809850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eastAsia"/>
                      <w:color w:val="auto"/>
                      <w:sz w:val="21"/>
                      <w:szCs w:val="21"/>
                      <w:highlight w:val="none"/>
                      <w:lang w:val="en-US" w:eastAsia="zh-CN"/>
                    </w:rPr>
                    <w:t>占地</w:t>
                  </w:r>
                  <w:r>
                    <w:rPr>
                      <w:rFonts w:hint="default"/>
                      <w:color w:val="auto"/>
                      <w:sz w:val="21"/>
                      <w:szCs w:val="21"/>
                      <w:highlight w:val="none"/>
                    </w:rPr>
                    <w:t>面积（m</w:t>
                  </w:r>
                  <w:r>
                    <w:rPr>
                      <w:rFonts w:hint="default"/>
                      <w:color w:val="auto"/>
                      <w:sz w:val="21"/>
                      <w:szCs w:val="21"/>
                      <w:highlight w:val="none"/>
                      <w:vertAlign w:val="superscript"/>
                    </w:rPr>
                    <w:t>2</w:t>
                  </w:r>
                  <w:r>
                    <w:rPr>
                      <w:rFonts w:hint="default"/>
                      <w:color w:val="auto"/>
                      <w:sz w:val="21"/>
                      <w:szCs w:val="21"/>
                      <w:highlight w:val="none"/>
                    </w:rPr>
                    <w:t>）</w:t>
                  </w:r>
                </w:p>
              </w:tc>
              <w:tc>
                <w:tcPr>
                  <w:tcW w:w="1935" w:type="dxa"/>
                  <w:tcBorders>
                    <w:tl2br w:val="nil"/>
                    <w:tr2bl w:val="nil"/>
                  </w:tcBorders>
                  <w:noWrap w:val="0"/>
                  <w:vAlign w:val="center"/>
                </w:tcPr>
                <w:p w14:paraId="37D0618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建筑面积（</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lang w:val="en-US" w:eastAsia="zh-CN"/>
                    </w:rPr>
                    <w:t>）</w:t>
                  </w:r>
                </w:p>
              </w:tc>
              <w:tc>
                <w:tcPr>
                  <w:tcW w:w="2512" w:type="dxa"/>
                  <w:tcBorders>
                    <w:tl2br w:val="nil"/>
                    <w:tr2bl w:val="nil"/>
                  </w:tcBorders>
                  <w:noWrap w:val="0"/>
                  <w:vAlign w:val="center"/>
                </w:tcPr>
                <w:p w14:paraId="7DC3744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备注</w:t>
                  </w:r>
                </w:p>
              </w:tc>
            </w:tr>
            <w:tr w14:paraId="46D6A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665" w:type="dxa"/>
                  <w:tcBorders>
                    <w:tl2br w:val="nil"/>
                    <w:tr2bl w:val="nil"/>
                  </w:tcBorders>
                  <w:noWrap w:val="0"/>
                  <w:vAlign w:val="center"/>
                </w:tcPr>
                <w:p w14:paraId="31DE46F5">
                  <w:pPr>
                    <w:pStyle w:val="31"/>
                    <w:keepNext w:val="0"/>
                    <w:keepLines w:val="0"/>
                    <w:pageBreakBefore w:val="0"/>
                    <w:widowControl w:val="0"/>
                    <w:numPr>
                      <w:ilvl w:val="0"/>
                      <w:numId w:val="8"/>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500" w:type="dxa"/>
                  <w:tcBorders>
                    <w:tl2br w:val="nil"/>
                    <w:tr2bl w:val="nil"/>
                  </w:tcBorders>
                  <w:noWrap w:val="0"/>
                  <w:vAlign w:val="center"/>
                </w:tcPr>
                <w:p w14:paraId="119869DE">
                  <w:pPr>
                    <w:pStyle w:val="31"/>
                    <w:ind w:firstLine="0" w:firstLineChars="0"/>
                    <w:rPr>
                      <w:rFonts w:hint="default" w:eastAsia="宋体"/>
                      <w:color w:val="auto"/>
                      <w:sz w:val="21"/>
                      <w:szCs w:val="21"/>
                      <w:highlight w:val="none"/>
                      <w:lang w:val="en-US" w:eastAsia="zh-CN"/>
                    </w:rPr>
                  </w:pPr>
                  <w:r>
                    <w:rPr>
                      <w:rFonts w:hint="eastAsia"/>
                      <w:color w:val="auto"/>
                      <w:sz w:val="21"/>
                      <w:szCs w:val="21"/>
                      <w:highlight w:val="none"/>
                      <w:lang w:val="en-US" w:eastAsia="zh-CN"/>
                    </w:rPr>
                    <w:t>智能机器人组装生产车间</w:t>
                  </w:r>
                </w:p>
              </w:tc>
              <w:tc>
                <w:tcPr>
                  <w:tcW w:w="1665" w:type="dxa"/>
                  <w:tcBorders>
                    <w:tl2br w:val="nil"/>
                    <w:tr2bl w:val="nil"/>
                  </w:tcBorders>
                  <w:noWrap w:val="0"/>
                  <w:vAlign w:val="center"/>
                </w:tcPr>
                <w:p w14:paraId="2DF7284A">
                  <w:pPr>
                    <w:pStyle w:val="31"/>
                    <w:ind w:firstLine="0" w:firstLineChars="0"/>
                    <w:rPr>
                      <w:rFonts w:hint="default"/>
                      <w:color w:val="auto"/>
                      <w:sz w:val="21"/>
                      <w:highlight w:val="none"/>
                      <w:lang w:val="en-US" w:eastAsia="zh-CN"/>
                    </w:rPr>
                  </w:pPr>
                  <w:r>
                    <w:rPr>
                      <w:rFonts w:hint="eastAsia"/>
                      <w:color w:val="auto"/>
                      <w:sz w:val="21"/>
                      <w:highlight w:val="none"/>
                      <w:lang w:val="en-US" w:eastAsia="zh-CN"/>
                    </w:rPr>
                    <w:t>11098.94</w:t>
                  </w:r>
                </w:p>
              </w:tc>
              <w:tc>
                <w:tcPr>
                  <w:tcW w:w="1935" w:type="dxa"/>
                  <w:tcBorders>
                    <w:tl2br w:val="nil"/>
                    <w:tr2bl w:val="nil"/>
                  </w:tcBorders>
                  <w:noWrap w:val="0"/>
                  <w:vAlign w:val="center"/>
                </w:tcPr>
                <w:p w14:paraId="75D868E0">
                  <w:pPr>
                    <w:pStyle w:val="31"/>
                    <w:ind w:firstLine="0" w:firstLineChars="0"/>
                    <w:rPr>
                      <w:rFonts w:hint="default"/>
                      <w:color w:val="auto"/>
                      <w:sz w:val="21"/>
                      <w:highlight w:val="none"/>
                      <w:lang w:val="en-US" w:eastAsia="zh-CN"/>
                    </w:rPr>
                  </w:pPr>
                  <w:r>
                    <w:rPr>
                      <w:rFonts w:hint="eastAsia"/>
                      <w:color w:val="auto"/>
                      <w:sz w:val="21"/>
                      <w:highlight w:val="none"/>
                      <w:lang w:val="en-US" w:eastAsia="zh-CN"/>
                    </w:rPr>
                    <w:t>34290.75</w:t>
                  </w:r>
                </w:p>
              </w:tc>
              <w:tc>
                <w:tcPr>
                  <w:tcW w:w="2512" w:type="dxa"/>
                  <w:tcBorders>
                    <w:tl2br w:val="nil"/>
                    <w:tr2bl w:val="nil"/>
                  </w:tcBorders>
                  <w:noWrap w:val="0"/>
                  <w:vAlign w:val="center"/>
                </w:tcPr>
                <w:p w14:paraId="66113E4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5层，高23.8m，包含生产区、办公区综合服务区等</w:t>
                  </w:r>
                </w:p>
              </w:tc>
            </w:tr>
          </w:tbl>
          <w:p w14:paraId="79368650">
            <w:pPr>
              <w:bidi w:val="0"/>
              <w:rPr>
                <w:rFonts w:hint="eastAsia"/>
                <w:color w:val="auto"/>
                <w:lang w:val="en-US" w:eastAsia="zh-CN"/>
              </w:rPr>
            </w:pPr>
            <w:r>
              <w:rPr>
                <w:rFonts w:hint="eastAsia"/>
                <w:color w:val="auto"/>
                <w:lang w:val="en-US" w:eastAsia="zh-CN"/>
              </w:rPr>
              <w:t>4、主要产品及产能</w:t>
            </w:r>
            <w:r>
              <w:rPr>
                <w:rFonts w:hint="default"/>
                <w:color w:val="auto"/>
              </w:rPr>
              <w:t>：</w:t>
            </w:r>
            <w:r>
              <w:rPr>
                <w:rFonts w:hint="eastAsia"/>
                <w:color w:val="auto"/>
                <w:lang w:val="en-US" w:eastAsia="zh-CN"/>
              </w:rPr>
              <w:t>现有工程具备年产15000台/套的生产能力，主要产品明细见下表。</w:t>
            </w:r>
          </w:p>
          <w:p w14:paraId="68828028">
            <w:pPr>
              <w:pStyle w:val="33"/>
              <w:bidi w:val="0"/>
              <w:rPr>
                <w:color w:val="auto"/>
                <w:highlight w:val="none"/>
              </w:rPr>
            </w:pPr>
            <w:r>
              <w:rPr>
                <w:rFonts w:hint="eastAsia"/>
                <w:color w:val="auto"/>
                <w:highlight w:val="none"/>
              </w:rPr>
              <w:t>表</w:t>
            </w:r>
            <w:r>
              <w:rPr>
                <w:rFonts w:hint="eastAsia"/>
                <w:color w:val="auto"/>
                <w:highlight w:val="none"/>
                <w:lang w:val="en-US" w:eastAsia="zh-CN"/>
              </w:rPr>
              <w:t>9</w:t>
            </w:r>
            <w:r>
              <w:rPr>
                <w:rFonts w:hint="eastAsia"/>
                <w:color w:val="auto"/>
                <w:highlight w:val="none"/>
              </w:rPr>
              <w:t xml:space="preserve">  </w:t>
            </w:r>
            <w:r>
              <w:rPr>
                <w:rFonts w:hint="eastAsia"/>
                <w:color w:val="auto"/>
                <w:highlight w:val="none"/>
                <w:lang w:val="en-US" w:eastAsia="zh-CN"/>
              </w:rPr>
              <w:t>现有工程</w:t>
            </w:r>
            <w:r>
              <w:rPr>
                <w:color w:val="auto"/>
                <w:highlight w:val="none"/>
              </w:rPr>
              <w:t>主要</w:t>
            </w:r>
            <w:r>
              <w:rPr>
                <w:rFonts w:hint="eastAsia"/>
                <w:color w:val="auto"/>
                <w:highlight w:val="none"/>
                <w:lang w:val="en-US" w:eastAsia="zh-CN"/>
              </w:rPr>
              <w:t>产品明细</w:t>
            </w:r>
            <w:r>
              <w:rPr>
                <w:color w:val="auto"/>
                <w:highlight w:val="none"/>
              </w:rPr>
              <w:t>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790"/>
              <w:gridCol w:w="2310"/>
              <w:gridCol w:w="2512"/>
            </w:tblGrid>
            <w:tr w14:paraId="03CEC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665" w:type="dxa"/>
                  <w:tcBorders>
                    <w:tl2br w:val="nil"/>
                    <w:tr2bl w:val="nil"/>
                  </w:tcBorders>
                  <w:noWrap w:val="0"/>
                  <w:vAlign w:val="center"/>
                </w:tcPr>
                <w:p w14:paraId="3F3CDB0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序号</w:t>
                  </w:r>
                </w:p>
              </w:tc>
              <w:tc>
                <w:tcPr>
                  <w:tcW w:w="2790" w:type="dxa"/>
                  <w:tcBorders>
                    <w:tl2br w:val="nil"/>
                    <w:tr2bl w:val="nil"/>
                  </w:tcBorders>
                  <w:noWrap w:val="0"/>
                  <w:vAlign w:val="center"/>
                </w:tcPr>
                <w:p w14:paraId="0BC59E2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名称</w:t>
                  </w:r>
                </w:p>
              </w:tc>
              <w:tc>
                <w:tcPr>
                  <w:tcW w:w="2310" w:type="dxa"/>
                  <w:tcBorders>
                    <w:tl2br w:val="nil"/>
                    <w:tr2bl w:val="nil"/>
                  </w:tcBorders>
                  <w:noWrap w:val="0"/>
                  <w:vAlign w:val="center"/>
                </w:tcPr>
                <w:p w14:paraId="4704EC3A">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数量（台/套）</w:t>
                  </w:r>
                </w:p>
              </w:tc>
              <w:tc>
                <w:tcPr>
                  <w:tcW w:w="2512" w:type="dxa"/>
                  <w:tcBorders>
                    <w:tl2br w:val="nil"/>
                    <w:tr2bl w:val="nil"/>
                  </w:tcBorders>
                  <w:noWrap w:val="0"/>
                  <w:vAlign w:val="center"/>
                </w:tcPr>
                <w:p w14:paraId="1527EA0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备注</w:t>
                  </w:r>
                </w:p>
              </w:tc>
            </w:tr>
            <w:tr w14:paraId="4C161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65" w:type="dxa"/>
                  <w:tcBorders>
                    <w:tl2br w:val="nil"/>
                    <w:tr2bl w:val="nil"/>
                  </w:tcBorders>
                  <w:noWrap w:val="0"/>
                  <w:vAlign w:val="center"/>
                </w:tcPr>
                <w:p w14:paraId="2D6C1CB6">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17F8C0FD">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消防侦查灭火机器人</w:t>
                  </w:r>
                </w:p>
              </w:tc>
              <w:tc>
                <w:tcPr>
                  <w:tcW w:w="2310" w:type="dxa"/>
                  <w:tcBorders>
                    <w:tl2br w:val="nil"/>
                    <w:tr2bl w:val="nil"/>
                  </w:tcBorders>
                  <w:noWrap w:val="0"/>
                  <w:vAlign w:val="center"/>
                </w:tcPr>
                <w:p w14:paraId="380E7019">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12000</w:t>
                  </w:r>
                </w:p>
              </w:tc>
              <w:tc>
                <w:tcPr>
                  <w:tcW w:w="2512" w:type="dxa"/>
                  <w:vMerge w:val="restart"/>
                  <w:tcBorders>
                    <w:tl2br w:val="nil"/>
                    <w:tr2bl w:val="nil"/>
                  </w:tcBorders>
                  <w:noWrap w:val="0"/>
                  <w:vAlign w:val="center"/>
                </w:tcPr>
                <w:p w14:paraId="01267206">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由本体、水泡、摄像、控制箱组成</w:t>
                  </w:r>
                </w:p>
              </w:tc>
            </w:tr>
            <w:tr w14:paraId="2ACF5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65" w:type="dxa"/>
                  <w:tcBorders>
                    <w:tl2br w:val="nil"/>
                    <w:tr2bl w:val="nil"/>
                  </w:tcBorders>
                  <w:noWrap w:val="0"/>
                  <w:vAlign w:val="center"/>
                </w:tcPr>
                <w:p w14:paraId="24DF9DE5">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0CF5A06F">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防爆消防侦察灭火机器人</w:t>
                  </w:r>
                </w:p>
              </w:tc>
              <w:tc>
                <w:tcPr>
                  <w:tcW w:w="2310" w:type="dxa"/>
                  <w:tcBorders>
                    <w:tl2br w:val="nil"/>
                    <w:tr2bl w:val="nil"/>
                  </w:tcBorders>
                  <w:noWrap w:val="0"/>
                  <w:vAlign w:val="center"/>
                </w:tcPr>
                <w:p w14:paraId="03744811">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800</w:t>
                  </w:r>
                </w:p>
              </w:tc>
              <w:tc>
                <w:tcPr>
                  <w:tcW w:w="2512" w:type="dxa"/>
                  <w:vMerge w:val="continue"/>
                  <w:tcBorders>
                    <w:tl2br w:val="nil"/>
                    <w:tr2bl w:val="nil"/>
                  </w:tcBorders>
                  <w:noWrap w:val="0"/>
                  <w:vAlign w:val="center"/>
                </w:tcPr>
                <w:p w14:paraId="048DCF43">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54DEF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1684D958">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34C084E9">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防爆消防排烟机器人</w:t>
                  </w:r>
                </w:p>
              </w:tc>
              <w:tc>
                <w:tcPr>
                  <w:tcW w:w="2310" w:type="dxa"/>
                  <w:tcBorders>
                    <w:tl2br w:val="nil"/>
                    <w:tr2bl w:val="nil"/>
                  </w:tcBorders>
                  <w:noWrap w:val="0"/>
                  <w:vAlign w:val="center"/>
                </w:tcPr>
                <w:p w14:paraId="50B51DA2">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800</w:t>
                  </w:r>
                </w:p>
              </w:tc>
              <w:tc>
                <w:tcPr>
                  <w:tcW w:w="2512" w:type="dxa"/>
                  <w:vMerge w:val="continue"/>
                  <w:tcBorders>
                    <w:tl2br w:val="nil"/>
                    <w:tr2bl w:val="nil"/>
                  </w:tcBorders>
                  <w:noWrap w:val="0"/>
                  <w:vAlign w:val="center"/>
                </w:tcPr>
                <w:p w14:paraId="6AE78146">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7B653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46B28335">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179961B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防爆侦测机器人</w:t>
                  </w:r>
                </w:p>
              </w:tc>
              <w:tc>
                <w:tcPr>
                  <w:tcW w:w="2310" w:type="dxa"/>
                  <w:tcBorders>
                    <w:tl2br w:val="nil"/>
                    <w:tr2bl w:val="nil"/>
                  </w:tcBorders>
                  <w:noWrap w:val="0"/>
                  <w:vAlign w:val="center"/>
                </w:tcPr>
                <w:p w14:paraId="5BD6177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2512" w:type="dxa"/>
                  <w:vMerge w:val="continue"/>
                  <w:tcBorders>
                    <w:tl2br w:val="nil"/>
                    <w:tr2bl w:val="nil"/>
                  </w:tcBorders>
                  <w:noWrap w:val="0"/>
                  <w:vAlign w:val="center"/>
                </w:tcPr>
                <w:p w14:paraId="6F226D91">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6B575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08B1990C">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7C64AAF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轨道巡检机器人</w:t>
                  </w:r>
                </w:p>
              </w:tc>
              <w:tc>
                <w:tcPr>
                  <w:tcW w:w="2310" w:type="dxa"/>
                  <w:tcBorders>
                    <w:tl2br w:val="nil"/>
                    <w:tr2bl w:val="nil"/>
                  </w:tcBorders>
                  <w:noWrap w:val="0"/>
                  <w:vAlign w:val="center"/>
                </w:tcPr>
                <w:p w14:paraId="27D77999">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2512" w:type="dxa"/>
                  <w:vMerge w:val="restart"/>
                  <w:tcBorders>
                    <w:tl2br w:val="nil"/>
                    <w:tr2bl w:val="nil"/>
                  </w:tcBorders>
                  <w:noWrap w:val="0"/>
                  <w:vAlign w:val="center"/>
                </w:tcPr>
                <w:p w14:paraId="53DB3FDB">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由本体、摄像、控制箱组成</w:t>
                  </w:r>
                </w:p>
              </w:tc>
            </w:tr>
            <w:tr w14:paraId="09B59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71E651D9">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33CA8A11">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水下探测机器人</w:t>
                  </w:r>
                </w:p>
              </w:tc>
              <w:tc>
                <w:tcPr>
                  <w:tcW w:w="2310" w:type="dxa"/>
                  <w:tcBorders>
                    <w:tl2br w:val="nil"/>
                    <w:tr2bl w:val="nil"/>
                  </w:tcBorders>
                  <w:noWrap w:val="0"/>
                  <w:vAlign w:val="center"/>
                </w:tcPr>
                <w:p w14:paraId="7351B3B5">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2512" w:type="dxa"/>
                  <w:vMerge w:val="continue"/>
                  <w:tcBorders>
                    <w:tl2br w:val="nil"/>
                    <w:tr2bl w:val="nil"/>
                  </w:tcBorders>
                  <w:noWrap w:val="0"/>
                  <w:vAlign w:val="center"/>
                </w:tcPr>
                <w:p w14:paraId="2CC9294C">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443A3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32E2E9D5">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0940005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钻孔探测机器人</w:t>
                  </w:r>
                </w:p>
              </w:tc>
              <w:tc>
                <w:tcPr>
                  <w:tcW w:w="2310" w:type="dxa"/>
                  <w:tcBorders>
                    <w:tl2br w:val="nil"/>
                    <w:tr2bl w:val="nil"/>
                  </w:tcBorders>
                  <w:noWrap w:val="0"/>
                  <w:vAlign w:val="center"/>
                </w:tcPr>
                <w:p w14:paraId="5AB3827C">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2512" w:type="dxa"/>
                  <w:vMerge w:val="continue"/>
                  <w:tcBorders>
                    <w:tl2br w:val="nil"/>
                    <w:tr2bl w:val="nil"/>
                  </w:tcBorders>
                  <w:noWrap w:val="0"/>
                  <w:vAlign w:val="center"/>
                </w:tcPr>
                <w:p w14:paraId="2C193434">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3593B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08C21466">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0C303FE1">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管道机器人</w:t>
                  </w:r>
                </w:p>
              </w:tc>
              <w:tc>
                <w:tcPr>
                  <w:tcW w:w="2310" w:type="dxa"/>
                  <w:tcBorders>
                    <w:tl2br w:val="nil"/>
                    <w:tr2bl w:val="nil"/>
                  </w:tcBorders>
                  <w:noWrap w:val="0"/>
                  <w:vAlign w:val="center"/>
                </w:tcPr>
                <w:p w14:paraId="525407E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2512" w:type="dxa"/>
                  <w:vMerge w:val="continue"/>
                  <w:tcBorders>
                    <w:tl2br w:val="nil"/>
                    <w:tr2bl w:val="nil"/>
                  </w:tcBorders>
                  <w:noWrap w:val="0"/>
                  <w:vAlign w:val="center"/>
                </w:tcPr>
                <w:p w14:paraId="2E27CBCA">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0EFFA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214D1DCD">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096EC96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灾区侦测机器人</w:t>
                  </w:r>
                </w:p>
              </w:tc>
              <w:tc>
                <w:tcPr>
                  <w:tcW w:w="2310" w:type="dxa"/>
                  <w:tcBorders>
                    <w:tl2br w:val="nil"/>
                    <w:tr2bl w:val="nil"/>
                  </w:tcBorders>
                  <w:noWrap w:val="0"/>
                  <w:vAlign w:val="center"/>
                </w:tcPr>
                <w:p w14:paraId="61AAFCA5">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2512" w:type="dxa"/>
                  <w:vMerge w:val="continue"/>
                  <w:tcBorders>
                    <w:tl2br w:val="nil"/>
                    <w:tr2bl w:val="nil"/>
                  </w:tcBorders>
                  <w:noWrap w:val="0"/>
                  <w:vAlign w:val="center"/>
                </w:tcPr>
                <w:p w14:paraId="34FAFC73">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3DD05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0A89326D">
                  <w:pPr>
                    <w:pStyle w:val="31"/>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0C3069EE">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合计</w:t>
                  </w:r>
                </w:p>
              </w:tc>
              <w:tc>
                <w:tcPr>
                  <w:tcW w:w="2310" w:type="dxa"/>
                  <w:tcBorders>
                    <w:tl2br w:val="nil"/>
                    <w:tr2bl w:val="nil"/>
                  </w:tcBorders>
                  <w:noWrap w:val="0"/>
                  <w:vAlign w:val="center"/>
                </w:tcPr>
                <w:p w14:paraId="0E30A607">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15000</w:t>
                  </w:r>
                </w:p>
              </w:tc>
              <w:tc>
                <w:tcPr>
                  <w:tcW w:w="2512" w:type="dxa"/>
                  <w:tcBorders>
                    <w:tl2br w:val="nil"/>
                    <w:tr2bl w:val="nil"/>
                  </w:tcBorders>
                  <w:noWrap w:val="0"/>
                  <w:vAlign w:val="center"/>
                </w:tcPr>
                <w:p w14:paraId="359B2ED9">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14:paraId="1ED125B3">
            <w:pPr>
              <w:bidi w:val="0"/>
              <w:rPr>
                <w:rFonts w:hint="default"/>
                <w:color w:val="auto"/>
              </w:rPr>
            </w:pPr>
            <w:r>
              <w:rPr>
                <w:rFonts w:hint="eastAsia"/>
                <w:color w:val="auto"/>
                <w:lang w:val="en-US" w:eastAsia="zh-CN"/>
              </w:rPr>
              <w:t>5、</w:t>
            </w:r>
            <w:r>
              <w:rPr>
                <w:rFonts w:hint="default"/>
                <w:color w:val="auto"/>
              </w:rPr>
              <w:t>工作制度及</w:t>
            </w:r>
            <w:r>
              <w:rPr>
                <w:rFonts w:hint="eastAsia"/>
                <w:color w:val="auto"/>
                <w:lang w:val="en-US" w:eastAsia="zh-CN"/>
              </w:rPr>
              <w:t>劳动</w:t>
            </w:r>
            <w:r>
              <w:rPr>
                <w:rFonts w:hint="default"/>
                <w:color w:val="auto"/>
              </w:rPr>
              <w:t>定员：</w:t>
            </w:r>
            <w:r>
              <w:rPr>
                <w:rFonts w:hint="eastAsia"/>
                <w:color w:val="auto"/>
                <w:lang w:val="en-US" w:eastAsia="zh-CN"/>
              </w:rPr>
              <w:t>现有工程</w:t>
            </w:r>
            <w:r>
              <w:rPr>
                <w:rFonts w:hint="default"/>
                <w:color w:val="auto"/>
              </w:rPr>
              <w:t>年工作</w:t>
            </w:r>
            <w:r>
              <w:rPr>
                <w:rFonts w:hint="eastAsia"/>
                <w:color w:val="auto"/>
                <w:lang w:val="en-US" w:eastAsia="zh-CN"/>
              </w:rPr>
              <w:t>250</w:t>
            </w:r>
            <w:r>
              <w:rPr>
                <w:rFonts w:hint="default"/>
                <w:color w:val="auto"/>
              </w:rPr>
              <w:t>天，</w:t>
            </w:r>
            <w:r>
              <w:rPr>
                <w:rFonts w:hint="eastAsia"/>
                <w:color w:val="auto"/>
                <w:lang w:val="en-US" w:eastAsia="zh-CN"/>
              </w:rPr>
              <w:t>劳动定员300人，工作时间8h/d</w:t>
            </w:r>
            <w:r>
              <w:rPr>
                <w:rFonts w:hint="default"/>
                <w:color w:val="auto"/>
              </w:rPr>
              <w:t>。</w:t>
            </w:r>
          </w:p>
          <w:p w14:paraId="2E0DB3FC">
            <w:pPr>
              <w:bidi w:val="0"/>
              <w:rPr>
                <w:rFonts w:hint="default"/>
                <w:color w:val="auto"/>
                <w:sz w:val="24"/>
                <w:szCs w:val="24"/>
                <w:highlight w:val="none"/>
              </w:rPr>
            </w:pPr>
            <w:r>
              <w:rPr>
                <w:rFonts w:hint="eastAsia"/>
                <w:color w:val="auto"/>
                <w:sz w:val="24"/>
                <w:szCs w:val="24"/>
                <w:highlight w:val="none"/>
                <w:lang w:val="en-US" w:eastAsia="zh-CN"/>
              </w:rPr>
              <w:t>6、</w:t>
            </w:r>
            <w:r>
              <w:rPr>
                <w:rFonts w:hint="default"/>
                <w:color w:val="auto"/>
                <w:sz w:val="24"/>
                <w:szCs w:val="24"/>
                <w:highlight w:val="none"/>
              </w:rPr>
              <w:t>主要原辅材料及能源消耗见下表。</w:t>
            </w:r>
          </w:p>
          <w:p w14:paraId="3430FA4B">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ascii="宋体" w:hAnsi="宋体" w:cs="宋体"/>
                <w:b/>
                <w:color w:val="auto"/>
                <w:kern w:val="0"/>
                <w:sz w:val="21"/>
                <w:szCs w:val="21"/>
                <w:highlight w:val="none"/>
              </w:rPr>
            </w:pPr>
          </w:p>
          <w:p w14:paraId="394A254F">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ascii="宋体" w:hAnsi="宋体" w:cs="宋体"/>
                <w:b/>
                <w:color w:val="auto"/>
                <w:kern w:val="0"/>
                <w:sz w:val="21"/>
                <w:szCs w:val="21"/>
                <w:highlight w:val="none"/>
              </w:rPr>
            </w:pPr>
          </w:p>
          <w:p w14:paraId="62ECEC5F">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表</w:t>
            </w:r>
            <w:r>
              <w:rPr>
                <w:rFonts w:hint="default" w:ascii="Times New Roman" w:hAnsi="Times New Roman" w:cs="Times New Roman"/>
                <w:b/>
                <w:color w:val="auto"/>
                <w:kern w:val="0"/>
                <w:sz w:val="21"/>
                <w:szCs w:val="21"/>
                <w:highlight w:val="none"/>
                <w:lang w:val="en-US" w:eastAsia="zh-CN"/>
              </w:rPr>
              <w:t>1</w:t>
            </w:r>
            <w:r>
              <w:rPr>
                <w:rFonts w:hint="eastAsia" w:cs="Times New Roman"/>
                <w:b/>
                <w:color w:val="auto"/>
                <w:kern w:val="0"/>
                <w:sz w:val="21"/>
                <w:szCs w:val="21"/>
                <w:highlight w:val="none"/>
                <w:lang w:val="en-US" w:eastAsia="zh-CN"/>
              </w:rPr>
              <w:t>0</w:t>
            </w:r>
            <w:r>
              <w:rPr>
                <w:rFonts w:hint="eastAsia" w:ascii="宋体" w:hAnsi="宋体" w:cs="宋体"/>
                <w:b/>
                <w:color w:val="auto"/>
                <w:kern w:val="0"/>
                <w:sz w:val="21"/>
                <w:szCs w:val="21"/>
                <w:highlight w:val="none"/>
                <w:lang w:val="en-US" w:eastAsia="zh-CN"/>
              </w:rPr>
              <w:t xml:space="preserve">  </w:t>
            </w:r>
            <w:r>
              <w:rPr>
                <w:rFonts w:hint="eastAsia" w:ascii="宋体" w:hAnsi="宋体" w:cs="宋体"/>
                <w:b/>
                <w:color w:val="auto"/>
                <w:kern w:val="0"/>
                <w:sz w:val="21"/>
                <w:szCs w:val="21"/>
                <w:highlight w:val="none"/>
              </w:rPr>
              <w:t>现有工程主要原辅材料</w:t>
            </w:r>
            <w:r>
              <w:rPr>
                <w:rFonts w:hint="eastAsia" w:ascii="宋体" w:hAnsi="宋体" w:cs="宋体"/>
                <w:b/>
                <w:color w:val="auto"/>
                <w:kern w:val="0"/>
                <w:sz w:val="21"/>
                <w:szCs w:val="21"/>
                <w:highlight w:val="none"/>
                <w:lang w:val="en-US" w:eastAsia="zh-CN"/>
              </w:rPr>
              <w:t>及能源</w:t>
            </w:r>
            <w:r>
              <w:rPr>
                <w:rFonts w:hint="eastAsia" w:ascii="宋体" w:hAnsi="宋体" w:cs="宋体"/>
                <w:b/>
                <w:color w:val="auto"/>
                <w:kern w:val="0"/>
                <w:sz w:val="21"/>
                <w:szCs w:val="21"/>
                <w:highlight w:val="none"/>
              </w:rPr>
              <w:t>消耗一览表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790"/>
              <w:gridCol w:w="1710"/>
              <w:gridCol w:w="1178"/>
              <w:gridCol w:w="1560"/>
              <w:gridCol w:w="1424"/>
            </w:tblGrid>
            <w:tr w14:paraId="78C69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21E9FF6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rPr>
                    <w:t>序号</w:t>
                  </w:r>
                </w:p>
              </w:tc>
              <w:tc>
                <w:tcPr>
                  <w:tcW w:w="1790" w:type="dxa"/>
                  <w:tcBorders>
                    <w:tl2br w:val="nil"/>
                    <w:tr2bl w:val="nil"/>
                  </w:tcBorders>
                  <w:vAlign w:val="center"/>
                </w:tcPr>
                <w:p w14:paraId="1D29DEB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rPr>
                    <w:t>名称</w:t>
                  </w:r>
                </w:p>
              </w:tc>
              <w:tc>
                <w:tcPr>
                  <w:tcW w:w="1710" w:type="dxa"/>
                  <w:tcBorders>
                    <w:tl2br w:val="nil"/>
                    <w:tr2bl w:val="nil"/>
                  </w:tcBorders>
                  <w:vAlign w:val="center"/>
                </w:tcPr>
                <w:p w14:paraId="1068676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rPr>
                    <w:t>规格型号</w:t>
                  </w:r>
                </w:p>
              </w:tc>
              <w:tc>
                <w:tcPr>
                  <w:tcW w:w="1178" w:type="dxa"/>
                  <w:tcBorders>
                    <w:tl2br w:val="nil"/>
                    <w:tr2bl w:val="nil"/>
                  </w:tcBorders>
                  <w:vAlign w:val="center"/>
                </w:tcPr>
                <w:p w14:paraId="53019CD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rPr>
                    <w:t>单位</w:t>
                  </w:r>
                </w:p>
              </w:tc>
              <w:tc>
                <w:tcPr>
                  <w:tcW w:w="1560" w:type="dxa"/>
                  <w:tcBorders>
                    <w:tl2br w:val="nil"/>
                    <w:tr2bl w:val="nil"/>
                  </w:tcBorders>
                  <w:vAlign w:val="center"/>
                </w:tcPr>
                <w:p w14:paraId="179EB46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eastAsia="zh-CN"/>
                    </w:rPr>
                  </w:pPr>
                  <w:r>
                    <w:rPr>
                      <w:rFonts w:hint="eastAsia"/>
                      <w:color w:val="auto"/>
                      <w:highlight w:val="none"/>
                      <w:lang w:val="en-US" w:eastAsia="zh-CN"/>
                    </w:rPr>
                    <w:t>数量</w:t>
                  </w:r>
                </w:p>
              </w:tc>
              <w:tc>
                <w:tcPr>
                  <w:tcW w:w="1424" w:type="dxa"/>
                  <w:tcBorders>
                    <w:tl2br w:val="nil"/>
                    <w:tr2bl w:val="nil"/>
                  </w:tcBorders>
                  <w:vAlign w:val="center"/>
                </w:tcPr>
                <w:p w14:paraId="2FE32A0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rPr>
                    <w:t>备注</w:t>
                  </w:r>
                </w:p>
              </w:tc>
            </w:tr>
            <w:tr w14:paraId="06692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198E40D2">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1983F0D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val="en-US" w:eastAsia="zh-CN"/>
                    </w:rPr>
                  </w:pPr>
                  <w:r>
                    <w:rPr>
                      <w:rFonts w:hint="eastAsia"/>
                      <w:color w:val="auto"/>
                      <w:highlight w:val="none"/>
                      <w:lang w:val="en-US" w:eastAsia="zh-CN"/>
                    </w:rPr>
                    <w:t>涨紧轮</w:t>
                  </w:r>
                </w:p>
              </w:tc>
              <w:tc>
                <w:tcPr>
                  <w:tcW w:w="1710" w:type="dxa"/>
                  <w:tcBorders>
                    <w:tl2br w:val="nil"/>
                    <w:tr2bl w:val="nil"/>
                  </w:tcBorders>
                  <w:vAlign w:val="center"/>
                </w:tcPr>
                <w:p w14:paraId="2C8BA38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ascii="宋体" w:hAnsi="宋体" w:eastAsia="宋体" w:cs="宋体"/>
                      <w:color w:val="auto"/>
                      <w:highlight w:val="none"/>
                    </w:rPr>
                    <w:t>－</w:t>
                  </w:r>
                </w:p>
              </w:tc>
              <w:tc>
                <w:tcPr>
                  <w:tcW w:w="1178" w:type="dxa"/>
                  <w:tcBorders>
                    <w:tl2br w:val="nil"/>
                    <w:tr2bl w:val="nil"/>
                  </w:tcBorders>
                  <w:vAlign w:val="center"/>
                </w:tcPr>
                <w:p w14:paraId="4F2EA06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个/a</w:t>
                  </w:r>
                </w:p>
              </w:tc>
              <w:tc>
                <w:tcPr>
                  <w:tcW w:w="1560" w:type="dxa"/>
                  <w:tcBorders>
                    <w:tl2br w:val="nil"/>
                    <w:tr2bl w:val="nil"/>
                  </w:tcBorders>
                  <w:vAlign w:val="center"/>
                </w:tcPr>
                <w:p w14:paraId="0237E51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120000</w:t>
                  </w:r>
                </w:p>
              </w:tc>
              <w:tc>
                <w:tcPr>
                  <w:tcW w:w="1424" w:type="dxa"/>
                  <w:tcBorders>
                    <w:tl2br w:val="nil"/>
                    <w:tr2bl w:val="nil"/>
                  </w:tcBorders>
                  <w:vAlign w:val="center"/>
                </w:tcPr>
                <w:p w14:paraId="0E542FF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lang w:val="en-US" w:eastAsia="zh-CN"/>
                    </w:rPr>
                    <w:t>外购</w:t>
                  </w:r>
                </w:p>
              </w:tc>
            </w:tr>
            <w:tr w14:paraId="4635A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4C933EA2">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4745E15F">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涨紧轮轴承盖</w:t>
                  </w:r>
                </w:p>
              </w:tc>
              <w:tc>
                <w:tcPr>
                  <w:tcW w:w="1710" w:type="dxa"/>
                  <w:tcBorders>
                    <w:tl2br w:val="nil"/>
                    <w:tr2bl w:val="nil"/>
                  </w:tcBorders>
                  <w:vAlign w:val="center"/>
                </w:tcPr>
                <w:p w14:paraId="2C5978E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val="en-US" w:eastAsia="zh-CN"/>
                    </w:rPr>
                  </w:pPr>
                  <w:r>
                    <w:rPr>
                      <w:rFonts w:hint="eastAsia" w:ascii="宋体" w:hAnsi="宋体" w:eastAsia="宋体" w:cs="宋体"/>
                      <w:color w:val="auto"/>
                      <w:highlight w:val="none"/>
                    </w:rPr>
                    <w:t>－</w:t>
                  </w:r>
                </w:p>
              </w:tc>
              <w:tc>
                <w:tcPr>
                  <w:tcW w:w="1178" w:type="dxa"/>
                  <w:tcBorders>
                    <w:tl2br w:val="nil"/>
                    <w:tr2bl w:val="nil"/>
                  </w:tcBorders>
                  <w:vAlign w:val="center"/>
                </w:tcPr>
                <w:p w14:paraId="7643177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6D8FB17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120000</w:t>
                  </w:r>
                </w:p>
              </w:tc>
              <w:tc>
                <w:tcPr>
                  <w:tcW w:w="1424" w:type="dxa"/>
                  <w:tcBorders>
                    <w:tl2br w:val="nil"/>
                    <w:tr2bl w:val="nil"/>
                  </w:tcBorders>
                  <w:vAlign w:val="center"/>
                </w:tcPr>
                <w:p w14:paraId="27A501C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474C6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12BA3A32">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6C4AD2B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val="en-US" w:eastAsia="zh-CN"/>
                    </w:rPr>
                  </w:pPr>
                  <w:r>
                    <w:rPr>
                      <w:rFonts w:hint="eastAsia"/>
                      <w:color w:val="auto"/>
                      <w:highlight w:val="none"/>
                      <w:lang w:val="en-US" w:eastAsia="zh-CN"/>
                    </w:rPr>
                    <w:t>悬挂连接座</w:t>
                  </w:r>
                </w:p>
              </w:tc>
              <w:tc>
                <w:tcPr>
                  <w:tcW w:w="1710" w:type="dxa"/>
                  <w:tcBorders>
                    <w:tl2br w:val="nil"/>
                    <w:tr2bl w:val="nil"/>
                  </w:tcBorders>
                  <w:vAlign w:val="center"/>
                </w:tcPr>
                <w:p w14:paraId="3BF012A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ascii="宋体" w:hAnsi="宋体" w:eastAsia="宋体" w:cs="宋体"/>
                      <w:color w:val="auto"/>
                      <w:highlight w:val="none"/>
                    </w:rPr>
                    <w:t>－</w:t>
                  </w:r>
                </w:p>
              </w:tc>
              <w:tc>
                <w:tcPr>
                  <w:tcW w:w="1178" w:type="dxa"/>
                  <w:tcBorders>
                    <w:tl2br w:val="nil"/>
                    <w:tr2bl w:val="nil"/>
                  </w:tcBorders>
                  <w:vAlign w:val="center"/>
                </w:tcPr>
                <w:p w14:paraId="2160B22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7E3D1C0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120000</w:t>
                  </w:r>
                </w:p>
              </w:tc>
              <w:tc>
                <w:tcPr>
                  <w:tcW w:w="1424" w:type="dxa"/>
                  <w:tcBorders>
                    <w:tl2br w:val="nil"/>
                    <w:tr2bl w:val="nil"/>
                  </w:tcBorders>
                  <w:vAlign w:val="center"/>
                </w:tcPr>
                <w:p w14:paraId="54D4AF5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7142A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0D61A5F9">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1948936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承重连杆</w:t>
                  </w:r>
                </w:p>
              </w:tc>
              <w:tc>
                <w:tcPr>
                  <w:tcW w:w="1710" w:type="dxa"/>
                  <w:tcBorders>
                    <w:tl2br w:val="nil"/>
                    <w:tr2bl w:val="nil"/>
                  </w:tcBorders>
                  <w:vAlign w:val="center"/>
                </w:tcPr>
                <w:p w14:paraId="1FBA540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val="en-US" w:eastAsia="zh-CN"/>
                    </w:rPr>
                  </w:pPr>
                  <w:r>
                    <w:rPr>
                      <w:rFonts w:hint="eastAsia" w:ascii="宋体" w:hAnsi="宋体" w:eastAsia="宋体" w:cs="宋体"/>
                      <w:color w:val="auto"/>
                      <w:highlight w:val="none"/>
                    </w:rPr>
                    <w:t>－</w:t>
                  </w:r>
                </w:p>
              </w:tc>
              <w:tc>
                <w:tcPr>
                  <w:tcW w:w="1178" w:type="dxa"/>
                  <w:tcBorders>
                    <w:tl2br w:val="nil"/>
                    <w:tr2bl w:val="nil"/>
                  </w:tcBorders>
                  <w:vAlign w:val="center"/>
                </w:tcPr>
                <w:p w14:paraId="0913906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02DE524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90000</w:t>
                  </w:r>
                </w:p>
              </w:tc>
              <w:tc>
                <w:tcPr>
                  <w:tcW w:w="1424" w:type="dxa"/>
                  <w:tcBorders>
                    <w:tl2br w:val="nil"/>
                    <w:tr2bl w:val="nil"/>
                  </w:tcBorders>
                  <w:vAlign w:val="center"/>
                </w:tcPr>
                <w:p w14:paraId="52F0D2E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4A647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63DEE33A">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2BBDE20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val="en-US" w:eastAsia="zh-CN"/>
                    </w:rPr>
                  </w:pPr>
                  <w:r>
                    <w:rPr>
                      <w:rFonts w:hint="eastAsia"/>
                      <w:color w:val="auto"/>
                      <w:highlight w:val="none"/>
                      <w:lang w:val="en-US" w:eastAsia="zh-CN"/>
                    </w:rPr>
                    <w:t>连杆轴承座</w:t>
                  </w:r>
                </w:p>
              </w:tc>
              <w:tc>
                <w:tcPr>
                  <w:tcW w:w="1710" w:type="dxa"/>
                  <w:tcBorders>
                    <w:tl2br w:val="nil"/>
                    <w:tr2bl w:val="nil"/>
                  </w:tcBorders>
                  <w:vAlign w:val="center"/>
                </w:tcPr>
                <w:p w14:paraId="11C60D3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ascii="宋体" w:hAnsi="宋体" w:eastAsia="宋体" w:cs="宋体"/>
                      <w:color w:val="auto"/>
                      <w:highlight w:val="none"/>
                    </w:rPr>
                    <w:t>－</w:t>
                  </w:r>
                </w:p>
              </w:tc>
              <w:tc>
                <w:tcPr>
                  <w:tcW w:w="1178" w:type="dxa"/>
                  <w:tcBorders>
                    <w:tl2br w:val="nil"/>
                    <w:tr2bl w:val="nil"/>
                  </w:tcBorders>
                  <w:vAlign w:val="center"/>
                </w:tcPr>
                <w:p w14:paraId="59B14F0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4719957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120000</w:t>
                  </w:r>
                </w:p>
              </w:tc>
              <w:tc>
                <w:tcPr>
                  <w:tcW w:w="1424" w:type="dxa"/>
                  <w:tcBorders>
                    <w:tl2br w:val="nil"/>
                    <w:tr2bl w:val="nil"/>
                  </w:tcBorders>
                  <w:vAlign w:val="center"/>
                </w:tcPr>
                <w:p w14:paraId="120F17B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37FB0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62EF8CC4">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5B37A84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val="en-US" w:eastAsia="zh-CN"/>
                    </w:rPr>
                  </w:pPr>
                  <w:r>
                    <w:rPr>
                      <w:rFonts w:hint="eastAsia"/>
                      <w:color w:val="auto"/>
                      <w:highlight w:val="none"/>
                      <w:lang w:val="en-US" w:eastAsia="zh-CN"/>
                    </w:rPr>
                    <w:t>隔套</w:t>
                  </w:r>
                </w:p>
              </w:tc>
              <w:tc>
                <w:tcPr>
                  <w:tcW w:w="1710" w:type="dxa"/>
                  <w:tcBorders>
                    <w:tl2br w:val="nil"/>
                    <w:tr2bl w:val="nil"/>
                  </w:tcBorders>
                  <w:vAlign w:val="center"/>
                </w:tcPr>
                <w:p w14:paraId="47543A3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ascii="宋体" w:hAnsi="宋体" w:eastAsia="宋体" w:cs="宋体"/>
                      <w:color w:val="auto"/>
                      <w:highlight w:val="none"/>
                    </w:rPr>
                    <w:t>－</w:t>
                  </w:r>
                </w:p>
              </w:tc>
              <w:tc>
                <w:tcPr>
                  <w:tcW w:w="1178" w:type="dxa"/>
                  <w:tcBorders>
                    <w:tl2br w:val="nil"/>
                    <w:tr2bl w:val="nil"/>
                  </w:tcBorders>
                  <w:vAlign w:val="center"/>
                </w:tcPr>
                <w:p w14:paraId="7BE5D26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328898A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420000</w:t>
                  </w:r>
                </w:p>
              </w:tc>
              <w:tc>
                <w:tcPr>
                  <w:tcW w:w="1424" w:type="dxa"/>
                  <w:tcBorders>
                    <w:tl2br w:val="nil"/>
                    <w:tr2bl w:val="nil"/>
                  </w:tcBorders>
                  <w:vAlign w:val="center"/>
                </w:tcPr>
                <w:p w14:paraId="60C352CF">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12FEF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3CBBD27F">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303AD30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承重轮轴</w:t>
                  </w:r>
                </w:p>
              </w:tc>
              <w:tc>
                <w:tcPr>
                  <w:tcW w:w="1710" w:type="dxa"/>
                  <w:tcBorders>
                    <w:tl2br w:val="nil"/>
                    <w:tr2bl w:val="nil"/>
                  </w:tcBorders>
                  <w:vAlign w:val="center"/>
                </w:tcPr>
                <w:p w14:paraId="70A7985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eastAsia="宋体"/>
                      <w:color w:val="auto"/>
                      <w:highlight w:val="none"/>
                      <w:lang w:val="en-US" w:eastAsia="zh-CN"/>
                    </w:rPr>
                  </w:pPr>
                  <w:r>
                    <w:rPr>
                      <w:rFonts w:hint="eastAsia" w:ascii="宋体" w:hAnsi="宋体" w:eastAsia="宋体" w:cs="宋体"/>
                      <w:color w:val="auto"/>
                      <w:highlight w:val="none"/>
                    </w:rPr>
                    <w:t>－</w:t>
                  </w:r>
                </w:p>
              </w:tc>
              <w:tc>
                <w:tcPr>
                  <w:tcW w:w="1178" w:type="dxa"/>
                  <w:tcBorders>
                    <w:tl2br w:val="nil"/>
                    <w:tr2bl w:val="nil"/>
                  </w:tcBorders>
                  <w:vAlign w:val="center"/>
                </w:tcPr>
                <w:p w14:paraId="262F152F">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58ABFDF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150000</w:t>
                  </w:r>
                </w:p>
              </w:tc>
              <w:tc>
                <w:tcPr>
                  <w:tcW w:w="1424" w:type="dxa"/>
                  <w:tcBorders>
                    <w:tl2br w:val="nil"/>
                    <w:tr2bl w:val="nil"/>
                  </w:tcBorders>
                  <w:vAlign w:val="center"/>
                </w:tcPr>
                <w:p w14:paraId="0DE242E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eastAsia="宋体"/>
                      <w:color w:val="auto"/>
                      <w:highlight w:val="none"/>
                      <w:lang w:val="en-US" w:eastAsia="zh-CN"/>
                    </w:rPr>
                  </w:pPr>
                  <w:r>
                    <w:rPr>
                      <w:rFonts w:hint="eastAsia"/>
                      <w:color w:val="auto"/>
                      <w:highlight w:val="none"/>
                      <w:lang w:val="en-US" w:eastAsia="zh-CN"/>
                    </w:rPr>
                    <w:t>外购</w:t>
                  </w:r>
                </w:p>
              </w:tc>
            </w:tr>
            <w:tr w14:paraId="080D1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0D543A0A">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6658ABC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val="en-US" w:eastAsia="zh-CN"/>
                    </w:rPr>
                  </w:pPr>
                  <w:r>
                    <w:rPr>
                      <w:rFonts w:hint="eastAsia"/>
                      <w:color w:val="auto"/>
                      <w:highlight w:val="none"/>
                      <w:lang w:val="en-US" w:eastAsia="zh-CN"/>
                    </w:rPr>
                    <w:t>承重轮</w:t>
                  </w:r>
                </w:p>
              </w:tc>
              <w:tc>
                <w:tcPr>
                  <w:tcW w:w="1710" w:type="dxa"/>
                  <w:tcBorders>
                    <w:tl2br w:val="nil"/>
                    <w:tr2bl w:val="nil"/>
                  </w:tcBorders>
                  <w:vAlign w:val="center"/>
                </w:tcPr>
                <w:p w14:paraId="583217F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ascii="宋体" w:hAnsi="宋体" w:eastAsia="宋体" w:cs="宋体"/>
                      <w:color w:val="auto"/>
                      <w:highlight w:val="none"/>
                    </w:rPr>
                    <w:t>－</w:t>
                  </w:r>
                </w:p>
              </w:tc>
              <w:tc>
                <w:tcPr>
                  <w:tcW w:w="1178" w:type="dxa"/>
                  <w:tcBorders>
                    <w:tl2br w:val="nil"/>
                    <w:tr2bl w:val="nil"/>
                  </w:tcBorders>
                  <w:vAlign w:val="center"/>
                </w:tcPr>
                <w:p w14:paraId="297267F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76B09CD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180000</w:t>
                  </w:r>
                </w:p>
              </w:tc>
              <w:tc>
                <w:tcPr>
                  <w:tcW w:w="1424" w:type="dxa"/>
                  <w:tcBorders>
                    <w:tl2br w:val="nil"/>
                    <w:tr2bl w:val="nil"/>
                  </w:tcBorders>
                  <w:vAlign w:val="center"/>
                </w:tcPr>
                <w:p w14:paraId="77C5A23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68B58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656965E4">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7C8E8E3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val="en-US" w:eastAsia="zh-CN"/>
                    </w:rPr>
                  </w:pPr>
                  <w:r>
                    <w:rPr>
                      <w:rFonts w:hint="eastAsia"/>
                      <w:color w:val="auto"/>
                      <w:highlight w:val="none"/>
                      <w:lang w:val="en-US" w:eastAsia="zh-CN"/>
                    </w:rPr>
                    <w:t>插座</w:t>
                  </w:r>
                </w:p>
              </w:tc>
              <w:tc>
                <w:tcPr>
                  <w:tcW w:w="1710" w:type="dxa"/>
                  <w:tcBorders>
                    <w:tl2br w:val="nil"/>
                    <w:tr2bl w:val="nil"/>
                  </w:tcBorders>
                  <w:vAlign w:val="center"/>
                </w:tcPr>
                <w:p w14:paraId="578024A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ascii="宋体" w:hAnsi="宋体" w:eastAsia="宋体" w:cs="宋体"/>
                      <w:color w:val="auto"/>
                      <w:highlight w:val="none"/>
                    </w:rPr>
                    <w:t>－</w:t>
                  </w:r>
                </w:p>
              </w:tc>
              <w:tc>
                <w:tcPr>
                  <w:tcW w:w="1178" w:type="dxa"/>
                  <w:tcBorders>
                    <w:tl2br w:val="nil"/>
                    <w:tr2bl w:val="nil"/>
                  </w:tcBorders>
                  <w:vAlign w:val="center"/>
                </w:tcPr>
                <w:p w14:paraId="6AB3066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个/a</w:t>
                  </w:r>
                </w:p>
              </w:tc>
              <w:tc>
                <w:tcPr>
                  <w:tcW w:w="1560" w:type="dxa"/>
                  <w:tcBorders>
                    <w:tl2br w:val="nil"/>
                    <w:tr2bl w:val="nil"/>
                  </w:tcBorders>
                  <w:vAlign w:val="center"/>
                </w:tcPr>
                <w:p w14:paraId="1B01C00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240000</w:t>
                  </w:r>
                </w:p>
              </w:tc>
              <w:tc>
                <w:tcPr>
                  <w:tcW w:w="1424" w:type="dxa"/>
                  <w:tcBorders>
                    <w:tl2br w:val="nil"/>
                    <w:tr2bl w:val="nil"/>
                  </w:tcBorders>
                  <w:vAlign w:val="center"/>
                </w:tcPr>
                <w:p w14:paraId="79980F8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eastAsia="宋体"/>
                      <w:color w:val="auto"/>
                      <w:highlight w:val="none"/>
                      <w:lang w:val="en-US" w:eastAsia="zh-CN"/>
                    </w:rPr>
                  </w:pPr>
                  <w:r>
                    <w:rPr>
                      <w:rFonts w:hint="eastAsia"/>
                      <w:color w:val="auto"/>
                      <w:highlight w:val="none"/>
                      <w:lang w:val="en-US" w:eastAsia="zh-CN"/>
                    </w:rPr>
                    <w:t>外购</w:t>
                  </w:r>
                </w:p>
              </w:tc>
            </w:tr>
            <w:tr w14:paraId="42BE3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15" w:type="dxa"/>
                  <w:tcBorders>
                    <w:tl2br w:val="nil"/>
                    <w:tr2bl w:val="nil"/>
                  </w:tcBorders>
                  <w:vAlign w:val="center"/>
                </w:tcPr>
                <w:p w14:paraId="16BC38D9">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591EC26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金属电缆接头</w:t>
                  </w:r>
                </w:p>
              </w:tc>
              <w:tc>
                <w:tcPr>
                  <w:tcW w:w="1710" w:type="dxa"/>
                  <w:tcBorders>
                    <w:tl2br w:val="nil"/>
                    <w:tr2bl w:val="nil"/>
                  </w:tcBorders>
                  <w:vAlign w:val="center"/>
                </w:tcPr>
                <w:p w14:paraId="4A72AD0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ascii="宋体" w:hAnsi="宋体" w:eastAsia="宋体" w:cs="宋体"/>
                      <w:color w:val="auto"/>
                      <w:highlight w:val="none"/>
                    </w:rPr>
                    <w:t>－</w:t>
                  </w:r>
                </w:p>
              </w:tc>
              <w:tc>
                <w:tcPr>
                  <w:tcW w:w="1178" w:type="dxa"/>
                  <w:tcBorders>
                    <w:tl2br w:val="nil"/>
                    <w:tr2bl w:val="nil"/>
                  </w:tcBorders>
                  <w:vAlign w:val="center"/>
                </w:tcPr>
                <w:p w14:paraId="759C03F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3BF5572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240000</w:t>
                  </w:r>
                </w:p>
              </w:tc>
              <w:tc>
                <w:tcPr>
                  <w:tcW w:w="1424" w:type="dxa"/>
                  <w:tcBorders>
                    <w:tl2br w:val="nil"/>
                    <w:tr2bl w:val="nil"/>
                  </w:tcBorders>
                  <w:vAlign w:val="center"/>
                </w:tcPr>
                <w:p w14:paraId="095395B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6C856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1155CEE1">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41A64EC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highlight w:val="none"/>
                      <w:lang w:val="en-US" w:eastAsia="zh-CN"/>
                    </w:rPr>
                  </w:pPr>
                  <w:r>
                    <w:rPr>
                      <w:rFonts w:hint="eastAsia"/>
                      <w:color w:val="auto"/>
                      <w:highlight w:val="none"/>
                      <w:lang w:val="en-US" w:eastAsia="zh-CN"/>
                    </w:rPr>
                    <w:t>按钮</w:t>
                  </w:r>
                </w:p>
              </w:tc>
              <w:tc>
                <w:tcPr>
                  <w:tcW w:w="1710" w:type="dxa"/>
                  <w:tcBorders>
                    <w:tl2br w:val="nil"/>
                    <w:tr2bl w:val="nil"/>
                  </w:tcBorders>
                  <w:vAlign w:val="center"/>
                </w:tcPr>
                <w:p w14:paraId="1EDACE7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LA42（B）PSD-22/DC24V</w:t>
                  </w:r>
                </w:p>
              </w:tc>
              <w:tc>
                <w:tcPr>
                  <w:tcW w:w="1178" w:type="dxa"/>
                  <w:tcBorders>
                    <w:tl2br w:val="nil"/>
                    <w:tr2bl w:val="nil"/>
                  </w:tcBorders>
                  <w:vAlign w:val="center"/>
                </w:tcPr>
                <w:p w14:paraId="4536703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个/a</w:t>
                  </w:r>
                </w:p>
              </w:tc>
              <w:tc>
                <w:tcPr>
                  <w:tcW w:w="1560" w:type="dxa"/>
                  <w:tcBorders>
                    <w:tl2br w:val="nil"/>
                    <w:tr2bl w:val="nil"/>
                  </w:tcBorders>
                  <w:vAlign w:val="center"/>
                </w:tcPr>
                <w:p w14:paraId="7060D8F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180000</w:t>
                  </w:r>
                </w:p>
              </w:tc>
              <w:tc>
                <w:tcPr>
                  <w:tcW w:w="1424" w:type="dxa"/>
                  <w:tcBorders>
                    <w:tl2br w:val="nil"/>
                    <w:tr2bl w:val="nil"/>
                  </w:tcBorders>
                  <w:vAlign w:val="center"/>
                </w:tcPr>
                <w:p w14:paraId="04625E3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3F7A5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14:paraId="759E8639">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6779FBB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控制箱显示面板支撑柱</w:t>
                  </w:r>
                </w:p>
              </w:tc>
              <w:tc>
                <w:tcPr>
                  <w:tcW w:w="1710" w:type="dxa"/>
                  <w:tcBorders>
                    <w:tl2br w:val="nil"/>
                    <w:tr2bl w:val="nil"/>
                  </w:tcBorders>
                  <w:vAlign w:val="center"/>
                </w:tcPr>
                <w:p w14:paraId="6487A4D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KCR0101-0104C</w:t>
                  </w:r>
                </w:p>
              </w:tc>
              <w:tc>
                <w:tcPr>
                  <w:tcW w:w="1178" w:type="dxa"/>
                  <w:tcBorders>
                    <w:tl2br w:val="nil"/>
                    <w:tr2bl w:val="nil"/>
                  </w:tcBorders>
                  <w:vAlign w:val="center"/>
                </w:tcPr>
                <w:p w14:paraId="497F8E3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color w:val="auto"/>
                      <w:highlight w:val="none"/>
                      <w:lang w:val="en-US" w:eastAsia="zh-CN"/>
                    </w:rPr>
                  </w:pPr>
                  <w:r>
                    <w:rPr>
                      <w:rFonts w:hint="eastAsia"/>
                      <w:color w:val="auto"/>
                      <w:highlight w:val="none"/>
                      <w:lang w:val="en-US" w:eastAsia="zh-CN"/>
                    </w:rPr>
                    <w:t>个/a</w:t>
                  </w:r>
                </w:p>
              </w:tc>
              <w:tc>
                <w:tcPr>
                  <w:tcW w:w="1560" w:type="dxa"/>
                  <w:tcBorders>
                    <w:tl2br w:val="nil"/>
                    <w:tr2bl w:val="nil"/>
                  </w:tcBorders>
                  <w:vAlign w:val="center"/>
                </w:tcPr>
                <w:p w14:paraId="0F8579F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60000</w:t>
                  </w:r>
                </w:p>
              </w:tc>
              <w:tc>
                <w:tcPr>
                  <w:tcW w:w="1424" w:type="dxa"/>
                  <w:tcBorders>
                    <w:tl2br w:val="nil"/>
                    <w:tr2bl w:val="nil"/>
                  </w:tcBorders>
                  <w:vAlign w:val="center"/>
                </w:tcPr>
                <w:p w14:paraId="4F47792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eastAsia="宋体"/>
                      <w:color w:val="auto"/>
                      <w:highlight w:val="none"/>
                      <w:lang w:val="en-US" w:eastAsia="zh-CN"/>
                    </w:rPr>
                  </w:pPr>
                  <w:r>
                    <w:rPr>
                      <w:rFonts w:hint="eastAsia"/>
                      <w:color w:val="auto"/>
                      <w:highlight w:val="none"/>
                      <w:lang w:val="en-US" w:eastAsia="zh-CN"/>
                    </w:rPr>
                    <w:t>外购</w:t>
                  </w:r>
                </w:p>
              </w:tc>
            </w:tr>
            <w:tr w14:paraId="0466F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5" w:type="dxa"/>
                  <w:tcBorders>
                    <w:tl2br w:val="nil"/>
                    <w:tr2bl w:val="nil"/>
                  </w:tcBorders>
                  <w:vAlign w:val="center"/>
                </w:tcPr>
                <w:p w14:paraId="1512214B">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288C743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操作面板拉手</w:t>
                  </w:r>
                </w:p>
              </w:tc>
              <w:tc>
                <w:tcPr>
                  <w:tcW w:w="1710" w:type="dxa"/>
                  <w:tcBorders>
                    <w:tl2br w:val="nil"/>
                    <w:tr2bl w:val="nil"/>
                  </w:tcBorders>
                  <w:vAlign w:val="center"/>
                </w:tcPr>
                <w:p w14:paraId="5C6430D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KCR0101-0106</w:t>
                  </w:r>
                </w:p>
              </w:tc>
              <w:tc>
                <w:tcPr>
                  <w:tcW w:w="1178" w:type="dxa"/>
                  <w:tcBorders>
                    <w:tl2br w:val="nil"/>
                    <w:tr2bl w:val="nil"/>
                  </w:tcBorders>
                  <w:vAlign w:val="center"/>
                </w:tcPr>
                <w:p w14:paraId="75FD634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6161FBA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30000</w:t>
                  </w:r>
                </w:p>
              </w:tc>
              <w:tc>
                <w:tcPr>
                  <w:tcW w:w="1424" w:type="dxa"/>
                  <w:tcBorders>
                    <w:tl2br w:val="nil"/>
                    <w:tr2bl w:val="nil"/>
                  </w:tcBorders>
                  <w:vAlign w:val="center"/>
                </w:tcPr>
                <w:p w14:paraId="6D18DD7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7B78E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15" w:type="dxa"/>
                  <w:tcBorders>
                    <w:tl2br w:val="nil"/>
                    <w:tr2bl w:val="nil"/>
                  </w:tcBorders>
                  <w:vAlign w:val="center"/>
                </w:tcPr>
                <w:p w14:paraId="5550DE3D">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0429356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控制箱天线托盘</w:t>
                  </w:r>
                </w:p>
              </w:tc>
              <w:tc>
                <w:tcPr>
                  <w:tcW w:w="1710" w:type="dxa"/>
                  <w:tcBorders>
                    <w:tl2br w:val="nil"/>
                    <w:tr2bl w:val="nil"/>
                  </w:tcBorders>
                  <w:vAlign w:val="center"/>
                </w:tcPr>
                <w:p w14:paraId="02F8421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KCR0101-03A</w:t>
                  </w:r>
                </w:p>
              </w:tc>
              <w:tc>
                <w:tcPr>
                  <w:tcW w:w="1178" w:type="dxa"/>
                  <w:tcBorders>
                    <w:tl2br w:val="nil"/>
                    <w:tr2bl w:val="nil"/>
                  </w:tcBorders>
                  <w:vAlign w:val="center"/>
                </w:tcPr>
                <w:p w14:paraId="5326559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19A0593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15000</w:t>
                  </w:r>
                </w:p>
              </w:tc>
              <w:tc>
                <w:tcPr>
                  <w:tcW w:w="1424" w:type="dxa"/>
                  <w:tcBorders>
                    <w:tl2br w:val="nil"/>
                    <w:tr2bl w:val="nil"/>
                  </w:tcBorders>
                  <w:vAlign w:val="center"/>
                </w:tcPr>
                <w:p w14:paraId="3594E59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534C5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15" w:type="dxa"/>
                  <w:tcBorders>
                    <w:tl2br w:val="nil"/>
                    <w:tr2bl w:val="nil"/>
                  </w:tcBorders>
                  <w:vAlign w:val="center"/>
                </w:tcPr>
                <w:p w14:paraId="64850243">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19CA7D4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连接线</w:t>
                  </w:r>
                </w:p>
              </w:tc>
              <w:tc>
                <w:tcPr>
                  <w:tcW w:w="1710" w:type="dxa"/>
                  <w:tcBorders>
                    <w:tl2br w:val="nil"/>
                    <w:tr2bl w:val="nil"/>
                  </w:tcBorders>
                  <w:vAlign w:val="center"/>
                </w:tcPr>
                <w:p w14:paraId="650587C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N-SMA-1</w:t>
                  </w:r>
                </w:p>
              </w:tc>
              <w:tc>
                <w:tcPr>
                  <w:tcW w:w="1178" w:type="dxa"/>
                  <w:tcBorders>
                    <w:tl2br w:val="nil"/>
                    <w:tr2bl w:val="nil"/>
                  </w:tcBorders>
                  <w:vAlign w:val="center"/>
                </w:tcPr>
                <w:p w14:paraId="40A6DAC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1ADD4D7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30000</w:t>
                  </w:r>
                </w:p>
              </w:tc>
              <w:tc>
                <w:tcPr>
                  <w:tcW w:w="1424" w:type="dxa"/>
                  <w:tcBorders>
                    <w:tl2br w:val="nil"/>
                    <w:tr2bl w:val="nil"/>
                  </w:tcBorders>
                  <w:vAlign w:val="center"/>
                </w:tcPr>
                <w:p w14:paraId="5BFEE35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428EF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15" w:type="dxa"/>
                  <w:tcBorders>
                    <w:tl2br w:val="nil"/>
                    <w:tr2bl w:val="nil"/>
                  </w:tcBorders>
                  <w:vAlign w:val="center"/>
                </w:tcPr>
                <w:p w14:paraId="0C2295C8">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479C149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3.5寸触摸显示屏</w:t>
                  </w:r>
                </w:p>
              </w:tc>
              <w:tc>
                <w:tcPr>
                  <w:tcW w:w="1710" w:type="dxa"/>
                  <w:tcBorders>
                    <w:tl2br w:val="nil"/>
                    <w:tr2bl w:val="nil"/>
                  </w:tcBorders>
                  <w:vAlign w:val="center"/>
                </w:tcPr>
                <w:p w14:paraId="4EB1030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DMT64480T035-01WT</w:t>
                  </w:r>
                </w:p>
              </w:tc>
              <w:tc>
                <w:tcPr>
                  <w:tcW w:w="1178" w:type="dxa"/>
                  <w:tcBorders>
                    <w:tl2br w:val="nil"/>
                    <w:tr2bl w:val="nil"/>
                  </w:tcBorders>
                  <w:vAlign w:val="center"/>
                </w:tcPr>
                <w:p w14:paraId="653CFD3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745AFCB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15000</w:t>
                  </w:r>
                </w:p>
              </w:tc>
              <w:tc>
                <w:tcPr>
                  <w:tcW w:w="1424" w:type="dxa"/>
                  <w:tcBorders>
                    <w:tl2br w:val="nil"/>
                    <w:tr2bl w:val="nil"/>
                  </w:tcBorders>
                  <w:vAlign w:val="center"/>
                </w:tcPr>
                <w:p w14:paraId="5B5473B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外购</w:t>
                  </w:r>
                </w:p>
              </w:tc>
            </w:tr>
            <w:tr w14:paraId="05BE8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15" w:type="dxa"/>
                  <w:tcBorders>
                    <w:tl2br w:val="nil"/>
                    <w:tr2bl w:val="nil"/>
                  </w:tcBorders>
                  <w:vAlign w:val="center"/>
                </w:tcPr>
                <w:p w14:paraId="0E57D2AB">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23FA3A3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壳体</w:t>
                  </w:r>
                </w:p>
              </w:tc>
              <w:tc>
                <w:tcPr>
                  <w:tcW w:w="1710" w:type="dxa"/>
                  <w:tcBorders>
                    <w:tl2br w:val="nil"/>
                    <w:tr2bl w:val="nil"/>
                  </w:tcBorders>
                  <w:vAlign w:val="center"/>
                </w:tcPr>
                <w:p w14:paraId="31643E4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w:t>
                  </w:r>
                </w:p>
              </w:tc>
              <w:tc>
                <w:tcPr>
                  <w:tcW w:w="1178" w:type="dxa"/>
                  <w:tcBorders>
                    <w:tl2br w:val="nil"/>
                    <w:tr2bl w:val="nil"/>
                  </w:tcBorders>
                  <w:vAlign w:val="center"/>
                </w:tcPr>
                <w:p w14:paraId="3111E59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highlight w:val="none"/>
                    </w:rPr>
                  </w:pPr>
                  <w:r>
                    <w:rPr>
                      <w:rFonts w:hint="eastAsia"/>
                      <w:color w:val="auto"/>
                      <w:highlight w:val="none"/>
                      <w:lang w:val="en-US" w:eastAsia="zh-CN"/>
                    </w:rPr>
                    <w:t>个/a</w:t>
                  </w:r>
                </w:p>
              </w:tc>
              <w:tc>
                <w:tcPr>
                  <w:tcW w:w="1560" w:type="dxa"/>
                  <w:tcBorders>
                    <w:tl2br w:val="nil"/>
                    <w:tr2bl w:val="nil"/>
                  </w:tcBorders>
                  <w:vAlign w:val="center"/>
                </w:tcPr>
                <w:p w14:paraId="44837BE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3000</w:t>
                  </w:r>
                </w:p>
              </w:tc>
              <w:tc>
                <w:tcPr>
                  <w:tcW w:w="1424" w:type="dxa"/>
                  <w:tcBorders>
                    <w:tl2br w:val="nil"/>
                    <w:tr2bl w:val="nil"/>
                  </w:tcBorders>
                  <w:vAlign w:val="center"/>
                </w:tcPr>
                <w:p w14:paraId="414BB6B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highlight w:val="none"/>
                      <w:lang w:val="en-US" w:eastAsia="zh-CN"/>
                    </w:rPr>
                  </w:pPr>
                  <w:r>
                    <w:rPr>
                      <w:rFonts w:hint="eastAsia"/>
                      <w:color w:val="auto"/>
                      <w:highlight w:val="none"/>
                      <w:lang w:val="en-US" w:eastAsia="zh-CN"/>
                    </w:rPr>
                    <w:t>外购，已进行喷涂</w:t>
                  </w:r>
                </w:p>
              </w:tc>
            </w:tr>
            <w:tr w14:paraId="663C1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15" w:type="dxa"/>
                  <w:tcBorders>
                    <w:tl2br w:val="nil"/>
                    <w:tr2bl w:val="nil"/>
                  </w:tcBorders>
                  <w:vAlign w:val="center"/>
                </w:tcPr>
                <w:p w14:paraId="4400AF3D">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7999011E">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水</w:t>
                  </w:r>
                </w:p>
              </w:tc>
              <w:tc>
                <w:tcPr>
                  <w:tcW w:w="1710" w:type="dxa"/>
                  <w:tcBorders>
                    <w:tl2br w:val="nil"/>
                    <w:tr2bl w:val="nil"/>
                  </w:tcBorders>
                  <w:vAlign w:val="center"/>
                </w:tcPr>
                <w:p w14:paraId="4D80AE8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w:t>
                  </w:r>
                </w:p>
              </w:tc>
              <w:tc>
                <w:tcPr>
                  <w:tcW w:w="1178" w:type="dxa"/>
                  <w:tcBorders>
                    <w:tl2br w:val="nil"/>
                    <w:tr2bl w:val="nil"/>
                  </w:tcBorders>
                  <w:vAlign w:val="center"/>
                </w:tcPr>
                <w:p w14:paraId="218A538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p>
              </w:tc>
              <w:tc>
                <w:tcPr>
                  <w:tcW w:w="1560" w:type="dxa"/>
                  <w:tcBorders>
                    <w:tl2br w:val="nil"/>
                    <w:tr2bl w:val="nil"/>
                  </w:tcBorders>
                  <w:vAlign w:val="center"/>
                </w:tcPr>
                <w:p w14:paraId="465020D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5333.4</w:t>
                  </w:r>
                </w:p>
              </w:tc>
              <w:tc>
                <w:tcPr>
                  <w:tcW w:w="1424" w:type="dxa"/>
                  <w:tcBorders>
                    <w:tl2br w:val="nil"/>
                    <w:tr2bl w:val="nil"/>
                  </w:tcBorders>
                  <w:vAlign w:val="center"/>
                </w:tcPr>
                <w:p w14:paraId="17E798B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自来水管网提供</w:t>
                  </w:r>
                </w:p>
              </w:tc>
            </w:tr>
            <w:tr w14:paraId="69157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15" w:type="dxa"/>
                  <w:tcBorders>
                    <w:tl2br w:val="nil"/>
                    <w:tr2bl w:val="nil"/>
                  </w:tcBorders>
                  <w:vAlign w:val="center"/>
                </w:tcPr>
                <w:p w14:paraId="5520B75D">
                  <w:pPr>
                    <w:pStyle w:val="31"/>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highlight w:val="none"/>
                    </w:rPr>
                  </w:pPr>
                </w:p>
              </w:tc>
              <w:tc>
                <w:tcPr>
                  <w:tcW w:w="1790" w:type="dxa"/>
                  <w:tcBorders>
                    <w:tl2br w:val="nil"/>
                    <w:tr2bl w:val="nil"/>
                  </w:tcBorders>
                  <w:vAlign w:val="center"/>
                </w:tcPr>
                <w:p w14:paraId="624AB5E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电</w:t>
                  </w:r>
                </w:p>
              </w:tc>
              <w:tc>
                <w:tcPr>
                  <w:tcW w:w="1710" w:type="dxa"/>
                  <w:tcBorders>
                    <w:tl2br w:val="nil"/>
                    <w:tr2bl w:val="nil"/>
                  </w:tcBorders>
                  <w:vAlign w:val="center"/>
                </w:tcPr>
                <w:p w14:paraId="56FD97F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78" w:type="dxa"/>
                  <w:tcBorders>
                    <w:tl2br w:val="nil"/>
                    <w:tr2bl w:val="nil"/>
                  </w:tcBorders>
                  <w:vAlign w:val="center"/>
                </w:tcPr>
                <w:p w14:paraId="17A9793E">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color w:val="auto"/>
                      <w:highlight w:val="none"/>
                      <w:lang w:val="en-US" w:eastAsia="zh-CN"/>
                    </w:rPr>
                  </w:pPr>
                  <w:r>
                    <w:rPr>
                      <w:rFonts w:hint="eastAsia"/>
                      <w:color w:val="auto"/>
                      <w:highlight w:val="none"/>
                      <w:lang w:val="en-US" w:eastAsia="zh-CN"/>
                    </w:rPr>
                    <w:t>万kWh/a</w:t>
                  </w:r>
                </w:p>
              </w:tc>
              <w:tc>
                <w:tcPr>
                  <w:tcW w:w="1560" w:type="dxa"/>
                  <w:tcBorders>
                    <w:tl2br w:val="nil"/>
                    <w:tr2bl w:val="nil"/>
                  </w:tcBorders>
                  <w:vAlign w:val="center"/>
                </w:tcPr>
                <w:p w14:paraId="716C431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highlight w:val="none"/>
                      <w:lang w:val="en-US" w:eastAsia="zh-CN"/>
                    </w:rPr>
                  </w:pPr>
                  <w:r>
                    <w:rPr>
                      <w:rFonts w:hint="eastAsia" w:ascii="Times New Roman" w:hAnsi="Times New Roman" w:cs="Times New Roman"/>
                      <w:color w:val="auto"/>
                      <w:highlight w:val="none"/>
                      <w:lang w:val="en-US" w:eastAsia="zh-CN"/>
                    </w:rPr>
                    <w:t>30</w:t>
                  </w:r>
                </w:p>
              </w:tc>
              <w:tc>
                <w:tcPr>
                  <w:tcW w:w="1424" w:type="dxa"/>
                  <w:tcBorders>
                    <w:tl2br w:val="nil"/>
                    <w:tr2bl w:val="nil"/>
                  </w:tcBorders>
                  <w:vAlign w:val="center"/>
                </w:tcPr>
                <w:p w14:paraId="4BA4179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取自本地电网</w:t>
                  </w:r>
                </w:p>
              </w:tc>
            </w:tr>
          </w:tbl>
          <w:p w14:paraId="4B66B224">
            <w:pPr>
              <w:bidi w:val="0"/>
              <w:rPr>
                <w:rFonts w:hint="default"/>
                <w:color w:val="auto"/>
                <w:sz w:val="24"/>
                <w:szCs w:val="24"/>
                <w:highlight w:val="none"/>
              </w:rPr>
            </w:pPr>
            <w:r>
              <w:rPr>
                <w:rFonts w:hint="eastAsia"/>
                <w:color w:val="auto"/>
                <w:sz w:val="24"/>
                <w:szCs w:val="24"/>
                <w:highlight w:val="none"/>
                <w:lang w:val="en-US" w:eastAsia="zh-CN"/>
              </w:rPr>
              <w:t>7、现有工程</w:t>
            </w:r>
            <w:r>
              <w:rPr>
                <w:rFonts w:hint="default"/>
                <w:color w:val="auto"/>
                <w:sz w:val="24"/>
                <w:szCs w:val="24"/>
                <w:highlight w:val="none"/>
              </w:rPr>
              <w:t>主要生产设备见下表。</w:t>
            </w:r>
          </w:p>
          <w:p w14:paraId="5F0FF38F">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表</w:t>
            </w:r>
            <w:r>
              <w:rPr>
                <w:rFonts w:hint="default" w:ascii="Times New Roman" w:hAnsi="Times New Roman" w:eastAsia="宋体" w:cs="Times New Roman"/>
                <w:b/>
                <w:color w:val="auto"/>
                <w:kern w:val="0"/>
                <w:sz w:val="21"/>
                <w:szCs w:val="21"/>
                <w:highlight w:val="none"/>
                <w:lang w:val="en-US" w:eastAsia="zh-CN"/>
              </w:rPr>
              <w:t>11</w:t>
            </w:r>
            <w:r>
              <w:rPr>
                <w:rFonts w:hint="default" w:ascii="Times New Roman" w:hAnsi="Times New Roman" w:eastAsia="宋体" w:cs="Times New Roman"/>
                <w:b/>
                <w:color w:val="auto"/>
                <w:kern w:val="0"/>
                <w:sz w:val="21"/>
                <w:szCs w:val="21"/>
                <w:highlight w:val="none"/>
              </w:rPr>
              <w:t xml:space="preserve"> </w:t>
            </w:r>
            <w:r>
              <w:rPr>
                <w:rFonts w:hint="eastAsia" w:ascii="宋体" w:hAnsi="宋体" w:eastAsia="宋体" w:cs="宋体"/>
                <w:b/>
                <w:color w:val="auto"/>
                <w:kern w:val="0"/>
                <w:sz w:val="21"/>
                <w:szCs w:val="21"/>
                <w:highlight w:val="none"/>
              </w:rPr>
              <w:t xml:space="preserve"> </w:t>
            </w:r>
            <w:r>
              <w:rPr>
                <w:rFonts w:hint="eastAsia" w:ascii="宋体" w:hAnsi="宋体" w:cs="宋体"/>
                <w:b/>
                <w:color w:val="auto"/>
                <w:kern w:val="0"/>
                <w:sz w:val="21"/>
                <w:szCs w:val="21"/>
                <w:highlight w:val="none"/>
                <w:lang w:val="en-US" w:eastAsia="zh-CN"/>
              </w:rPr>
              <w:t>现有工程</w:t>
            </w:r>
            <w:r>
              <w:rPr>
                <w:rFonts w:hint="eastAsia" w:ascii="宋体" w:hAnsi="宋体" w:eastAsia="宋体" w:cs="宋体"/>
                <w:b/>
                <w:color w:val="auto"/>
                <w:kern w:val="0"/>
                <w:sz w:val="21"/>
                <w:szCs w:val="21"/>
                <w:highlight w:val="none"/>
              </w:rPr>
              <w:t>主要生产设备及设施一览表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3608"/>
              <w:gridCol w:w="3355"/>
            </w:tblGrid>
            <w:tr w14:paraId="1B9DA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54E069EA">
                  <w:pPr>
                    <w:pStyle w:val="31"/>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rFonts w:hint="eastAsia"/>
                      <w:color w:val="auto"/>
                      <w:highlight w:val="none"/>
                    </w:rPr>
                    <w:t>序号</w:t>
                  </w:r>
                </w:p>
              </w:tc>
              <w:tc>
                <w:tcPr>
                  <w:tcW w:w="1845" w:type="dxa"/>
                  <w:tcBorders>
                    <w:tl2br w:val="nil"/>
                    <w:tr2bl w:val="nil"/>
                  </w:tcBorders>
                  <w:vAlign w:val="center"/>
                </w:tcPr>
                <w:p w14:paraId="17D7A7F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名称</w:t>
                  </w:r>
                </w:p>
              </w:tc>
              <w:tc>
                <w:tcPr>
                  <w:tcW w:w="1715" w:type="dxa"/>
                  <w:tcBorders>
                    <w:tl2br w:val="nil"/>
                    <w:tr2bl w:val="nil"/>
                  </w:tcBorders>
                  <w:vAlign w:val="center"/>
                </w:tcPr>
                <w:p w14:paraId="089AEBF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数量（台/套）</w:t>
                  </w:r>
                </w:p>
              </w:tc>
            </w:tr>
            <w:tr w14:paraId="49A96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5A49A72A">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4AD16A9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元器件分类盒</w:t>
                  </w:r>
                </w:p>
              </w:tc>
              <w:tc>
                <w:tcPr>
                  <w:tcW w:w="1715" w:type="dxa"/>
                  <w:tcBorders>
                    <w:tl2br w:val="nil"/>
                    <w:tr2bl w:val="nil"/>
                  </w:tcBorders>
                  <w:vAlign w:val="center"/>
                </w:tcPr>
                <w:p w14:paraId="091C295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6</w:t>
                  </w:r>
                </w:p>
              </w:tc>
            </w:tr>
            <w:tr w14:paraId="4A402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46A10653">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3DBD809A">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工具车</w:t>
                  </w:r>
                </w:p>
              </w:tc>
              <w:tc>
                <w:tcPr>
                  <w:tcW w:w="1715" w:type="dxa"/>
                  <w:tcBorders>
                    <w:tl2br w:val="nil"/>
                    <w:tr2bl w:val="nil"/>
                  </w:tcBorders>
                  <w:vAlign w:val="center"/>
                </w:tcPr>
                <w:p w14:paraId="6AABBF5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21</w:t>
                  </w:r>
                </w:p>
              </w:tc>
            </w:tr>
            <w:tr w14:paraId="50020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4C05F8B7">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7725024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电路板支架</w:t>
                  </w:r>
                </w:p>
              </w:tc>
              <w:tc>
                <w:tcPr>
                  <w:tcW w:w="1715" w:type="dxa"/>
                  <w:tcBorders>
                    <w:tl2br w:val="nil"/>
                    <w:tr2bl w:val="nil"/>
                  </w:tcBorders>
                  <w:vAlign w:val="center"/>
                </w:tcPr>
                <w:p w14:paraId="04B3FB8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5</w:t>
                  </w:r>
                </w:p>
              </w:tc>
            </w:tr>
            <w:tr w14:paraId="35D1D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3E76A9B9">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3414400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防爆芯支架</w:t>
                  </w:r>
                </w:p>
              </w:tc>
              <w:tc>
                <w:tcPr>
                  <w:tcW w:w="1715" w:type="dxa"/>
                  <w:tcBorders>
                    <w:tl2br w:val="nil"/>
                    <w:tr2bl w:val="nil"/>
                  </w:tcBorders>
                  <w:vAlign w:val="center"/>
                </w:tcPr>
                <w:p w14:paraId="6055279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17</w:t>
                  </w:r>
                </w:p>
              </w:tc>
            </w:tr>
            <w:tr w14:paraId="4B307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03463936">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51D5004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木托</w:t>
                  </w:r>
                </w:p>
              </w:tc>
              <w:tc>
                <w:tcPr>
                  <w:tcW w:w="1715" w:type="dxa"/>
                  <w:tcBorders>
                    <w:tl2br w:val="nil"/>
                    <w:tr2bl w:val="nil"/>
                  </w:tcBorders>
                  <w:vAlign w:val="center"/>
                </w:tcPr>
                <w:p w14:paraId="58E0A19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20</w:t>
                  </w:r>
                </w:p>
              </w:tc>
            </w:tr>
            <w:tr w14:paraId="4FE95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6EECFAE4">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27289D7A">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接线架</w:t>
                  </w:r>
                </w:p>
              </w:tc>
              <w:tc>
                <w:tcPr>
                  <w:tcW w:w="1715" w:type="dxa"/>
                  <w:tcBorders>
                    <w:tl2br w:val="nil"/>
                    <w:tr2bl w:val="nil"/>
                  </w:tcBorders>
                  <w:vAlign w:val="center"/>
                </w:tcPr>
                <w:p w14:paraId="5ED28DE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18</w:t>
                  </w:r>
                </w:p>
              </w:tc>
            </w:tr>
            <w:tr w14:paraId="4D820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16E92C18">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43DEFCA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成品架</w:t>
                  </w:r>
                </w:p>
              </w:tc>
              <w:tc>
                <w:tcPr>
                  <w:tcW w:w="1715" w:type="dxa"/>
                  <w:tcBorders>
                    <w:tl2br w:val="nil"/>
                    <w:tr2bl w:val="nil"/>
                  </w:tcBorders>
                  <w:vAlign w:val="center"/>
                </w:tcPr>
                <w:p w14:paraId="6585A07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5</w:t>
                  </w:r>
                </w:p>
              </w:tc>
            </w:tr>
            <w:tr w14:paraId="60A8A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0677DCBC">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592B035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固定式升降平台</w:t>
                  </w:r>
                </w:p>
              </w:tc>
              <w:tc>
                <w:tcPr>
                  <w:tcW w:w="1715" w:type="dxa"/>
                  <w:tcBorders>
                    <w:tl2br w:val="nil"/>
                    <w:tr2bl w:val="nil"/>
                  </w:tcBorders>
                  <w:vAlign w:val="center"/>
                </w:tcPr>
                <w:p w14:paraId="269A892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62</w:t>
                  </w:r>
                </w:p>
              </w:tc>
            </w:tr>
            <w:tr w14:paraId="0F3FB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29518848">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1D85882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周转车</w:t>
                  </w:r>
                </w:p>
              </w:tc>
              <w:tc>
                <w:tcPr>
                  <w:tcW w:w="1715" w:type="dxa"/>
                  <w:tcBorders>
                    <w:tl2br w:val="nil"/>
                    <w:tr2bl w:val="nil"/>
                  </w:tcBorders>
                  <w:vAlign w:val="center"/>
                </w:tcPr>
                <w:p w14:paraId="4145BB5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7</w:t>
                  </w:r>
                </w:p>
              </w:tc>
            </w:tr>
            <w:tr w14:paraId="10EE5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79610337">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52D3428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传感器固定支架</w:t>
                  </w:r>
                </w:p>
              </w:tc>
              <w:tc>
                <w:tcPr>
                  <w:tcW w:w="1715" w:type="dxa"/>
                  <w:tcBorders>
                    <w:tl2br w:val="nil"/>
                    <w:tr2bl w:val="nil"/>
                  </w:tcBorders>
                  <w:vAlign w:val="center"/>
                </w:tcPr>
                <w:p w14:paraId="67586AF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4</w:t>
                  </w:r>
                </w:p>
              </w:tc>
            </w:tr>
            <w:tr w14:paraId="06AB9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1CC2B606">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0827922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货架</w:t>
                  </w:r>
                </w:p>
              </w:tc>
              <w:tc>
                <w:tcPr>
                  <w:tcW w:w="1715" w:type="dxa"/>
                  <w:tcBorders>
                    <w:tl2br w:val="nil"/>
                    <w:tr2bl w:val="nil"/>
                  </w:tcBorders>
                  <w:vAlign w:val="center"/>
                </w:tcPr>
                <w:p w14:paraId="049E0BD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63</w:t>
                  </w:r>
                </w:p>
              </w:tc>
            </w:tr>
            <w:tr w14:paraId="6D0C5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3DD6D3A1">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2705810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手推装配线</w:t>
                  </w:r>
                </w:p>
              </w:tc>
              <w:tc>
                <w:tcPr>
                  <w:tcW w:w="1715" w:type="dxa"/>
                  <w:tcBorders>
                    <w:tl2br w:val="nil"/>
                    <w:tr2bl w:val="nil"/>
                  </w:tcBorders>
                  <w:vAlign w:val="center"/>
                </w:tcPr>
                <w:p w14:paraId="304504E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2</w:t>
                  </w:r>
                </w:p>
              </w:tc>
            </w:tr>
            <w:tr w14:paraId="4B2E9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6B1D7CFA">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3F4CAB1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工作生产线</w:t>
                  </w:r>
                </w:p>
              </w:tc>
              <w:tc>
                <w:tcPr>
                  <w:tcW w:w="1715" w:type="dxa"/>
                  <w:tcBorders>
                    <w:tl2br w:val="nil"/>
                    <w:tr2bl w:val="nil"/>
                  </w:tcBorders>
                  <w:vAlign w:val="center"/>
                </w:tcPr>
                <w:p w14:paraId="5E419C1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2</w:t>
                  </w:r>
                </w:p>
              </w:tc>
            </w:tr>
            <w:tr w14:paraId="31F87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3153E86F">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318098F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双色板漏</w:t>
                  </w:r>
                </w:p>
              </w:tc>
              <w:tc>
                <w:tcPr>
                  <w:tcW w:w="1715" w:type="dxa"/>
                  <w:tcBorders>
                    <w:tl2br w:val="nil"/>
                    <w:tr2bl w:val="nil"/>
                  </w:tcBorders>
                  <w:vAlign w:val="center"/>
                </w:tcPr>
                <w:p w14:paraId="6FED38BA">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4</w:t>
                  </w:r>
                </w:p>
              </w:tc>
            </w:tr>
            <w:tr w14:paraId="61965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3115658E">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4EA12E1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传感器穿线板</w:t>
                  </w:r>
                </w:p>
              </w:tc>
              <w:tc>
                <w:tcPr>
                  <w:tcW w:w="1715" w:type="dxa"/>
                  <w:tcBorders>
                    <w:tl2br w:val="nil"/>
                    <w:tr2bl w:val="nil"/>
                  </w:tcBorders>
                  <w:vAlign w:val="center"/>
                </w:tcPr>
                <w:p w14:paraId="741AA07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1</w:t>
                  </w:r>
                </w:p>
              </w:tc>
            </w:tr>
            <w:tr w14:paraId="57B70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161E961B">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50236EF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低温恒定湿热试验箱</w:t>
                  </w:r>
                </w:p>
              </w:tc>
              <w:tc>
                <w:tcPr>
                  <w:tcW w:w="1715" w:type="dxa"/>
                  <w:tcBorders>
                    <w:tl2br w:val="nil"/>
                    <w:tr2bl w:val="nil"/>
                  </w:tcBorders>
                  <w:vAlign w:val="center"/>
                </w:tcPr>
                <w:p w14:paraId="7E30182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1</w:t>
                  </w:r>
                </w:p>
              </w:tc>
            </w:tr>
            <w:tr w14:paraId="29CD8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46FC177A">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3C3E8B9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老化试验箱</w:t>
                  </w:r>
                </w:p>
              </w:tc>
              <w:tc>
                <w:tcPr>
                  <w:tcW w:w="1715" w:type="dxa"/>
                  <w:tcBorders>
                    <w:tl2br w:val="nil"/>
                    <w:tr2bl w:val="nil"/>
                  </w:tcBorders>
                  <w:vAlign w:val="center"/>
                </w:tcPr>
                <w:p w14:paraId="2C001FA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1</w:t>
                  </w:r>
                </w:p>
              </w:tc>
            </w:tr>
            <w:tr w14:paraId="775A6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055D7133">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0531294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老化试验工具箱</w:t>
                  </w:r>
                </w:p>
              </w:tc>
              <w:tc>
                <w:tcPr>
                  <w:tcW w:w="1715" w:type="dxa"/>
                  <w:tcBorders>
                    <w:tl2br w:val="nil"/>
                    <w:tr2bl w:val="nil"/>
                  </w:tcBorders>
                  <w:vAlign w:val="center"/>
                </w:tcPr>
                <w:p w14:paraId="559DC3F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1</w:t>
                  </w:r>
                </w:p>
              </w:tc>
            </w:tr>
            <w:tr w14:paraId="1ABFF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05F1EBDF">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5431A8E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电动手枪钻</w:t>
                  </w:r>
                </w:p>
              </w:tc>
              <w:tc>
                <w:tcPr>
                  <w:tcW w:w="1715" w:type="dxa"/>
                  <w:tcBorders>
                    <w:tl2br w:val="nil"/>
                    <w:tr2bl w:val="nil"/>
                  </w:tcBorders>
                  <w:vAlign w:val="center"/>
                </w:tcPr>
                <w:p w14:paraId="454F9DC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6</w:t>
                  </w:r>
                </w:p>
              </w:tc>
            </w:tr>
            <w:tr w14:paraId="673DB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7D79F72A">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3220253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吸尘器</w:t>
                  </w:r>
                </w:p>
              </w:tc>
              <w:tc>
                <w:tcPr>
                  <w:tcW w:w="1715" w:type="dxa"/>
                  <w:tcBorders>
                    <w:tl2br w:val="nil"/>
                    <w:tr2bl w:val="nil"/>
                  </w:tcBorders>
                  <w:vAlign w:val="center"/>
                </w:tcPr>
                <w:p w14:paraId="655A52D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3</w:t>
                  </w:r>
                </w:p>
              </w:tc>
            </w:tr>
            <w:tr w14:paraId="0951E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5EC9AD04">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313D83C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打号机</w:t>
                  </w:r>
                </w:p>
              </w:tc>
              <w:tc>
                <w:tcPr>
                  <w:tcW w:w="1715" w:type="dxa"/>
                  <w:tcBorders>
                    <w:tl2br w:val="nil"/>
                    <w:tr2bl w:val="nil"/>
                  </w:tcBorders>
                  <w:vAlign w:val="center"/>
                </w:tcPr>
                <w:p w14:paraId="56EB899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rFonts w:hint="eastAsia"/>
                      <w:color w:val="auto"/>
                      <w:highlight w:val="none"/>
                      <w:lang w:val="en-US" w:eastAsia="zh-CN"/>
                    </w:rPr>
                    <w:t>2</w:t>
                  </w:r>
                </w:p>
              </w:tc>
            </w:tr>
            <w:tr w14:paraId="08E7D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1B0A6EDF">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0B59807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双面移动物料整理架</w:t>
                  </w:r>
                </w:p>
              </w:tc>
              <w:tc>
                <w:tcPr>
                  <w:tcW w:w="1715" w:type="dxa"/>
                  <w:tcBorders>
                    <w:tl2br w:val="nil"/>
                    <w:tr2bl w:val="nil"/>
                  </w:tcBorders>
                  <w:vAlign w:val="center"/>
                </w:tcPr>
                <w:p w14:paraId="7EC4457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60</w:t>
                  </w:r>
                </w:p>
              </w:tc>
            </w:tr>
            <w:tr w14:paraId="726A1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dxa"/>
                  <w:tcBorders>
                    <w:tl2br w:val="nil"/>
                    <w:tr2bl w:val="nil"/>
                  </w:tcBorders>
                  <w:vAlign w:val="center"/>
                </w:tcPr>
                <w:p w14:paraId="0BB8548F">
                  <w:pPr>
                    <w:pStyle w:val="31"/>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highlight w:val="none"/>
                    </w:rPr>
                  </w:pPr>
                </w:p>
              </w:tc>
              <w:tc>
                <w:tcPr>
                  <w:tcW w:w="1845" w:type="dxa"/>
                  <w:tcBorders>
                    <w:tl2br w:val="nil"/>
                    <w:tr2bl w:val="nil"/>
                  </w:tcBorders>
                  <w:vAlign w:val="center"/>
                </w:tcPr>
                <w:p w14:paraId="7CB2AD7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材料车</w:t>
                  </w:r>
                </w:p>
              </w:tc>
              <w:tc>
                <w:tcPr>
                  <w:tcW w:w="1715" w:type="dxa"/>
                  <w:tcBorders>
                    <w:tl2br w:val="nil"/>
                    <w:tr2bl w:val="nil"/>
                  </w:tcBorders>
                  <w:vAlign w:val="center"/>
                </w:tcPr>
                <w:p w14:paraId="5CFF7E6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42</w:t>
                  </w:r>
                </w:p>
              </w:tc>
            </w:tr>
          </w:tbl>
          <w:p w14:paraId="30DF3980">
            <w:pPr>
              <w:bidi w:val="0"/>
              <w:rPr>
                <w:rFonts w:hint="default"/>
                <w:color w:val="auto"/>
                <w:sz w:val="24"/>
                <w:szCs w:val="24"/>
                <w:highlight w:val="none"/>
              </w:rPr>
            </w:pPr>
            <w:r>
              <w:rPr>
                <w:rFonts w:hint="eastAsia"/>
                <w:color w:val="auto"/>
                <w:sz w:val="24"/>
                <w:szCs w:val="24"/>
                <w:highlight w:val="none"/>
                <w:lang w:val="en-US" w:eastAsia="zh-CN"/>
              </w:rPr>
              <w:t>8、</w:t>
            </w:r>
            <w:r>
              <w:rPr>
                <w:rFonts w:hint="default"/>
                <w:color w:val="auto"/>
                <w:sz w:val="24"/>
                <w:szCs w:val="24"/>
                <w:highlight w:val="none"/>
              </w:rPr>
              <w:t xml:space="preserve">给排水及采暖 </w:t>
            </w:r>
          </w:p>
          <w:p w14:paraId="53F1D313">
            <w:pPr>
              <w:bidi w:val="0"/>
              <w:rPr>
                <w:rFonts w:hint="default"/>
                <w:color w:val="auto"/>
                <w:spacing w:val="0"/>
                <w:sz w:val="24"/>
                <w:highlight w:val="none"/>
                <w:vertAlign w:val="baseline"/>
                <w:lang w:val="en-US" w:eastAsia="zh-CN"/>
              </w:rPr>
            </w:pPr>
            <w:r>
              <w:rPr>
                <w:rFonts w:hint="eastAsia"/>
                <w:color w:val="auto"/>
                <w:spacing w:val="0"/>
                <w:sz w:val="24"/>
                <w:highlight w:val="none"/>
                <w:vertAlign w:val="baseline"/>
                <w:lang w:val="en-US" w:eastAsia="zh-CN"/>
              </w:rPr>
              <w:t>（1）给排水</w:t>
            </w:r>
          </w:p>
          <w:p w14:paraId="0F6F5326">
            <w:pPr>
              <w:spacing w:line="480" w:lineRule="exact"/>
              <w:ind w:firstLine="480" w:firstLineChars="200"/>
              <w:rPr>
                <w:rFonts w:ascii="Times New Roman" w:hAnsi="Times New Roman" w:eastAsia="宋体"/>
                <w:color w:val="auto"/>
                <w:sz w:val="24"/>
                <w:szCs w:val="30"/>
                <w:highlight w:val="none"/>
              </w:rPr>
            </w:pPr>
            <w:r>
              <w:rPr>
                <w:rFonts w:hint="eastAsia" w:ascii="Times New Roman" w:hAnsi="Times New Roman" w:eastAsia="宋体"/>
                <w:color w:val="auto"/>
                <w:sz w:val="24"/>
                <w:szCs w:val="30"/>
                <w:highlight w:val="none"/>
                <w:lang w:val="en-US" w:eastAsia="zh-CN"/>
              </w:rPr>
              <w:t>现有工程</w:t>
            </w:r>
            <w:r>
              <w:rPr>
                <w:rFonts w:hint="eastAsia"/>
                <w:color w:val="auto"/>
                <w:sz w:val="24"/>
                <w:szCs w:val="30"/>
                <w:highlight w:val="none"/>
                <w:lang w:val="en-US" w:eastAsia="zh-CN"/>
              </w:rPr>
              <w:t>生产过程不用水，用水主要为职工生活用水及厂区绿化用水，废水主要为生活污水</w:t>
            </w:r>
            <w:r>
              <w:rPr>
                <w:rFonts w:ascii="Times New Roman" w:hAnsi="Times New Roman" w:eastAsia="宋体"/>
                <w:color w:val="auto"/>
                <w:sz w:val="24"/>
                <w:szCs w:val="30"/>
                <w:highlight w:val="none"/>
              </w:rPr>
              <w:t>。</w:t>
            </w:r>
          </w:p>
          <w:p w14:paraId="5417C9B0">
            <w:pPr>
              <w:bidi w:val="0"/>
              <w:rPr>
                <w:rFonts w:hint="eastAsia"/>
                <w:color w:val="auto"/>
                <w:lang w:val="en-US" w:eastAsia="zh-CN"/>
              </w:rPr>
            </w:pPr>
            <w:r>
              <w:rPr>
                <w:rFonts w:hint="eastAsia"/>
                <w:color w:val="auto"/>
                <w:lang w:val="en-US" w:eastAsia="zh-CN"/>
              </w:rPr>
              <w:t>①绿化</w:t>
            </w:r>
          </w:p>
          <w:p w14:paraId="79499DD8">
            <w:pPr>
              <w:spacing w:line="480" w:lineRule="exact"/>
              <w:ind w:firstLine="480" w:firstLineChars="200"/>
              <w:rPr>
                <w:rFonts w:hint="default"/>
                <w:color w:val="auto"/>
                <w:sz w:val="24"/>
                <w:szCs w:val="30"/>
                <w:highlight w:val="none"/>
                <w:lang w:val="en-US" w:eastAsia="zh-CN"/>
              </w:rPr>
            </w:pPr>
            <w:r>
              <w:rPr>
                <w:rFonts w:hint="eastAsia"/>
                <w:color w:val="auto"/>
                <w:sz w:val="24"/>
                <w:szCs w:val="30"/>
                <w:highlight w:val="none"/>
                <w:lang w:val="en-US" w:eastAsia="zh-CN"/>
              </w:rPr>
              <w:t>现有工程绿化用水量为9.334m</w:t>
            </w:r>
            <w:r>
              <w:rPr>
                <w:rFonts w:hint="eastAsia"/>
                <w:color w:val="auto"/>
                <w:sz w:val="24"/>
                <w:szCs w:val="30"/>
                <w:highlight w:val="none"/>
                <w:vertAlign w:val="superscript"/>
                <w:lang w:val="en-US" w:eastAsia="zh-CN"/>
              </w:rPr>
              <w:t>3</w:t>
            </w:r>
            <w:r>
              <w:rPr>
                <w:rFonts w:hint="eastAsia"/>
                <w:color w:val="auto"/>
                <w:sz w:val="24"/>
                <w:szCs w:val="30"/>
                <w:highlight w:val="none"/>
                <w:lang w:val="en-US" w:eastAsia="zh-CN"/>
              </w:rPr>
              <w:t>/d（2333.4m</w:t>
            </w:r>
            <w:r>
              <w:rPr>
                <w:rFonts w:hint="eastAsia"/>
                <w:color w:val="auto"/>
                <w:sz w:val="24"/>
                <w:szCs w:val="30"/>
                <w:highlight w:val="none"/>
                <w:vertAlign w:val="superscript"/>
                <w:lang w:val="en-US" w:eastAsia="zh-CN"/>
              </w:rPr>
              <w:t>3</w:t>
            </w:r>
            <w:r>
              <w:rPr>
                <w:rFonts w:hint="eastAsia"/>
                <w:color w:val="auto"/>
                <w:sz w:val="24"/>
                <w:szCs w:val="30"/>
                <w:highlight w:val="none"/>
                <w:lang w:val="en-US" w:eastAsia="zh-CN"/>
              </w:rPr>
              <w:t>/a），全部损耗，无废水产生。</w:t>
            </w:r>
          </w:p>
          <w:p w14:paraId="5AC57994">
            <w:pPr>
              <w:spacing w:line="480" w:lineRule="exact"/>
              <w:ind w:firstLine="480" w:firstLineChars="200"/>
              <w:rPr>
                <w:rFonts w:hint="default"/>
                <w:color w:val="auto"/>
                <w:sz w:val="24"/>
                <w:szCs w:val="30"/>
                <w:highlight w:val="none"/>
                <w:lang w:val="en-US" w:eastAsia="zh-CN"/>
              </w:rPr>
            </w:pPr>
            <w:r>
              <w:rPr>
                <w:rFonts w:hint="default"/>
                <w:color w:val="auto"/>
                <w:sz w:val="24"/>
                <w:szCs w:val="30"/>
                <w:highlight w:val="none"/>
                <w:lang w:val="en-US" w:eastAsia="zh-CN"/>
              </w:rPr>
              <w:t>②</w:t>
            </w:r>
            <w:r>
              <w:rPr>
                <w:rFonts w:hint="eastAsia"/>
                <w:color w:val="auto"/>
                <w:sz w:val="24"/>
                <w:szCs w:val="30"/>
                <w:highlight w:val="none"/>
                <w:lang w:val="en-US" w:eastAsia="zh-CN"/>
              </w:rPr>
              <w:t>职工生活</w:t>
            </w:r>
          </w:p>
          <w:p w14:paraId="6292CE0B">
            <w:pPr>
              <w:spacing w:line="480" w:lineRule="exact"/>
              <w:ind w:firstLine="480" w:firstLineChars="200"/>
              <w:rPr>
                <w:rFonts w:hint="eastAsia" w:ascii="Times New Roman" w:hAnsi="Times New Roman" w:eastAsia="宋体"/>
                <w:color w:val="auto"/>
                <w:sz w:val="24"/>
                <w:szCs w:val="30"/>
                <w:highlight w:val="none"/>
              </w:rPr>
            </w:pPr>
            <w:r>
              <w:rPr>
                <w:rFonts w:hint="eastAsia"/>
                <w:color w:val="auto"/>
                <w:sz w:val="24"/>
                <w:szCs w:val="30"/>
                <w:highlight w:val="none"/>
                <w:lang w:val="en-US" w:eastAsia="zh-CN"/>
              </w:rPr>
              <w:t>现有工程不设食堂、宿舍、洗浴设设施，职工生活用水量为12m</w:t>
            </w:r>
            <w:r>
              <w:rPr>
                <w:rFonts w:hint="eastAsia"/>
                <w:color w:val="auto"/>
                <w:sz w:val="24"/>
                <w:szCs w:val="30"/>
                <w:highlight w:val="none"/>
                <w:vertAlign w:val="superscript"/>
                <w:lang w:val="en-US" w:eastAsia="zh-CN"/>
              </w:rPr>
              <w:t>3</w:t>
            </w:r>
            <w:r>
              <w:rPr>
                <w:rFonts w:hint="eastAsia"/>
                <w:color w:val="auto"/>
                <w:sz w:val="24"/>
                <w:szCs w:val="30"/>
                <w:highlight w:val="none"/>
                <w:lang w:val="en-US" w:eastAsia="zh-CN"/>
              </w:rPr>
              <w:t>/d（3000m</w:t>
            </w:r>
            <w:r>
              <w:rPr>
                <w:rFonts w:hint="eastAsia"/>
                <w:color w:val="auto"/>
                <w:sz w:val="24"/>
                <w:szCs w:val="30"/>
                <w:highlight w:val="none"/>
                <w:vertAlign w:val="superscript"/>
                <w:lang w:val="en-US" w:eastAsia="zh-CN"/>
              </w:rPr>
              <w:t>3</w:t>
            </w:r>
            <w:r>
              <w:rPr>
                <w:rFonts w:hint="eastAsia"/>
                <w:color w:val="auto"/>
                <w:sz w:val="24"/>
                <w:szCs w:val="30"/>
                <w:highlight w:val="none"/>
                <w:lang w:val="en-US" w:eastAsia="zh-CN"/>
              </w:rPr>
              <w:t>/a），生活污水产生量为9.6m</w:t>
            </w:r>
            <w:r>
              <w:rPr>
                <w:rFonts w:hint="eastAsia"/>
                <w:color w:val="auto"/>
                <w:sz w:val="24"/>
                <w:szCs w:val="30"/>
                <w:highlight w:val="none"/>
                <w:vertAlign w:val="superscript"/>
                <w:lang w:val="en-US" w:eastAsia="zh-CN"/>
              </w:rPr>
              <w:t>3</w:t>
            </w:r>
            <w:r>
              <w:rPr>
                <w:rFonts w:hint="eastAsia"/>
                <w:color w:val="auto"/>
                <w:sz w:val="24"/>
                <w:szCs w:val="30"/>
                <w:highlight w:val="none"/>
                <w:lang w:val="en-US" w:eastAsia="zh-CN"/>
              </w:rPr>
              <w:t>/d（2400m</w:t>
            </w:r>
            <w:r>
              <w:rPr>
                <w:rFonts w:hint="eastAsia"/>
                <w:color w:val="auto"/>
                <w:sz w:val="24"/>
                <w:szCs w:val="30"/>
                <w:highlight w:val="none"/>
                <w:vertAlign w:val="superscript"/>
                <w:lang w:val="en-US" w:eastAsia="zh-CN"/>
              </w:rPr>
              <w:t>3</w:t>
            </w:r>
            <w:r>
              <w:rPr>
                <w:rFonts w:hint="eastAsia"/>
                <w:color w:val="auto"/>
                <w:sz w:val="24"/>
                <w:szCs w:val="30"/>
                <w:highlight w:val="none"/>
                <w:lang w:val="en-US" w:eastAsia="zh-CN"/>
              </w:rPr>
              <w:t>/a），排入市政污水管网，最终进入唐山西郊污水处理厂处理</w:t>
            </w:r>
            <w:r>
              <w:rPr>
                <w:rFonts w:hint="eastAsia" w:ascii="Times New Roman" w:hAnsi="Times New Roman" w:eastAsia="宋体"/>
                <w:color w:val="auto"/>
                <w:sz w:val="24"/>
                <w:szCs w:val="30"/>
                <w:highlight w:val="none"/>
              </w:rPr>
              <w:t>。</w:t>
            </w:r>
          </w:p>
          <w:p w14:paraId="7AB27477">
            <w:pPr>
              <w:spacing w:line="480" w:lineRule="exact"/>
              <w:ind w:firstLine="480" w:firstLineChars="200"/>
              <w:rPr>
                <w:rFonts w:hint="default" w:ascii="Times New Roman" w:hAnsi="Times New Roman" w:eastAsia="宋体"/>
                <w:color w:val="auto"/>
                <w:sz w:val="24"/>
                <w:szCs w:val="30"/>
                <w:highlight w:val="none"/>
                <w:lang w:val="en-US" w:eastAsia="zh-CN"/>
              </w:rPr>
            </w:pPr>
            <w:r>
              <w:rPr>
                <w:rFonts w:hint="eastAsia"/>
                <w:color w:val="auto"/>
                <w:sz w:val="24"/>
                <w:szCs w:val="30"/>
                <w:highlight w:val="none"/>
                <w:lang w:val="en-US" w:eastAsia="zh-CN"/>
              </w:rPr>
              <w:t>现有工程水量平衡表见表12，水量平衡图见图1。</w:t>
            </w:r>
          </w:p>
          <w:p w14:paraId="4836FDC4">
            <w:pPr>
              <w:pStyle w:val="1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表12  现有工程水平衡一览表（m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108"/>
              <w:gridCol w:w="1267"/>
              <w:gridCol w:w="1091"/>
              <w:gridCol w:w="1009"/>
              <w:gridCol w:w="2587"/>
            </w:tblGrid>
            <w:tr w14:paraId="0474D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215" w:type="dxa"/>
                  <w:tcBorders>
                    <w:tl2br w:val="nil"/>
                    <w:tr2bl w:val="nil"/>
                  </w:tcBorders>
                  <w:vAlign w:val="center"/>
                </w:tcPr>
                <w:p w14:paraId="7F789F24">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用水环节</w:t>
                  </w:r>
                </w:p>
              </w:tc>
              <w:tc>
                <w:tcPr>
                  <w:tcW w:w="1108" w:type="dxa"/>
                  <w:tcBorders>
                    <w:tl2br w:val="nil"/>
                    <w:tr2bl w:val="nil"/>
                  </w:tcBorders>
                  <w:vAlign w:val="center"/>
                </w:tcPr>
                <w:p w14:paraId="32776DC9">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总用水量</w:t>
                  </w:r>
                </w:p>
              </w:tc>
              <w:tc>
                <w:tcPr>
                  <w:tcW w:w="1267" w:type="dxa"/>
                  <w:tcBorders>
                    <w:tl2br w:val="nil"/>
                    <w:tr2bl w:val="nil"/>
                  </w:tcBorders>
                  <w:vAlign w:val="center"/>
                </w:tcPr>
                <w:p w14:paraId="29FD724F">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新鲜水量</w:t>
                  </w:r>
                </w:p>
              </w:tc>
              <w:tc>
                <w:tcPr>
                  <w:tcW w:w="1091" w:type="dxa"/>
                  <w:tcBorders>
                    <w:tl2br w:val="nil"/>
                    <w:tr2bl w:val="nil"/>
                  </w:tcBorders>
                  <w:vAlign w:val="center"/>
                </w:tcPr>
                <w:p w14:paraId="1C6A3BCE">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损耗水量</w:t>
                  </w:r>
                </w:p>
              </w:tc>
              <w:tc>
                <w:tcPr>
                  <w:tcW w:w="1009" w:type="dxa"/>
                  <w:tcBorders>
                    <w:tl2br w:val="nil"/>
                    <w:tr2bl w:val="nil"/>
                  </w:tcBorders>
                  <w:vAlign w:val="center"/>
                </w:tcPr>
                <w:p w14:paraId="73FEA61F">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废水量</w:t>
                  </w:r>
                </w:p>
              </w:tc>
              <w:tc>
                <w:tcPr>
                  <w:tcW w:w="2587" w:type="dxa"/>
                  <w:tcBorders>
                    <w:tl2br w:val="nil"/>
                    <w:tr2bl w:val="nil"/>
                  </w:tcBorders>
                  <w:vAlign w:val="center"/>
                </w:tcPr>
                <w:p w14:paraId="48770511">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备注</w:t>
                  </w:r>
                </w:p>
              </w:tc>
            </w:tr>
            <w:tr w14:paraId="6651B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215" w:type="dxa"/>
                  <w:tcBorders>
                    <w:tl2br w:val="nil"/>
                    <w:tr2bl w:val="nil"/>
                  </w:tcBorders>
                  <w:vAlign w:val="center"/>
                </w:tcPr>
                <w:p w14:paraId="48B2B358">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职工生活</w:t>
                  </w:r>
                </w:p>
              </w:tc>
              <w:tc>
                <w:tcPr>
                  <w:tcW w:w="1108" w:type="dxa"/>
                  <w:tcBorders>
                    <w:tl2br w:val="nil"/>
                    <w:tr2bl w:val="nil"/>
                  </w:tcBorders>
                  <w:vAlign w:val="center"/>
                </w:tcPr>
                <w:p w14:paraId="5FD8A6F3">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12</w:t>
                  </w:r>
                </w:p>
              </w:tc>
              <w:tc>
                <w:tcPr>
                  <w:tcW w:w="1267" w:type="dxa"/>
                  <w:tcBorders>
                    <w:tl2br w:val="nil"/>
                    <w:tr2bl w:val="nil"/>
                  </w:tcBorders>
                  <w:vAlign w:val="center"/>
                </w:tcPr>
                <w:p w14:paraId="33A3BE9D">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12</w:t>
                  </w:r>
                </w:p>
              </w:tc>
              <w:tc>
                <w:tcPr>
                  <w:tcW w:w="1091" w:type="dxa"/>
                  <w:tcBorders>
                    <w:tl2br w:val="nil"/>
                    <w:tr2bl w:val="nil"/>
                  </w:tcBorders>
                  <w:vAlign w:val="center"/>
                </w:tcPr>
                <w:p w14:paraId="616E12F3">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2.4</w:t>
                  </w:r>
                </w:p>
              </w:tc>
              <w:tc>
                <w:tcPr>
                  <w:tcW w:w="1009" w:type="dxa"/>
                  <w:tcBorders>
                    <w:tl2br w:val="nil"/>
                    <w:tr2bl w:val="nil"/>
                  </w:tcBorders>
                  <w:vAlign w:val="center"/>
                </w:tcPr>
                <w:p w14:paraId="5E122B46">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9.6</w:t>
                  </w:r>
                </w:p>
              </w:tc>
              <w:tc>
                <w:tcPr>
                  <w:tcW w:w="2587" w:type="dxa"/>
                  <w:tcBorders>
                    <w:tl2br w:val="nil"/>
                    <w:tr2bl w:val="nil"/>
                  </w:tcBorders>
                  <w:vAlign w:val="center"/>
                </w:tcPr>
                <w:p w14:paraId="5AA8EC1D">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排入市政污水管网，最终进入西郊污水处理厂处理</w:t>
                  </w:r>
                </w:p>
              </w:tc>
            </w:tr>
            <w:tr w14:paraId="5653A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15" w:type="dxa"/>
                  <w:tcBorders>
                    <w:tl2br w:val="nil"/>
                    <w:tr2bl w:val="nil"/>
                  </w:tcBorders>
                  <w:vAlign w:val="center"/>
                </w:tcPr>
                <w:p w14:paraId="4D7FDDCD">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绿化</w:t>
                  </w:r>
                </w:p>
              </w:tc>
              <w:tc>
                <w:tcPr>
                  <w:tcW w:w="1108" w:type="dxa"/>
                  <w:tcBorders>
                    <w:tl2br w:val="nil"/>
                    <w:tr2bl w:val="nil"/>
                  </w:tcBorders>
                  <w:vAlign w:val="center"/>
                </w:tcPr>
                <w:p w14:paraId="42BE6582">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9.334</w:t>
                  </w:r>
                </w:p>
              </w:tc>
              <w:tc>
                <w:tcPr>
                  <w:tcW w:w="1267" w:type="dxa"/>
                  <w:tcBorders>
                    <w:tl2br w:val="nil"/>
                    <w:tr2bl w:val="nil"/>
                  </w:tcBorders>
                  <w:vAlign w:val="center"/>
                </w:tcPr>
                <w:p w14:paraId="74E2C922">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9.334</w:t>
                  </w:r>
                </w:p>
              </w:tc>
              <w:tc>
                <w:tcPr>
                  <w:tcW w:w="1091" w:type="dxa"/>
                  <w:tcBorders>
                    <w:tl2br w:val="nil"/>
                    <w:tr2bl w:val="nil"/>
                  </w:tcBorders>
                  <w:vAlign w:val="center"/>
                </w:tcPr>
                <w:p w14:paraId="5ED28BD2">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9.334</w:t>
                  </w:r>
                </w:p>
              </w:tc>
              <w:tc>
                <w:tcPr>
                  <w:tcW w:w="1009" w:type="dxa"/>
                  <w:tcBorders>
                    <w:tl2br w:val="nil"/>
                    <w:tr2bl w:val="nil"/>
                  </w:tcBorders>
                  <w:vAlign w:val="center"/>
                </w:tcPr>
                <w:p w14:paraId="584C0C92">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w:t>
                  </w:r>
                </w:p>
              </w:tc>
              <w:tc>
                <w:tcPr>
                  <w:tcW w:w="2587" w:type="dxa"/>
                  <w:tcBorders>
                    <w:tl2br w:val="nil"/>
                    <w:tr2bl w:val="nil"/>
                  </w:tcBorders>
                  <w:vAlign w:val="center"/>
                </w:tcPr>
                <w:p w14:paraId="4D293AF9">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w:t>
                  </w:r>
                </w:p>
              </w:tc>
            </w:tr>
            <w:tr w14:paraId="7B21E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15" w:type="dxa"/>
                  <w:tcBorders>
                    <w:tl2br w:val="nil"/>
                    <w:tr2bl w:val="nil"/>
                  </w:tcBorders>
                  <w:vAlign w:val="center"/>
                </w:tcPr>
                <w:p w14:paraId="6267ADEA">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合计</w:t>
                  </w:r>
                </w:p>
              </w:tc>
              <w:tc>
                <w:tcPr>
                  <w:tcW w:w="1108" w:type="dxa"/>
                  <w:tcBorders>
                    <w:tl2br w:val="nil"/>
                    <w:tr2bl w:val="nil"/>
                  </w:tcBorders>
                  <w:vAlign w:val="center"/>
                </w:tcPr>
                <w:p w14:paraId="6AC5C8F9">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21.334</w:t>
                  </w:r>
                </w:p>
              </w:tc>
              <w:tc>
                <w:tcPr>
                  <w:tcW w:w="1267" w:type="dxa"/>
                  <w:tcBorders>
                    <w:tl2br w:val="nil"/>
                    <w:tr2bl w:val="nil"/>
                  </w:tcBorders>
                  <w:vAlign w:val="center"/>
                </w:tcPr>
                <w:p w14:paraId="5E6CDE40">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21.334</w:t>
                  </w:r>
                </w:p>
              </w:tc>
              <w:tc>
                <w:tcPr>
                  <w:tcW w:w="1091" w:type="dxa"/>
                  <w:tcBorders>
                    <w:tl2br w:val="nil"/>
                    <w:tr2bl w:val="nil"/>
                  </w:tcBorders>
                  <w:vAlign w:val="center"/>
                </w:tcPr>
                <w:p w14:paraId="3017E66D">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11.734</w:t>
                  </w:r>
                </w:p>
              </w:tc>
              <w:tc>
                <w:tcPr>
                  <w:tcW w:w="1009" w:type="dxa"/>
                  <w:tcBorders>
                    <w:tl2br w:val="nil"/>
                    <w:tr2bl w:val="nil"/>
                  </w:tcBorders>
                  <w:vAlign w:val="center"/>
                </w:tcPr>
                <w:p w14:paraId="290F5DCC">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9.6</w:t>
                  </w:r>
                </w:p>
              </w:tc>
              <w:tc>
                <w:tcPr>
                  <w:tcW w:w="2587" w:type="dxa"/>
                  <w:tcBorders>
                    <w:tl2br w:val="nil"/>
                    <w:tr2bl w:val="nil"/>
                  </w:tcBorders>
                  <w:vAlign w:val="center"/>
                </w:tcPr>
                <w:p w14:paraId="2D2A14A4">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w:t>
                  </w:r>
                </w:p>
              </w:tc>
            </w:tr>
          </w:tbl>
          <w:p w14:paraId="252629AA">
            <w:pPr>
              <w:keepNext w:val="0"/>
              <w:keepLines w:val="0"/>
              <w:pageBreakBefore w:val="0"/>
              <w:widowControl w:val="0"/>
              <w:tabs>
                <w:tab w:val="left" w:pos="3061"/>
                <w:tab w:val="left" w:pos="7180"/>
              </w:tabs>
              <w:kinsoku/>
              <w:wordWrap/>
              <w:overflowPunct/>
              <w:topLinePunct w:val="0"/>
              <w:autoSpaceDE/>
              <w:autoSpaceDN/>
              <w:bidi w:val="0"/>
              <w:adjustRightInd/>
              <w:snapToGrid/>
              <w:spacing w:line="240" w:lineRule="auto"/>
              <w:ind w:left="0" w:firstLine="0" w:firstLineChars="0"/>
              <w:jc w:val="center"/>
              <w:textAlignment w:val="auto"/>
              <w:rPr>
                <w:b/>
                <w:bCs/>
                <w:color w:val="auto"/>
                <w:sz w:val="21"/>
                <w:szCs w:val="21"/>
                <w:highlight w:val="none"/>
              </w:rPr>
            </w:pPr>
            <w:r>
              <w:rPr>
                <w:color w:val="auto"/>
              </w:rPr>
              <w:drawing>
                <wp:inline distT="0" distB="0" distL="114300" distR="114300">
                  <wp:extent cx="3763645" cy="1727835"/>
                  <wp:effectExtent l="0" t="0" r="8255"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3763645" cy="1727835"/>
                          </a:xfrm>
                          <a:prstGeom prst="rect">
                            <a:avLst/>
                          </a:prstGeom>
                          <a:noFill/>
                          <a:ln>
                            <a:noFill/>
                          </a:ln>
                        </pic:spPr>
                      </pic:pic>
                    </a:graphicData>
                  </a:graphic>
                </wp:inline>
              </w:drawing>
            </w:r>
          </w:p>
          <w:p w14:paraId="4BF37979">
            <w:pPr>
              <w:keepNext w:val="0"/>
              <w:keepLines w:val="0"/>
              <w:pageBreakBefore w:val="0"/>
              <w:widowControl w:val="0"/>
              <w:tabs>
                <w:tab w:val="left" w:pos="3061"/>
                <w:tab w:val="left" w:pos="7180"/>
              </w:tabs>
              <w:kinsoku/>
              <w:wordWrap/>
              <w:overflowPunct/>
              <w:topLinePunct w:val="0"/>
              <w:autoSpaceDE/>
              <w:autoSpaceDN/>
              <w:bidi w:val="0"/>
              <w:adjustRightInd/>
              <w:snapToGrid/>
              <w:ind w:left="0" w:firstLine="0" w:firstLineChars="0"/>
              <w:jc w:val="center"/>
              <w:textAlignment w:val="auto"/>
              <w:rPr>
                <w:b/>
                <w:bCs/>
                <w:color w:val="auto"/>
                <w:sz w:val="21"/>
                <w:szCs w:val="21"/>
                <w:highlight w:val="none"/>
              </w:rPr>
            </w:pPr>
            <w:r>
              <w:rPr>
                <w:rFonts w:hint="eastAsia"/>
                <w:b/>
                <w:bCs/>
                <w:color w:val="auto"/>
                <w:sz w:val="21"/>
                <w:szCs w:val="21"/>
                <w:highlight w:val="none"/>
                <w:lang w:val="en-US" w:eastAsia="zh-CN"/>
              </w:rPr>
              <w:t xml:space="preserve">图1  现有工程水量平衡图  </w:t>
            </w:r>
            <w:r>
              <w:rPr>
                <w:b/>
                <w:bCs/>
                <w:color w:val="auto"/>
                <w:sz w:val="21"/>
                <w:szCs w:val="21"/>
                <w:highlight w:val="none"/>
              </w:rPr>
              <w:t>单位：m</w:t>
            </w:r>
            <w:r>
              <w:rPr>
                <w:b/>
                <w:bCs/>
                <w:color w:val="auto"/>
                <w:sz w:val="21"/>
                <w:szCs w:val="21"/>
                <w:highlight w:val="none"/>
                <w:vertAlign w:val="superscript"/>
              </w:rPr>
              <w:t>3</w:t>
            </w:r>
            <w:r>
              <w:rPr>
                <w:b/>
                <w:bCs/>
                <w:color w:val="auto"/>
                <w:sz w:val="21"/>
                <w:szCs w:val="21"/>
                <w:highlight w:val="none"/>
              </w:rPr>
              <w:t>/d</w:t>
            </w:r>
          </w:p>
          <w:p w14:paraId="23696D44">
            <w:pPr>
              <w:bidi w:val="0"/>
              <w:rPr>
                <w:rFonts w:hint="default"/>
                <w:color w:val="auto"/>
                <w:sz w:val="24"/>
                <w:szCs w:val="24"/>
                <w:highlight w:val="none"/>
                <w:lang w:val="en-US"/>
              </w:rPr>
            </w:pPr>
            <w:r>
              <w:rPr>
                <w:rFonts w:hint="default"/>
                <w:color w:val="auto"/>
                <w:sz w:val="24"/>
                <w:szCs w:val="24"/>
                <w:highlight w:val="none"/>
              </w:rPr>
              <w:t>取暖：</w:t>
            </w:r>
            <w:r>
              <w:rPr>
                <w:rFonts w:hint="eastAsia"/>
                <w:color w:val="auto"/>
                <w:highlight w:val="none"/>
                <w:lang w:val="en-US" w:eastAsia="zh-CN"/>
              </w:rPr>
              <w:t>现有工程生产区域不设取暖设施，办公取暖采用单体空调，以电为能源。</w:t>
            </w:r>
          </w:p>
          <w:p w14:paraId="0434AB81">
            <w:pPr>
              <w:bidi w:val="0"/>
              <w:rPr>
                <w:rFonts w:hint="default"/>
                <w:color w:val="auto"/>
                <w:sz w:val="24"/>
                <w:szCs w:val="24"/>
                <w:highlight w:val="none"/>
                <w:lang w:val="en-US" w:eastAsia="zh-CN"/>
              </w:rPr>
            </w:pPr>
            <w:r>
              <w:rPr>
                <w:rFonts w:hint="eastAsia"/>
                <w:color w:val="auto"/>
                <w:sz w:val="24"/>
                <w:szCs w:val="24"/>
                <w:highlight w:val="none"/>
                <w:lang w:val="en-US" w:eastAsia="zh-CN"/>
              </w:rPr>
              <w:t>9、生产工艺流程</w:t>
            </w:r>
          </w:p>
          <w:p w14:paraId="65A5B2AB">
            <w:pPr>
              <w:spacing w:line="480" w:lineRule="exact"/>
              <w:ind w:firstLine="480" w:firstLineChars="200"/>
              <w:rPr>
                <w:rFonts w:ascii="Times New Roman" w:hAnsi="Times New Roman" w:eastAsia="宋体"/>
                <w:color w:val="auto"/>
                <w:sz w:val="24"/>
                <w:szCs w:val="30"/>
                <w:highlight w:val="none"/>
              </w:rPr>
            </w:pPr>
            <w:r>
              <w:rPr>
                <w:rFonts w:hint="eastAsia"/>
                <w:color w:val="auto"/>
                <w:highlight w:val="none"/>
                <w:lang w:val="en-US" w:eastAsia="zh-CN"/>
              </w:rPr>
              <w:t>现有工程主要为机器人零件组装</w:t>
            </w:r>
            <w:r>
              <w:rPr>
                <w:rFonts w:ascii="Times New Roman" w:hAnsi="Times New Roman" w:eastAsia="宋体"/>
                <w:color w:val="auto"/>
                <w:sz w:val="24"/>
                <w:szCs w:val="30"/>
                <w:highlight w:val="none"/>
              </w:rPr>
              <w:t>，生产工艺流程如下：</w:t>
            </w:r>
          </w:p>
          <w:p w14:paraId="5BEEF48E">
            <w:pPr>
              <w:numPr>
                <w:ilvl w:val="0"/>
                <w:numId w:val="12"/>
              </w:numPr>
              <w:spacing w:line="480" w:lineRule="exact"/>
              <w:ind w:firstLine="480" w:firstLineChars="200"/>
              <w:rPr>
                <w:rFonts w:hint="eastAsia" w:cstheme="minorEastAsia"/>
                <w:color w:val="auto"/>
                <w:sz w:val="24"/>
                <w:highlight w:val="none"/>
                <w:lang w:val="en-US" w:eastAsia="zh-CN"/>
              </w:rPr>
            </w:pPr>
            <w:r>
              <w:rPr>
                <w:rFonts w:hint="eastAsia" w:cstheme="minorEastAsia"/>
                <w:color w:val="auto"/>
                <w:sz w:val="24"/>
                <w:highlight w:val="none"/>
                <w:lang w:val="en-US" w:eastAsia="zh-CN"/>
              </w:rPr>
              <w:t>机器人零件由汽车运送至生产车间，暂存于零件存放处的货架上，组装时由工人使用推车将检验合格的机器人零件运送至生产线，进行人工组装（组装过程中使用支架固定零件，根据需要使用固定式升降平台调整机器人高度）；不合格零件原厂返回。</w:t>
            </w:r>
          </w:p>
          <w:p w14:paraId="093258E9">
            <w:pPr>
              <w:bidi w:val="0"/>
              <w:rPr>
                <w:rFonts w:hint="eastAsia"/>
                <w:b/>
                <w:bCs/>
                <w:color w:val="auto"/>
                <w:lang w:val="en-US" w:eastAsia="zh-CN"/>
              </w:rPr>
            </w:pPr>
            <w:r>
              <w:rPr>
                <w:rFonts w:hint="eastAsia"/>
                <w:b/>
                <w:bCs/>
                <w:color w:val="auto"/>
                <w:lang w:val="en-US" w:eastAsia="zh-CN"/>
              </w:rPr>
              <w:t>本工序产污节点主要为：货物运输、理货过程产生的噪声；组装过程产生的包装物，检测过程中产生的不合格零件。</w:t>
            </w:r>
          </w:p>
          <w:p w14:paraId="32C6F1A9">
            <w:pPr>
              <w:numPr>
                <w:ilvl w:val="0"/>
                <w:numId w:val="12"/>
              </w:numPr>
              <w:bidi w:val="0"/>
              <w:ind w:left="0" w:leftChars="0" w:firstLine="480" w:firstLineChars="200"/>
              <w:rPr>
                <w:rFonts w:hint="eastAsia"/>
                <w:color w:val="auto"/>
                <w:lang w:val="en-US" w:eastAsia="zh-CN"/>
              </w:rPr>
            </w:pPr>
            <w:r>
              <w:rPr>
                <w:rFonts w:hint="eastAsia"/>
                <w:color w:val="auto"/>
                <w:lang w:val="en-US" w:eastAsia="zh-CN"/>
              </w:rPr>
              <w:t>人工使用电动手枪钻等设备进行零件组装，组装完成后使用电葫芦将机器人放置于生产线末端进行整机调试与性能测试，成功通过企业自主研发制作的防爆消防灭火侦查机器人性能测试平台等平台的测试后，机器人由打号机打印编号并通过平板车运送至成品区入库待售；不合格机器人返回生产线重新组装或换件。</w:t>
            </w:r>
          </w:p>
          <w:p w14:paraId="0D1533BA">
            <w:pPr>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default"/>
                <w:color w:val="auto"/>
                <w:lang w:val="en-US" w:eastAsia="zh-CN"/>
              </w:rPr>
            </w:pPr>
            <w:r>
              <w:rPr>
                <w:rFonts w:hint="eastAsia"/>
                <w:b/>
                <w:bCs/>
                <w:color w:val="auto"/>
                <w:lang w:val="en-US" w:eastAsia="zh-CN"/>
              </w:rPr>
              <w:t>本工序产污节点主要为：组装过程产生的噪声；检测过程中产生的不合格零件。</w:t>
            </w:r>
          </w:p>
          <w:p w14:paraId="65BC6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4"/>
                <w:szCs w:val="30"/>
                <w:highlight w:val="none"/>
              </w:rPr>
            </w:pPr>
            <w:r>
              <w:rPr>
                <w:color w:val="auto"/>
              </w:rPr>
              <w:drawing>
                <wp:inline distT="0" distB="0" distL="114300" distR="114300">
                  <wp:extent cx="3432810" cy="1259840"/>
                  <wp:effectExtent l="0" t="0" r="15240" b="1651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3"/>
                          <a:stretch>
                            <a:fillRect/>
                          </a:stretch>
                        </pic:blipFill>
                        <pic:spPr>
                          <a:xfrm>
                            <a:off x="0" y="0"/>
                            <a:ext cx="3432810" cy="1259840"/>
                          </a:xfrm>
                          <a:prstGeom prst="rect">
                            <a:avLst/>
                          </a:prstGeom>
                          <a:noFill/>
                          <a:ln>
                            <a:noFill/>
                          </a:ln>
                        </pic:spPr>
                      </pic:pic>
                    </a:graphicData>
                  </a:graphic>
                </wp:inline>
              </w:drawing>
            </w:r>
          </w:p>
          <w:p w14:paraId="770C08C9">
            <w:pPr>
              <w:pStyle w:val="13"/>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jc w:val="center"/>
              <w:textAlignment w:val="auto"/>
              <w:rPr>
                <w:rFonts w:hint="default"/>
                <w:color w:val="auto"/>
                <w:highlight w:val="none"/>
                <w:lang w:val="en-US" w:eastAsia="zh-CN"/>
              </w:rPr>
            </w:pPr>
            <w:r>
              <w:rPr>
                <w:rFonts w:hint="eastAsia" w:ascii="Times New Roman" w:hAnsi="Times New Roman" w:cs="Times New Roman"/>
                <w:b/>
                <w:bCs/>
                <w:color w:val="auto"/>
                <w:sz w:val="21"/>
                <w:szCs w:val="21"/>
                <w:highlight w:val="none"/>
                <w:lang w:val="en-US" w:eastAsia="zh-CN"/>
              </w:rPr>
              <w:t>图</w:t>
            </w:r>
            <w:r>
              <w:rPr>
                <w:rFonts w:hint="eastAsia" w:cs="Times New Roman"/>
                <w:b/>
                <w:bCs/>
                <w:color w:val="auto"/>
                <w:sz w:val="21"/>
                <w:szCs w:val="21"/>
                <w:highlight w:val="none"/>
                <w:lang w:val="en-US" w:eastAsia="zh-CN"/>
              </w:rPr>
              <w:t xml:space="preserve">2 </w:t>
            </w:r>
            <w:r>
              <w:rPr>
                <w:rFonts w:hint="eastAsia" w:ascii="Times New Roman" w:hAnsi="Times New Roman"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现有工程</w:t>
            </w:r>
            <w:r>
              <w:rPr>
                <w:rFonts w:hint="eastAsia" w:ascii="Times New Roman" w:hAnsi="Times New Roman" w:cs="Times New Roman"/>
                <w:b/>
                <w:bCs/>
                <w:color w:val="auto"/>
                <w:sz w:val="21"/>
                <w:szCs w:val="21"/>
                <w:highlight w:val="none"/>
                <w:lang w:val="en-US" w:eastAsia="zh-CN"/>
              </w:rPr>
              <w:t>生产</w:t>
            </w:r>
            <w:r>
              <w:rPr>
                <w:rFonts w:hint="default" w:ascii="Times New Roman" w:hAnsi="Times New Roman" w:cs="Times New Roman"/>
                <w:b/>
                <w:bCs/>
                <w:color w:val="auto"/>
                <w:sz w:val="21"/>
                <w:szCs w:val="21"/>
                <w:highlight w:val="none"/>
                <w:lang w:val="en-US" w:eastAsia="zh-CN"/>
              </w:rPr>
              <w:t>工艺流程及排污节点图</w:t>
            </w:r>
          </w:p>
          <w:p w14:paraId="044C3014">
            <w:pPr>
              <w:bidi w:val="0"/>
              <w:rPr>
                <w:rFonts w:hint="default"/>
                <w:color w:val="auto"/>
                <w:sz w:val="24"/>
                <w:szCs w:val="24"/>
                <w:highlight w:val="none"/>
              </w:rPr>
            </w:pPr>
            <w:r>
              <w:rPr>
                <w:rFonts w:hint="eastAsia"/>
                <w:color w:val="auto"/>
                <w:sz w:val="24"/>
                <w:szCs w:val="24"/>
                <w:highlight w:val="none"/>
                <w:lang w:val="en-US" w:eastAsia="zh-CN"/>
              </w:rPr>
              <w:t>11、</w:t>
            </w:r>
            <w:r>
              <w:rPr>
                <w:rFonts w:hint="default"/>
                <w:color w:val="auto"/>
                <w:sz w:val="24"/>
                <w:szCs w:val="24"/>
                <w:highlight w:val="none"/>
              </w:rPr>
              <w:t>项目的地理位置、平面布置与周边关系</w:t>
            </w:r>
          </w:p>
          <w:p w14:paraId="7F885047">
            <w:pPr>
              <w:bidi w:val="0"/>
              <w:rPr>
                <w:rFonts w:hint="default"/>
                <w:color w:val="auto"/>
                <w:sz w:val="24"/>
                <w:szCs w:val="24"/>
                <w:highlight w:val="none"/>
              </w:rPr>
            </w:pPr>
            <w:r>
              <w:rPr>
                <w:rFonts w:hint="default"/>
                <w:color w:val="auto"/>
                <w:sz w:val="24"/>
                <w:szCs w:val="24"/>
                <w:highlight w:val="none"/>
              </w:rPr>
              <w:t>地理位置：</w:t>
            </w:r>
            <w:r>
              <w:rPr>
                <w:rFonts w:hint="eastAsia"/>
                <w:color w:val="auto"/>
                <w:sz w:val="24"/>
                <w:szCs w:val="24"/>
                <w:highlight w:val="none"/>
                <w:lang w:val="en-US" w:eastAsia="zh-CN"/>
              </w:rPr>
              <w:t>中信重工开诚智能装备有限公司位于河北省唐山市高新技术产业开发区学院北路1686号</w:t>
            </w:r>
            <w:r>
              <w:rPr>
                <w:rFonts w:hint="default"/>
                <w:color w:val="auto"/>
                <w:sz w:val="24"/>
                <w:szCs w:val="24"/>
                <w:highlight w:val="none"/>
              </w:rPr>
              <w:t>（用地中心坐标为</w:t>
            </w:r>
            <w:r>
              <w:rPr>
                <w:rFonts w:hint="default" w:ascii="Times New Roman" w:hAnsi="Times New Roman" w:cs="Times New Roman"/>
                <w:color w:val="auto"/>
                <w:sz w:val="24"/>
                <w:szCs w:val="24"/>
                <w:highlight w:val="none"/>
                <w:lang w:val="en-US" w:eastAsia="zh-CN"/>
              </w:rPr>
              <w:t>东经：118°08'</w:t>
            </w:r>
            <w:r>
              <w:rPr>
                <w:rFonts w:hint="eastAsia" w:cs="Times New Roman"/>
                <w:color w:val="auto"/>
                <w:sz w:val="24"/>
                <w:szCs w:val="24"/>
                <w:highlight w:val="none"/>
                <w:lang w:val="en-US" w:eastAsia="zh-CN"/>
              </w:rPr>
              <w:t>58.021</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北纬：</w:t>
            </w:r>
            <w:r>
              <w:rPr>
                <w:rFonts w:hint="default" w:ascii="Times New Roman" w:hAnsi="Times New Roman" w:cs="Times New Roman"/>
                <w:color w:val="auto"/>
                <w:sz w:val="24"/>
                <w:szCs w:val="24"/>
                <w:highlight w:val="none"/>
                <w:lang w:eastAsia="zh-CN"/>
              </w:rPr>
              <w:t>39°4</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6.572</w:t>
            </w:r>
            <w:r>
              <w:rPr>
                <w:rFonts w:hint="default" w:ascii="Times New Roman" w:hAnsi="Times New Roman" w:cs="Times New Roman"/>
                <w:color w:val="auto"/>
                <w:sz w:val="24"/>
                <w:szCs w:val="24"/>
                <w:highlight w:val="none"/>
                <w:lang w:eastAsia="zh-CN"/>
              </w:rPr>
              <w:t>"</w:t>
            </w:r>
            <w:r>
              <w:rPr>
                <w:rFonts w:hint="default"/>
                <w:color w:val="auto"/>
                <w:sz w:val="24"/>
                <w:szCs w:val="24"/>
                <w:highlight w:val="none"/>
              </w:rPr>
              <w:t>），地理位置图详见附图1。</w:t>
            </w:r>
          </w:p>
          <w:p w14:paraId="467B1BB1">
            <w:pPr>
              <w:bidi w:val="0"/>
              <w:rPr>
                <w:rFonts w:hint="default" w:eastAsia="宋体"/>
                <w:color w:val="auto"/>
                <w:sz w:val="24"/>
                <w:szCs w:val="24"/>
                <w:highlight w:val="none"/>
                <w:shd w:val="clear" w:color="auto" w:fill="auto"/>
                <w:lang w:val="en-US" w:eastAsia="zh-CN"/>
              </w:rPr>
            </w:pPr>
            <w:r>
              <w:rPr>
                <w:rFonts w:hint="default"/>
                <w:color w:val="auto"/>
                <w:sz w:val="24"/>
                <w:szCs w:val="24"/>
                <w:highlight w:val="none"/>
                <w:shd w:val="clear" w:color="auto" w:fill="auto"/>
              </w:rPr>
              <w:t>平面布置：</w:t>
            </w:r>
            <w:r>
              <w:rPr>
                <w:rFonts w:hint="eastAsia"/>
                <w:color w:val="auto"/>
                <w:sz w:val="24"/>
                <w:szCs w:val="24"/>
                <w:highlight w:val="none"/>
                <w:shd w:val="clear" w:color="auto" w:fill="auto"/>
                <w:lang w:val="en-US" w:eastAsia="zh-CN"/>
              </w:rPr>
              <w:t>厂区东侧为智能机器人组装生产车间，西侧为空地</w:t>
            </w:r>
            <w:r>
              <w:rPr>
                <w:rFonts w:hint="eastAsia"/>
                <w:color w:val="auto"/>
                <w:kern w:val="0"/>
                <w:sz w:val="24"/>
                <w:highlight w:val="none"/>
                <w:shd w:val="clear" w:color="auto" w:fill="FFFFFF"/>
                <w:lang w:eastAsia="zh-CN" w:bidi="ar"/>
              </w:rPr>
              <w:t>。</w:t>
            </w:r>
            <w:r>
              <w:rPr>
                <w:rFonts w:hint="eastAsia"/>
                <w:color w:val="auto"/>
                <w:kern w:val="0"/>
                <w:sz w:val="24"/>
                <w:highlight w:val="none"/>
                <w:shd w:val="clear" w:color="auto" w:fill="FFFFFF"/>
                <w:lang w:val="en-US" w:eastAsia="zh-CN" w:bidi="ar"/>
              </w:rPr>
              <w:t>厂区设置三个出入口，分别位于厂区东侧、南侧、北侧，东侧出入口设置1座门卫室。</w:t>
            </w:r>
          </w:p>
          <w:p w14:paraId="0B16981D">
            <w:pPr>
              <w:bidi w:val="0"/>
              <w:rPr>
                <w:rFonts w:hint="default"/>
                <w:color w:val="auto"/>
                <w:sz w:val="24"/>
                <w:szCs w:val="24"/>
                <w:highlight w:val="none"/>
              </w:rPr>
            </w:pPr>
            <w:r>
              <w:rPr>
                <w:rFonts w:hint="default"/>
                <w:color w:val="auto"/>
                <w:sz w:val="24"/>
                <w:szCs w:val="24"/>
                <w:highlight w:val="none"/>
              </w:rPr>
              <w:t>周边关系：</w:t>
            </w:r>
            <w:r>
              <w:rPr>
                <w:rFonts w:hint="eastAsia"/>
                <w:color w:val="auto"/>
                <w:sz w:val="24"/>
                <w:szCs w:val="24"/>
                <w:highlight w:val="none"/>
                <w:lang w:val="en-US" w:eastAsia="zh-CN"/>
              </w:rPr>
              <w:t>中信重工开诚智能装备有限公司厂区东侧为学院北路，南侧为荣华道，西侧为空地，北侧为科维街</w:t>
            </w:r>
            <w:r>
              <w:rPr>
                <w:rFonts w:hint="default"/>
                <w:color w:val="auto"/>
                <w:sz w:val="24"/>
                <w:szCs w:val="24"/>
                <w:highlight w:val="none"/>
              </w:rPr>
              <w:t>。</w:t>
            </w:r>
          </w:p>
          <w:p w14:paraId="783AEA84">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三、本项目工程概况</w:t>
            </w:r>
          </w:p>
          <w:p w14:paraId="3C21DCE7">
            <w:pPr>
              <w:bidi w:val="0"/>
              <w:rPr>
                <w:rFonts w:hint="default"/>
                <w:color w:val="auto"/>
                <w:highlight w:val="none"/>
              </w:rPr>
            </w:pPr>
            <w:r>
              <w:rPr>
                <w:rFonts w:hint="eastAsia"/>
                <w:color w:val="auto"/>
                <w:sz w:val="24"/>
                <w:szCs w:val="24"/>
                <w:highlight w:val="none"/>
                <w:lang w:val="en-US" w:eastAsia="zh-CN"/>
              </w:rPr>
              <w:t>1、</w:t>
            </w:r>
            <w:r>
              <w:rPr>
                <w:rFonts w:hint="default"/>
                <w:color w:val="auto"/>
                <w:highlight w:val="none"/>
              </w:rPr>
              <w:t>项目名称：</w:t>
            </w:r>
            <w:r>
              <w:rPr>
                <w:rFonts w:hint="eastAsia"/>
                <w:color w:val="auto"/>
                <w:sz w:val="24"/>
                <w:szCs w:val="24"/>
                <w:highlight w:val="none"/>
                <w:lang w:val="en-US" w:eastAsia="zh-CN"/>
              </w:rPr>
              <w:t>特种机器人研发及产业化基地项目（二期）项目</w:t>
            </w:r>
            <w:r>
              <w:rPr>
                <w:rFonts w:hint="default"/>
                <w:color w:val="auto"/>
                <w:highlight w:val="none"/>
              </w:rPr>
              <w:t>。</w:t>
            </w:r>
          </w:p>
          <w:p w14:paraId="37A46984">
            <w:pPr>
              <w:bidi w:val="0"/>
              <w:rPr>
                <w:rFonts w:hint="default"/>
                <w:color w:val="auto"/>
                <w:highlight w:val="none"/>
              </w:rPr>
            </w:pPr>
            <w:r>
              <w:rPr>
                <w:rFonts w:hint="eastAsia"/>
                <w:color w:val="auto"/>
                <w:highlight w:val="none"/>
                <w:lang w:val="en-US" w:eastAsia="zh-CN"/>
              </w:rPr>
              <w:t>2、</w:t>
            </w:r>
            <w:r>
              <w:rPr>
                <w:rFonts w:hint="default"/>
                <w:color w:val="auto"/>
                <w:highlight w:val="none"/>
              </w:rPr>
              <w:t>建设单位：</w:t>
            </w:r>
            <w:r>
              <w:rPr>
                <w:rFonts w:hint="eastAsia"/>
                <w:color w:val="auto"/>
                <w:sz w:val="24"/>
                <w:szCs w:val="24"/>
                <w:highlight w:val="none"/>
                <w:lang w:val="en-US" w:eastAsia="zh-CN"/>
              </w:rPr>
              <w:t>中信重工开诚智能装备有限公司</w:t>
            </w:r>
            <w:r>
              <w:rPr>
                <w:rFonts w:hint="default"/>
                <w:color w:val="auto"/>
                <w:highlight w:val="none"/>
              </w:rPr>
              <w:t>。</w:t>
            </w:r>
          </w:p>
          <w:p w14:paraId="62FED1E9">
            <w:pPr>
              <w:bidi w:val="0"/>
              <w:rPr>
                <w:rFonts w:hint="default"/>
                <w:color w:val="auto"/>
                <w:highlight w:val="none"/>
              </w:rPr>
            </w:pPr>
            <w:r>
              <w:rPr>
                <w:rFonts w:hint="eastAsia"/>
                <w:color w:val="auto"/>
                <w:highlight w:val="none"/>
                <w:lang w:val="en-US" w:eastAsia="zh-CN"/>
              </w:rPr>
              <w:t>3、</w:t>
            </w:r>
            <w:r>
              <w:rPr>
                <w:rFonts w:hint="default"/>
                <w:color w:val="auto"/>
                <w:highlight w:val="none"/>
              </w:rPr>
              <w:t>建设性质：</w:t>
            </w:r>
            <w:r>
              <w:rPr>
                <w:rFonts w:hint="eastAsia"/>
                <w:color w:val="auto"/>
                <w:highlight w:val="none"/>
                <w:lang w:val="en-US" w:eastAsia="zh-CN"/>
              </w:rPr>
              <w:t>扩建</w:t>
            </w:r>
            <w:r>
              <w:rPr>
                <w:rFonts w:hint="default"/>
                <w:color w:val="auto"/>
                <w:highlight w:val="none"/>
              </w:rPr>
              <w:t>。</w:t>
            </w:r>
          </w:p>
          <w:p w14:paraId="4F388DC9">
            <w:pPr>
              <w:bidi w:val="0"/>
              <w:rPr>
                <w:rFonts w:hint="eastAsia" w:eastAsia="宋体"/>
                <w:color w:val="auto"/>
                <w:highlight w:val="none"/>
                <w:lang w:val="en-US" w:eastAsia="zh-CN"/>
              </w:rPr>
            </w:pPr>
            <w:r>
              <w:rPr>
                <w:rFonts w:hint="eastAsia"/>
                <w:color w:val="auto"/>
                <w:highlight w:val="none"/>
                <w:lang w:val="en-US" w:eastAsia="zh-CN"/>
              </w:rPr>
              <w:t>4、</w:t>
            </w:r>
            <w:r>
              <w:rPr>
                <w:rFonts w:hint="default"/>
                <w:color w:val="auto"/>
                <w:highlight w:val="none"/>
              </w:rPr>
              <w:t>建设地点：</w:t>
            </w:r>
            <w:r>
              <w:rPr>
                <w:rFonts w:hint="eastAsia"/>
                <w:color w:val="auto"/>
                <w:sz w:val="24"/>
                <w:szCs w:val="24"/>
                <w:highlight w:val="none"/>
                <w:lang w:val="en-US" w:eastAsia="zh-CN"/>
              </w:rPr>
              <w:t>河北省唐山市高新技术产业开发区学院北路1686号，中信重工开诚智能装备有限公司院内</w:t>
            </w:r>
            <w:r>
              <w:rPr>
                <w:rFonts w:hint="default"/>
                <w:color w:val="auto"/>
                <w:highlight w:val="none"/>
              </w:rPr>
              <w:t>。</w:t>
            </w:r>
          </w:p>
          <w:p w14:paraId="583AEA4E">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5、</w:t>
            </w:r>
            <w:r>
              <w:rPr>
                <w:rFonts w:hint="default"/>
                <w:color w:val="auto"/>
                <w:sz w:val="24"/>
                <w:szCs w:val="24"/>
                <w:highlight w:val="none"/>
              </w:rPr>
              <w:t>项目组成：</w:t>
            </w:r>
            <w:r>
              <w:rPr>
                <w:rFonts w:hint="eastAsia"/>
                <w:color w:val="auto"/>
                <w:sz w:val="24"/>
                <w:szCs w:val="24"/>
                <w:highlight w:val="none"/>
                <w:lang w:val="en-US" w:eastAsia="zh-CN"/>
              </w:rPr>
              <w:t>本项目主要新建2栋生产厂房，1栋综合楼，在1#厂房内建设2座喷漆房、1座打磨房、1座烘干房，用于对外购的壳体进行除锈、除油、喷漆表面处理，喷漆后的壳体用于机器人生产，在2#厂房内购置安装高压试验设备，用于对产品进行高压试验。本项目主要建构筑物情况见表12，主要建设内容见表13，本项目建成后全厂建筑物情况见表14。</w:t>
            </w:r>
          </w:p>
          <w:p w14:paraId="41376511">
            <w:pPr>
              <w:pStyle w:val="33"/>
              <w:bidi w:val="0"/>
              <w:rPr>
                <w:rFonts w:hint="default"/>
                <w:color w:val="auto"/>
                <w:sz w:val="21"/>
                <w:szCs w:val="21"/>
                <w:highlight w:val="none"/>
              </w:rPr>
            </w:pPr>
          </w:p>
          <w:p w14:paraId="2B086F65">
            <w:pPr>
              <w:pStyle w:val="33"/>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12  本项目</w:t>
            </w:r>
            <w:r>
              <w:rPr>
                <w:rFonts w:hint="default"/>
                <w:color w:val="auto"/>
                <w:sz w:val="21"/>
                <w:szCs w:val="21"/>
                <w:highlight w:val="none"/>
              </w:rPr>
              <w:t>主要建构筑物一览表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007"/>
              <w:gridCol w:w="1583"/>
              <w:gridCol w:w="1700"/>
              <w:gridCol w:w="3255"/>
            </w:tblGrid>
            <w:tr w14:paraId="6198B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732" w:type="dxa"/>
                  <w:tcBorders>
                    <w:tl2br w:val="nil"/>
                    <w:tr2bl w:val="nil"/>
                  </w:tcBorders>
                  <w:noWrap w:val="0"/>
                  <w:vAlign w:val="center"/>
                </w:tcPr>
                <w:p w14:paraId="0B07532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序号</w:t>
                  </w:r>
                </w:p>
              </w:tc>
              <w:tc>
                <w:tcPr>
                  <w:tcW w:w="1007" w:type="dxa"/>
                  <w:tcBorders>
                    <w:tl2br w:val="nil"/>
                    <w:tr2bl w:val="nil"/>
                  </w:tcBorders>
                  <w:noWrap w:val="0"/>
                  <w:vAlign w:val="center"/>
                </w:tcPr>
                <w:p w14:paraId="62B8582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名称</w:t>
                  </w:r>
                </w:p>
              </w:tc>
              <w:tc>
                <w:tcPr>
                  <w:tcW w:w="1583" w:type="dxa"/>
                  <w:tcBorders>
                    <w:tl2br w:val="nil"/>
                    <w:tr2bl w:val="nil"/>
                  </w:tcBorders>
                  <w:noWrap w:val="0"/>
                  <w:vAlign w:val="center"/>
                </w:tcPr>
                <w:p w14:paraId="45A2BF3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eastAsia"/>
                      <w:color w:val="auto"/>
                      <w:sz w:val="21"/>
                      <w:szCs w:val="21"/>
                      <w:highlight w:val="none"/>
                      <w:lang w:val="en-US" w:eastAsia="zh-CN"/>
                    </w:rPr>
                    <w:t>占地</w:t>
                  </w:r>
                  <w:r>
                    <w:rPr>
                      <w:rFonts w:hint="default"/>
                      <w:color w:val="auto"/>
                      <w:sz w:val="21"/>
                      <w:szCs w:val="21"/>
                      <w:highlight w:val="none"/>
                    </w:rPr>
                    <w:t>面积（m</w:t>
                  </w:r>
                  <w:r>
                    <w:rPr>
                      <w:rFonts w:hint="default"/>
                      <w:color w:val="auto"/>
                      <w:sz w:val="21"/>
                      <w:szCs w:val="21"/>
                      <w:highlight w:val="none"/>
                      <w:vertAlign w:val="superscript"/>
                    </w:rPr>
                    <w:t>2</w:t>
                  </w:r>
                  <w:r>
                    <w:rPr>
                      <w:rFonts w:hint="default"/>
                      <w:color w:val="auto"/>
                      <w:sz w:val="21"/>
                      <w:szCs w:val="21"/>
                      <w:highlight w:val="none"/>
                    </w:rPr>
                    <w:t>）</w:t>
                  </w:r>
                </w:p>
              </w:tc>
              <w:tc>
                <w:tcPr>
                  <w:tcW w:w="1700" w:type="dxa"/>
                  <w:tcBorders>
                    <w:tl2br w:val="nil"/>
                    <w:tr2bl w:val="nil"/>
                  </w:tcBorders>
                  <w:noWrap w:val="0"/>
                  <w:vAlign w:val="center"/>
                </w:tcPr>
                <w:p w14:paraId="400DB64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建筑面积（</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lang w:val="en-US" w:eastAsia="zh-CN"/>
                    </w:rPr>
                    <w:t>）</w:t>
                  </w:r>
                </w:p>
              </w:tc>
              <w:tc>
                <w:tcPr>
                  <w:tcW w:w="3255" w:type="dxa"/>
                  <w:tcBorders>
                    <w:tl2br w:val="nil"/>
                    <w:tr2bl w:val="nil"/>
                  </w:tcBorders>
                  <w:noWrap w:val="0"/>
                  <w:vAlign w:val="center"/>
                </w:tcPr>
                <w:p w14:paraId="7DAD92C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备注</w:t>
                  </w:r>
                </w:p>
              </w:tc>
            </w:tr>
            <w:tr w14:paraId="010E1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732" w:type="dxa"/>
                  <w:tcBorders>
                    <w:tl2br w:val="nil"/>
                    <w:tr2bl w:val="nil"/>
                  </w:tcBorders>
                  <w:noWrap w:val="0"/>
                  <w:vAlign w:val="center"/>
                </w:tcPr>
                <w:p w14:paraId="7B40AF79">
                  <w:pPr>
                    <w:pStyle w:val="31"/>
                    <w:keepNext w:val="0"/>
                    <w:keepLines w:val="0"/>
                    <w:pageBreakBefore w:val="0"/>
                    <w:widowControl w:val="0"/>
                    <w:numPr>
                      <w:ilvl w:val="0"/>
                      <w:numId w:val="13"/>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007" w:type="dxa"/>
                  <w:tcBorders>
                    <w:tl2br w:val="nil"/>
                    <w:tr2bl w:val="nil"/>
                  </w:tcBorders>
                  <w:noWrap w:val="0"/>
                  <w:vAlign w:val="center"/>
                </w:tcPr>
                <w:p w14:paraId="5D3D67D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1#厂房</w:t>
                  </w:r>
                </w:p>
              </w:tc>
              <w:tc>
                <w:tcPr>
                  <w:tcW w:w="1583" w:type="dxa"/>
                  <w:tcBorders>
                    <w:tl2br w:val="nil"/>
                    <w:tr2bl w:val="nil"/>
                  </w:tcBorders>
                  <w:noWrap w:val="0"/>
                  <w:vAlign w:val="center"/>
                </w:tcPr>
                <w:p w14:paraId="7AF5296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4096</w:t>
                  </w:r>
                </w:p>
              </w:tc>
              <w:tc>
                <w:tcPr>
                  <w:tcW w:w="1700" w:type="dxa"/>
                  <w:tcBorders>
                    <w:tl2br w:val="nil"/>
                    <w:tr2bl w:val="nil"/>
                  </w:tcBorders>
                  <w:noWrap w:val="0"/>
                  <w:vAlign w:val="center"/>
                </w:tcPr>
                <w:p w14:paraId="3294A4D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4096</w:t>
                  </w:r>
                </w:p>
              </w:tc>
              <w:tc>
                <w:tcPr>
                  <w:tcW w:w="3255" w:type="dxa"/>
                  <w:tcBorders>
                    <w:tl2br w:val="nil"/>
                    <w:tr2bl w:val="nil"/>
                  </w:tcBorders>
                  <w:noWrap w:val="0"/>
                  <w:vAlign w:val="center"/>
                </w:tcPr>
                <w:p w14:paraId="07B41F0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新建，一层，钢结构，建筑高度15.9m，内设2座喷漆房（</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），1座打磨房（</w:t>
                  </w:r>
                  <w:r>
                    <w:rPr>
                      <w:rFonts w:hint="eastAsia" w:ascii="Times New Roman" w:hAnsi="Times New Roman" w:cs="Times New Roman"/>
                      <w:bCs/>
                      <w:color w:val="auto"/>
                      <w:sz w:val="21"/>
                      <w:szCs w:val="21"/>
                      <w:highlight w:val="none"/>
                      <w:lang w:val="en-US" w:eastAsia="zh-CN"/>
                    </w:rPr>
                    <w:t>10</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），1座烘干房（</w:t>
                  </w:r>
                  <w:r>
                    <w:rPr>
                      <w:rFonts w:hint="eastAsia" w:ascii="Times New Roman" w:hAnsi="Times New Roman" w:cs="Times New Roman"/>
                      <w:bCs/>
                      <w:color w:val="auto"/>
                      <w:sz w:val="21"/>
                      <w:szCs w:val="21"/>
                      <w:highlight w:val="none"/>
                      <w:lang w:val="en-US" w:eastAsia="zh-CN"/>
                    </w:rPr>
                    <w:t>5</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），1座油漆库（</w:t>
                  </w:r>
                  <w:r>
                    <w:rPr>
                      <w:rFonts w:hint="eastAsia" w:cs="Times New Roman"/>
                      <w:bCs/>
                      <w:color w:val="auto"/>
                      <w:sz w:val="21"/>
                      <w:szCs w:val="21"/>
                      <w:highlight w:val="none"/>
                      <w:lang w:val="en-US" w:eastAsia="zh-CN"/>
                    </w:rPr>
                    <w:t>3.9</w:t>
                  </w:r>
                  <w:r>
                    <w:rPr>
                      <w:rFonts w:hint="default" w:ascii="Times New Roman" w:hAnsi="Times New Roman" w:cs="Times New Roman"/>
                      <w:bCs/>
                      <w:color w:val="auto"/>
                      <w:sz w:val="21"/>
                      <w:szCs w:val="21"/>
                      <w:highlight w:val="none"/>
                      <w:lang w:val="en-US" w:eastAsia="zh-CN"/>
                    </w:rPr>
                    <w:t>m×</w:t>
                  </w:r>
                  <w:r>
                    <w:rPr>
                      <w:rFonts w:hint="eastAsia"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lang w:val="en-US" w:eastAsia="zh-CN"/>
                    </w:rPr>
                    <w:t>m×</w:t>
                  </w:r>
                  <w:r>
                    <w:rPr>
                      <w:rFonts w:hint="eastAsia"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），1座危废间（3.9</w:t>
                  </w:r>
                  <w:r>
                    <w:rPr>
                      <w:rFonts w:hint="default" w:ascii="Times New Roman" w:hAnsi="Times New Roman" w:cs="Times New Roman"/>
                      <w:bCs/>
                      <w:color w:val="auto"/>
                      <w:sz w:val="21"/>
                      <w:szCs w:val="21"/>
                      <w:highlight w:val="none"/>
                      <w:lang w:val="en-US" w:eastAsia="zh-CN"/>
                    </w:rPr>
                    <w:t>m×</w:t>
                  </w:r>
                  <w:r>
                    <w:rPr>
                      <w:rFonts w:hint="eastAsia"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lang w:val="en-US" w:eastAsia="zh-CN"/>
                    </w:rPr>
                    <w:t>m×</w:t>
                  </w:r>
                  <w:r>
                    <w:rPr>
                      <w:rFonts w:hint="eastAsia"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w:t>
                  </w:r>
                </w:p>
              </w:tc>
            </w:tr>
            <w:tr w14:paraId="748AA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32" w:type="dxa"/>
                  <w:tcBorders>
                    <w:tl2br w:val="nil"/>
                    <w:tr2bl w:val="nil"/>
                  </w:tcBorders>
                  <w:noWrap w:val="0"/>
                  <w:vAlign w:val="center"/>
                </w:tcPr>
                <w:p w14:paraId="61EBACEE">
                  <w:pPr>
                    <w:pStyle w:val="31"/>
                    <w:keepNext w:val="0"/>
                    <w:keepLines w:val="0"/>
                    <w:pageBreakBefore w:val="0"/>
                    <w:widowControl w:val="0"/>
                    <w:numPr>
                      <w:ilvl w:val="0"/>
                      <w:numId w:val="13"/>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007" w:type="dxa"/>
                  <w:tcBorders>
                    <w:tl2br w:val="nil"/>
                    <w:tr2bl w:val="nil"/>
                  </w:tcBorders>
                  <w:noWrap w:val="0"/>
                  <w:vAlign w:val="center"/>
                </w:tcPr>
                <w:p w14:paraId="018C575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2#厂房</w:t>
                  </w:r>
                </w:p>
              </w:tc>
              <w:tc>
                <w:tcPr>
                  <w:tcW w:w="1583" w:type="dxa"/>
                  <w:tcBorders>
                    <w:tl2br w:val="nil"/>
                    <w:tr2bl w:val="nil"/>
                  </w:tcBorders>
                  <w:noWrap w:val="0"/>
                  <w:vAlign w:val="center"/>
                </w:tcPr>
                <w:p w14:paraId="14C3DB7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4672</w:t>
                  </w:r>
                </w:p>
              </w:tc>
              <w:tc>
                <w:tcPr>
                  <w:tcW w:w="1700" w:type="dxa"/>
                  <w:tcBorders>
                    <w:tl2br w:val="nil"/>
                    <w:tr2bl w:val="nil"/>
                  </w:tcBorders>
                  <w:noWrap w:val="0"/>
                  <w:vAlign w:val="center"/>
                </w:tcPr>
                <w:p w14:paraId="7BE4706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4672</w:t>
                  </w:r>
                </w:p>
              </w:tc>
              <w:tc>
                <w:tcPr>
                  <w:tcW w:w="3255" w:type="dxa"/>
                  <w:tcBorders>
                    <w:tl2br w:val="nil"/>
                    <w:tr2bl w:val="nil"/>
                  </w:tcBorders>
                  <w:noWrap w:val="0"/>
                  <w:vAlign w:val="center"/>
                </w:tcPr>
                <w:p w14:paraId="1EF0254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新建，一层，钢结构，建筑高度15.9m</w:t>
                  </w:r>
                </w:p>
              </w:tc>
            </w:tr>
            <w:tr w14:paraId="590C2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32" w:type="dxa"/>
                  <w:tcBorders>
                    <w:tl2br w:val="nil"/>
                    <w:tr2bl w:val="nil"/>
                  </w:tcBorders>
                  <w:noWrap w:val="0"/>
                  <w:vAlign w:val="center"/>
                </w:tcPr>
                <w:p w14:paraId="569CE935">
                  <w:pPr>
                    <w:pStyle w:val="31"/>
                    <w:keepNext w:val="0"/>
                    <w:keepLines w:val="0"/>
                    <w:pageBreakBefore w:val="0"/>
                    <w:widowControl w:val="0"/>
                    <w:numPr>
                      <w:ilvl w:val="0"/>
                      <w:numId w:val="13"/>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007" w:type="dxa"/>
                  <w:tcBorders>
                    <w:tl2br w:val="nil"/>
                    <w:tr2bl w:val="nil"/>
                  </w:tcBorders>
                  <w:noWrap w:val="0"/>
                  <w:vAlign w:val="center"/>
                </w:tcPr>
                <w:p w14:paraId="5242B7A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综合楼</w:t>
                  </w:r>
                </w:p>
              </w:tc>
              <w:tc>
                <w:tcPr>
                  <w:tcW w:w="1583" w:type="dxa"/>
                  <w:tcBorders>
                    <w:tl2br w:val="nil"/>
                    <w:tr2bl w:val="nil"/>
                  </w:tcBorders>
                  <w:noWrap w:val="0"/>
                  <w:vAlign w:val="center"/>
                </w:tcPr>
                <w:p w14:paraId="75CC3F8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1361.52</w:t>
                  </w:r>
                </w:p>
              </w:tc>
              <w:tc>
                <w:tcPr>
                  <w:tcW w:w="1700" w:type="dxa"/>
                  <w:tcBorders>
                    <w:tl2br w:val="nil"/>
                    <w:tr2bl w:val="nil"/>
                  </w:tcBorders>
                  <w:noWrap w:val="0"/>
                  <w:vAlign w:val="center"/>
                </w:tcPr>
                <w:p w14:paraId="792571A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4084.56</w:t>
                  </w:r>
                </w:p>
              </w:tc>
              <w:tc>
                <w:tcPr>
                  <w:tcW w:w="3255" w:type="dxa"/>
                  <w:tcBorders>
                    <w:tl2br w:val="nil"/>
                    <w:tr2bl w:val="nil"/>
                  </w:tcBorders>
                  <w:noWrap w:val="0"/>
                  <w:vAlign w:val="center"/>
                </w:tcPr>
                <w:p w14:paraId="34558FD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新建，三层，钢结构，建筑高度16.75m</w:t>
                  </w:r>
                </w:p>
              </w:tc>
            </w:tr>
          </w:tbl>
          <w:p w14:paraId="06918046">
            <w:pPr>
              <w:pStyle w:val="33"/>
              <w:bidi w:val="0"/>
              <w:rPr>
                <w:rFonts w:ascii="宋体" w:hAnsi="宋体" w:cs="宋体"/>
                <w:b/>
                <w:color w:val="auto"/>
                <w:kern w:val="0"/>
                <w:szCs w:val="21"/>
                <w:highlight w:val="none"/>
              </w:rPr>
            </w:pPr>
            <w:r>
              <w:rPr>
                <w:rFonts w:hint="default"/>
                <w:color w:val="auto"/>
                <w:sz w:val="21"/>
                <w:szCs w:val="21"/>
                <w:highlight w:val="none"/>
              </w:rPr>
              <w:t>表</w:t>
            </w:r>
            <w:r>
              <w:rPr>
                <w:rFonts w:hint="eastAsia"/>
                <w:color w:val="auto"/>
                <w:sz w:val="21"/>
                <w:szCs w:val="21"/>
                <w:highlight w:val="none"/>
                <w:lang w:val="en-US" w:eastAsia="zh-CN"/>
              </w:rPr>
              <w:t>13  本项目主要</w:t>
            </w:r>
            <w:r>
              <w:rPr>
                <w:rFonts w:hint="default"/>
                <w:color w:val="auto"/>
                <w:sz w:val="21"/>
                <w:szCs w:val="21"/>
                <w:highlight w:val="none"/>
              </w:rPr>
              <w:t>建设内容一览表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246"/>
              <w:gridCol w:w="1183"/>
              <w:gridCol w:w="4685"/>
            </w:tblGrid>
            <w:tr w14:paraId="727BE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163" w:type="dxa"/>
                  <w:vAlign w:val="center"/>
                </w:tcPr>
                <w:p w14:paraId="3C42463E">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工程类别</w:t>
                  </w:r>
                </w:p>
              </w:tc>
              <w:tc>
                <w:tcPr>
                  <w:tcW w:w="1246" w:type="dxa"/>
                  <w:vAlign w:val="center"/>
                </w:tcPr>
                <w:p w14:paraId="47CAB3D7">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项目</w:t>
                  </w:r>
                  <w:r>
                    <w:rPr>
                      <w:rFonts w:hint="eastAsia" w:ascii="宋体" w:hAnsi="宋体" w:cs="宋体"/>
                      <w:color w:val="auto"/>
                      <w:sz w:val="21"/>
                      <w:szCs w:val="21"/>
                      <w:highlight w:val="none"/>
                    </w:rPr>
                    <w:t>名称</w:t>
                  </w:r>
                </w:p>
              </w:tc>
              <w:tc>
                <w:tcPr>
                  <w:tcW w:w="5868" w:type="dxa"/>
                  <w:gridSpan w:val="2"/>
                  <w:vAlign w:val="center"/>
                </w:tcPr>
                <w:p w14:paraId="4C92FE47">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主要内容</w:t>
                  </w:r>
                </w:p>
              </w:tc>
            </w:tr>
            <w:tr w14:paraId="769BC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163" w:type="dxa"/>
                  <w:vMerge w:val="restart"/>
                  <w:vAlign w:val="center"/>
                </w:tcPr>
                <w:p w14:paraId="42F9DFB3">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主体工程</w:t>
                  </w:r>
                </w:p>
              </w:tc>
              <w:tc>
                <w:tcPr>
                  <w:tcW w:w="1246" w:type="dxa"/>
                  <w:vAlign w:val="center"/>
                </w:tcPr>
                <w:p w14:paraId="04BD4C6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宋体" w:hAnsi="宋体" w:eastAsia="宋体" w:cs="宋体"/>
                      <w:color w:val="auto"/>
                      <w:sz w:val="21"/>
                      <w:szCs w:val="21"/>
                      <w:highlight w:val="none"/>
                      <w:lang w:val="en-US" w:eastAsia="zh-CN"/>
                    </w:rPr>
                  </w:pPr>
                  <w:r>
                    <w:rPr>
                      <w:rFonts w:hint="eastAsia" w:ascii="Times New Roman" w:hAnsi="Times New Roman" w:eastAsia="宋体" w:cs="Times New Roman"/>
                      <w:color w:val="auto"/>
                      <w:sz w:val="21"/>
                      <w:szCs w:val="21"/>
                      <w:highlight w:val="none"/>
                    </w:rPr>
                    <w:t>1#厂房</w:t>
                  </w:r>
                </w:p>
              </w:tc>
              <w:tc>
                <w:tcPr>
                  <w:tcW w:w="5868" w:type="dxa"/>
                  <w:gridSpan w:val="2"/>
                  <w:vAlign w:val="center"/>
                </w:tcPr>
                <w:p w14:paraId="13B223BF">
                  <w:pPr>
                    <w:pStyle w:val="35"/>
                    <w:keepNext w:val="0"/>
                    <w:keepLines w:val="0"/>
                    <w:pageBreakBefore w:val="0"/>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r>
                    <w:rPr>
                      <w:rFonts w:hint="eastAsia"/>
                      <w:color w:val="auto"/>
                      <w:sz w:val="21"/>
                      <w:szCs w:val="21"/>
                      <w:highlight w:val="none"/>
                      <w:lang w:val="en-US" w:eastAsia="zh-CN"/>
                    </w:rPr>
                    <w:t>内设2座喷漆房，1座打磨房，1座烘干房，1座油漆库，1座危废间，</w:t>
                  </w:r>
                  <w:r>
                    <w:rPr>
                      <w:rFonts w:hint="eastAsia" w:cs="Times New Roman"/>
                      <w:color w:val="auto"/>
                      <w:sz w:val="21"/>
                      <w:szCs w:val="21"/>
                      <w:highlight w:val="none"/>
                      <w:lang w:val="en-US" w:eastAsia="zh-CN"/>
                    </w:rPr>
                    <w:t>主要用于对外购的壳体进行除锈、除油、喷漆表面处理</w:t>
                  </w:r>
                </w:p>
              </w:tc>
            </w:tr>
            <w:tr w14:paraId="4BAB6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63" w:type="dxa"/>
                  <w:vMerge w:val="continue"/>
                  <w:vAlign w:val="center"/>
                </w:tcPr>
                <w:p w14:paraId="560BB2AB">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cs="宋体"/>
                      <w:color w:val="auto"/>
                      <w:sz w:val="21"/>
                      <w:szCs w:val="21"/>
                      <w:highlight w:val="none"/>
                    </w:rPr>
                  </w:pPr>
                </w:p>
              </w:tc>
              <w:tc>
                <w:tcPr>
                  <w:tcW w:w="1246" w:type="dxa"/>
                  <w:vAlign w:val="center"/>
                </w:tcPr>
                <w:p w14:paraId="1060BA51">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宋体" w:hAnsi="宋体" w:cs="宋体"/>
                      <w:color w:val="auto"/>
                      <w:sz w:val="21"/>
                      <w:szCs w:val="21"/>
                      <w:highlight w:val="none"/>
                      <w:lang w:val="en-US" w:eastAsia="zh-CN"/>
                    </w:rPr>
                  </w:pPr>
                  <w:r>
                    <w:rPr>
                      <w:rFonts w:hint="eastAsia" w:ascii="Times New Roman" w:hAnsi="Times New Roman" w:eastAsia="宋体" w:cs="Times New Roman"/>
                      <w:color w:val="auto"/>
                      <w:sz w:val="21"/>
                      <w:szCs w:val="21"/>
                      <w:highlight w:val="none"/>
                    </w:rPr>
                    <w:t>2#厂房</w:t>
                  </w:r>
                </w:p>
              </w:tc>
              <w:tc>
                <w:tcPr>
                  <w:tcW w:w="5868" w:type="dxa"/>
                  <w:gridSpan w:val="2"/>
                  <w:vAlign w:val="center"/>
                </w:tcPr>
                <w:p w14:paraId="1B883A99">
                  <w:pPr>
                    <w:pStyle w:val="35"/>
                    <w:keepNext w:val="0"/>
                    <w:keepLines w:val="0"/>
                    <w:pageBreakBefore w:val="0"/>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新建，购置安装高压试验设备，主要对产品进行高压试验</w:t>
                  </w:r>
                </w:p>
              </w:tc>
            </w:tr>
            <w:tr w14:paraId="56F40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63" w:type="dxa"/>
                  <w:vAlign w:val="center"/>
                </w:tcPr>
                <w:p w14:paraId="18C87A95">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辅助工程</w:t>
                  </w:r>
                </w:p>
              </w:tc>
              <w:tc>
                <w:tcPr>
                  <w:tcW w:w="1246" w:type="dxa"/>
                  <w:vAlign w:val="center"/>
                </w:tcPr>
                <w:p w14:paraId="03D992F5">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综合楼</w:t>
                  </w:r>
                </w:p>
              </w:tc>
              <w:tc>
                <w:tcPr>
                  <w:tcW w:w="5868" w:type="dxa"/>
                  <w:gridSpan w:val="2"/>
                  <w:vAlign w:val="center"/>
                </w:tcPr>
                <w:p w14:paraId="55A05330">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新建，内设食堂、办公区，主要用于办公及就餐</w:t>
                  </w:r>
                </w:p>
              </w:tc>
            </w:tr>
            <w:tr w14:paraId="3A2A2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3" w:type="dxa"/>
                  <w:vMerge w:val="restart"/>
                  <w:vAlign w:val="center"/>
                </w:tcPr>
                <w:p w14:paraId="07F99A0B">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储运工程</w:t>
                  </w:r>
                </w:p>
              </w:tc>
              <w:tc>
                <w:tcPr>
                  <w:tcW w:w="1246" w:type="dxa"/>
                  <w:vAlign w:val="center"/>
                </w:tcPr>
                <w:p w14:paraId="3B24614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油漆库</w:t>
                  </w:r>
                </w:p>
              </w:tc>
              <w:tc>
                <w:tcPr>
                  <w:tcW w:w="5868" w:type="dxa"/>
                  <w:gridSpan w:val="2"/>
                  <w:vAlign w:val="center"/>
                </w:tcPr>
                <w:p w14:paraId="32F312FA">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位于1#厂房内，11.7m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，主要用于储存生产所需漆料</w:t>
                  </w:r>
                </w:p>
              </w:tc>
            </w:tr>
            <w:tr w14:paraId="0CA4A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163" w:type="dxa"/>
                  <w:vMerge w:val="continue"/>
                  <w:vAlign w:val="center"/>
                </w:tcPr>
                <w:p w14:paraId="55BCC49A">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color w:val="auto"/>
                      <w:highlight w:val="none"/>
                    </w:rPr>
                  </w:pPr>
                </w:p>
              </w:tc>
              <w:tc>
                <w:tcPr>
                  <w:tcW w:w="1246" w:type="dxa"/>
                  <w:vAlign w:val="center"/>
                </w:tcPr>
                <w:p w14:paraId="459F9C3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rPr>
                    <w:t>危废间</w:t>
                  </w:r>
                </w:p>
              </w:tc>
              <w:tc>
                <w:tcPr>
                  <w:tcW w:w="5868" w:type="dxa"/>
                  <w:gridSpan w:val="2"/>
                  <w:vAlign w:val="center"/>
                </w:tcPr>
                <w:p w14:paraId="19E6C99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位于1#厂房内，11.7m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，主要</w:t>
                  </w:r>
                  <w:r>
                    <w:rPr>
                      <w:rFonts w:hint="eastAsia"/>
                      <w:color w:val="auto"/>
                      <w:highlight w:val="none"/>
                    </w:rPr>
                    <w:t>用于</w:t>
                  </w:r>
                  <w:r>
                    <w:rPr>
                      <w:color w:val="auto"/>
                      <w:highlight w:val="none"/>
                    </w:rPr>
                    <w:t>储存</w:t>
                  </w:r>
                  <w:r>
                    <w:rPr>
                      <w:rFonts w:hint="eastAsia"/>
                      <w:color w:val="auto"/>
                      <w:highlight w:val="none"/>
                      <w:lang w:val="en-US" w:eastAsia="zh-CN"/>
                    </w:rPr>
                    <w:t>生产过程产生的</w:t>
                  </w:r>
                  <w:r>
                    <w:rPr>
                      <w:color w:val="auto"/>
                      <w:highlight w:val="none"/>
                    </w:rPr>
                    <w:t>危险废物</w:t>
                  </w:r>
                </w:p>
              </w:tc>
            </w:tr>
            <w:tr w14:paraId="039E8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3" w:type="dxa"/>
                  <w:vMerge w:val="continue"/>
                  <w:vAlign w:val="center"/>
                </w:tcPr>
                <w:p w14:paraId="3E9A2216">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246" w:type="dxa"/>
                  <w:vAlign w:val="center"/>
                </w:tcPr>
                <w:p w14:paraId="1080040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lang w:val="en-US" w:eastAsia="zh-CN"/>
                    </w:rPr>
                    <w:t>物料储存区</w:t>
                  </w:r>
                </w:p>
              </w:tc>
              <w:tc>
                <w:tcPr>
                  <w:tcW w:w="5868" w:type="dxa"/>
                  <w:gridSpan w:val="2"/>
                  <w:vAlign w:val="center"/>
                </w:tcPr>
                <w:p w14:paraId="13A63B9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在1#、2#厂房内北侧设置物料储存区，主要用于物料中转、储存</w:t>
                  </w:r>
                </w:p>
              </w:tc>
            </w:tr>
            <w:tr w14:paraId="4212D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3" w:type="dxa"/>
                  <w:vMerge w:val="continue"/>
                  <w:vAlign w:val="center"/>
                </w:tcPr>
                <w:p w14:paraId="03A01B71">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246" w:type="dxa"/>
                  <w:vAlign w:val="center"/>
                </w:tcPr>
                <w:p w14:paraId="390D506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一般固废储存区</w:t>
                  </w:r>
                </w:p>
              </w:tc>
              <w:tc>
                <w:tcPr>
                  <w:tcW w:w="5868" w:type="dxa"/>
                  <w:gridSpan w:val="2"/>
                  <w:vAlign w:val="center"/>
                </w:tcPr>
                <w:p w14:paraId="4501EB51">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在1#厂房内设置</w:t>
                  </w:r>
                  <w:r>
                    <w:rPr>
                      <w:rFonts w:hint="eastAsia"/>
                      <w:color w:val="auto"/>
                      <w:highlight w:val="none"/>
                      <w:lang w:val="en-US" w:eastAsia="zh-CN"/>
                    </w:rPr>
                    <w:t>一般固废储存区，用于储存生产过程产生的一般工业固体废物</w:t>
                  </w:r>
                </w:p>
              </w:tc>
            </w:tr>
            <w:tr w14:paraId="6902B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63" w:type="dxa"/>
                  <w:vMerge w:val="restart"/>
                  <w:vAlign w:val="center"/>
                </w:tcPr>
                <w:p w14:paraId="3268813D">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公用工程</w:t>
                  </w:r>
                </w:p>
              </w:tc>
              <w:tc>
                <w:tcPr>
                  <w:tcW w:w="1246" w:type="dxa"/>
                  <w:vAlign w:val="center"/>
                </w:tcPr>
                <w:p w14:paraId="67FB381B">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供水</w:t>
                  </w:r>
                </w:p>
              </w:tc>
              <w:tc>
                <w:tcPr>
                  <w:tcW w:w="5868" w:type="dxa"/>
                  <w:gridSpan w:val="2"/>
                  <w:vAlign w:val="center"/>
                </w:tcPr>
                <w:p w14:paraId="46391B8A">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本项目用水由供水管网提供</w:t>
                  </w:r>
                </w:p>
              </w:tc>
            </w:tr>
            <w:tr w14:paraId="3F29D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vAlign w:val="center"/>
                </w:tcPr>
                <w:p w14:paraId="5157E654">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246" w:type="dxa"/>
                  <w:vAlign w:val="center"/>
                </w:tcPr>
                <w:p w14:paraId="7378F13D">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供电</w:t>
                  </w:r>
                </w:p>
              </w:tc>
              <w:tc>
                <w:tcPr>
                  <w:tcW w:w="5868" w:type="dxa"/>
                  <w:gridSpan w:val="2"/>
                  <w:vAlign w:val="center"/>
                </w:tcPr>
                <w:p w14:paraId="3FD24B96">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用电由园区电网提供</w:t>
                  </w:r>
                </w:p>
              </w:tc>
            </w:tr>
            <w:tr w14:paraId="66759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63" w:type="dxa"/>
                  <w:vMerge w:val="continue"/>
                  <w:vAlign w:val="center"/>
                </w:tcPr>
                <w:p w14:paraId="0E69A088">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246" w:type="dxa"/>
                  <w:vAlign w:val="center"/>
                </w:tcPr>
                <w:p w14:paraId="59CAACA1">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取暖</w:t>
                  </w:r>
                </w:p>
              </w:tc>
              <w:tc>
                <w:tcPr>
                  <w:tcW w:w="5868" w:type="dxa"/>
                  <w:gridSpan w:val="2"/>
                  <w:vAlign w:val="center"/>
                </w:tcPr>
                <w:p w14:paraId="0A0148E3">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车间不设取暖设施，办公区取暖采用单体空调，以电为能源</w:t>
                  </w:r>
                </w:p>
              </w:tc>
            </w:tr>
            <w:tr w14:paraId="2BEFE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63" w:type="dxa"/>
                  <w:vMerge w:val="continue"/>
                  <w:vAlign w:val="center"/>
                </w:tcPr>
                <w:p w14:paraId="3B435977">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246" w:type="dxa"/>
                  <w:vAlign w:val="center"/>
                </w:tcPr>
                <w:p w14:paraId="49AFEB28">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供热</w:t>
                  </w:r>
                </w:p>
              </w:tc>
              <w:tc>
                <w:tcPr>
                  <w:tcW w:w="5868" w:type="dxa"/>
                  <w:gridSpan w:val="2"/>
                  <w:vAlign w:val="center"/>
                </w:tcPr>
                <w:p w14:paraId="7F26D675">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烘干室采用电加热</w:t>
                  </w:r>
                </w:p>
              </w:tc>
            </w:tr>
            <w:tr w14:paraId="522E7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3" w:type="dxa"/>
                  <w:vMerge w:val="restart"/>
                  <w:vAlign w:val="center"/>
                </w:tcPr>
                <w:p w14:paraId="75281F0C">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环保工程</w:t>
                  </w:r>
                </w:p>
              </w:tc>
              <w:tc>
                <w:tcPr>
                  <w:tcW w:w="1246" w:type="dxa"/>
                  <w:vMerge w:val="restart"/>
                  <w:vAlign w:val="center"/>
                </w:tcPr>
                <w:p w14:paraId="3205DBC9">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废气</w:t>
                  </w:r>
                </w:p>
              </w:tc>
              <w:tc>
                <w:tcPr>
                  <w:tcW w:w="1183" w:type="dxa"/>
                  <w:vAlign w:val="center"/>
                </w:tcPr>
                <w:p w14:paraId="17BBB96B">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打磨废气</w:t>
                  </w:r>
                </w:p>
              </w:tc>
              <w:tc>
                <w:tcPr>
                  <w:tcW w:w="4685" w:type="dxa"/>
                  <w:vAlign w:val="center"/>
                </w:tcPr>
                <w:p w14:paraId="7EA18555">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打磨过程在封闭打磨房内进行，打磨房连接管道，采用风机将打磨过程产生的废气引入1套脉冲布袋除尘器处理，处理后通过1根27m高排气筒排放至大气中</w:t>
                  </w:r>
                </w:p>
              </w:tc>
            </w:tr>
            <w:tr w14:paraId="57F4E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163" w:type="dxa"/>
                  <w:vMerge w:val="continue"/>
                  <w:vAlign w:val="center"/>
                </w:tcPr>
                <w:p w14:paraId="1B3EB3C3">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color w:val="auto"/>
                    </w:rPr>
                  </w:pPr>
                </w:p>
              </w:tc>
              <w:tc>
                <w:tcPr>
                  <w:tcW w:w="1246" w:type="dxa"/>
                  <w:vMerge w:val="continue"/>
                  <w:vAlign w:val="center"/>
                </w:tcPr>
                <w:p w14:paraId="0EB85C45">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color w:val="auto"/>
                    </w:rPr>
                  </w:pPr>
                </w:p>
              </w:tc>
              <w:tc>
                <w:tcPr>
                  <w:tcW w:w="1183" w:type="dxa"/>
                  <w:vAlign w:val="center"/>
                </w:tcPr>
                <w:p w14:paraId="12B27435">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调漆、喷漆、烘干/晾干、刮腻子、腻子打磨、除油、漆料及危废储存废气</w:t>
                  </w:r>
                </w:p>
              </w:tc>
              <w:tc>
                <w:tcPr>
                  <w:tcW w:w="4685" w:type="dxa"/>
                  <w:vAlign w:val="center"/>
                </w:tcPr>
                <w:p w14:paraId="14747204">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调漆、喷漆、刮腻子、腻子打磨、除油过程在喷漆房内进行，调漆、喷漆、腻子打磨、除油过程喷漆房封闭，喷漆房采取上进风，侧抽风，烘干/晾干过程在烘干房进行，烘干/晾干过程烘干房封闭，漆料储存于油漆库中，油漆库、危废间连接管道，采用风机将调漆、喷漆、刮腻子、腻子打磨、除油过程产生的颗粒物（含漆雾）、有机废气引入干式喷漆柜（纸盒）中去除大部分漆雾，然后与烘干/晾干、漆料及危废储存过程产生的废气一起进入过滤棉箱过滤+沸石转轮+催化燃烧装置进行处理，处理后通过1根15m高排气筒（DA002）排放至大气中</w:t>
                  </w:r>
                </w:p>
              </w:tc>
            </w:tr>
            <w:tr w14:paraId="023A2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63" w:type="dxa"/>
                  <w:vMerge w:val="continue"/>
                  <w:vAlign w:val="center"/>
                </w:tcPr>
                <w:p w14:paraId="72AA73D1">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p>
              </w:tc>
              <w:tc>
                <w:tcPr>
                  <w:tcW w:w="1246" w:type="dxa"/>
                  <w:vMerge w:val="continue"/>
                  <w:vAlign w:val="center"/>
                </w:tcPr>
                <w:p w14:paraId="28A3A33F">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p>
              </w:tc>
              <w:tc>
                <w:tcPr>
                  <w:tcW w:w="1183" w:type="dxa"/>
                  <w:vAlign w:val="center"/>
                </w:tcPr>
                <w:p w14:paraId="3BE2F8FA">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食堂废气</w:t>
                  </w:r>
                </w:p>
              </w:tc>
              <w:tc>
                <w:tcPr>
                  <w:tcW w:w="4685" w:type="dxa"/>
                  <w:vAlign w:val="center"/>
                </w:tcPr>
                <w:p w14:paraId="7E26E3FD">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食堂产生的油烟、非甲烷总烃经油烟净化器处理后，通过专用烟道排放</w:t>
                  </w:r>
                </w:p>
              </w:tc>
            </w:tr>
            <w:tr w14:paraId="5F325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63" w:type="dxa"/>
                  <w:vMerge w:val="continue"/>
                  <w:vAlign w:val="center"/>
                </w:tcPr>
                <w:p w14:paraId="54C8620A">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246" w:type="dxa"/>
                  <w:vAlign w:val="center"/>
                </w:tcPr>
                <w:p w14:paraId="2DC797CC">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废水</w:t>
                  </w:r>
                </w:p>
              </w:tc>
              <w:tc>
                <w:tcPr>
                  <w:tcW w:w="5868" w:type="dxa"/>
                  <w:gridSpan w:val="2"/>
                  <w:vAlign w:val="center"/>
                </w:tcPr>
                <w:p w14:paraId="09ADAB5C">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本项目生产过程不用水，无废水产生，食堂废水经油水分离器隔油处理后，与其他生活污水一起排入市政污水管网，最终进入西郊污水处理厂处理</w:t>
                  </w:r>
                </w:p>
              </w:tc>
            </w:tr>
            <w:tr w14:paraId="5F400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3" w:type="dxa"/>
                  <w:vMerge w:val="continue"/>
                  <w:vAlign w:val="center"/>
                </w:tcPr>
                <w:p w14:paraId="591F8BF4">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246" w:type="dxa"/>
                  <w:vAlign w:val="center"/>
                </w:tcPr>
                <w:p w14:paraId="086A7021">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噪声</w:t>
                  </w:r>
                </w:p>
              </w:tc>
              <w:tc>
                <w:tcPr>
                  <w:tcW w:w="5868" w:type="dxa"/>
                  <w:gridSpan w:val="2"/>
                  <w:vAlign w:val="center"/>
                </w:tcPr>
                <w:p w14:paraId="07987721">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选用低噪声设备、</w:t>
                  </w:r>
                  <w:r>
                    <w:rPr>
                      <w:rFonts w:hint="eastAsia" w:ascii="Times New Roman" w:hAnsi="Times New Roman" w:cs="Times New Roman"/>
                      <w:color w:val="auto"/>
                      <w:sz w:val="21"/>
                      <w:szCs w:val="21"/>
                      <w:highlight w:val="none"/>
                      <w:lang w:val="en-US" w:eastAsia="zh-CN"/>
                    </w:rPr>
                    <w:t>采取</w:t>
                  </w:r>
                  <w:r>
                    <w:rPr>
                      <w:rFonts w:hint="default" w:ascii="Times New Roman" w:hAnsi="Times New Roman" w:cs="Times New Roman"/>
                      <w:color w:val="auto"/>
                      <w:sz w:val="21"/>
                      <w:szCs w:val="21"/>
                      <w:highlight w:val="none"/>
                    </w:rPr>
                    <w:t>厂房隔声、基础减振等措施降噪</w:t>
                  </w:r>
                </w:p>
              </w:tc>
            </w:tr>
            <w:tr w14:paraId="3AE34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163" w:type="dxa"/>
                  <w:vMerge w:val="continue"/>
                  <w:vAlign w:val="center"/>
                </w:tcPr>
                <w:p w14:paraId="381A3329">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246" w:type="dxa"/>
                  <w:vMerge w:val="restart"/>
                  <w:vAlign w:val="center"/>
                </w:tcPr>
                <w:p w14:paraId="082073DB">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固废</w:t>
                  </w:r>
                </w:p>
              </w:tc>
              <w:tc>
                <w:tcPr>
                  <w:tcW w:w="1183" w:type="dxa"/>
                  <w:vAlign w:val="center"/>
                </w:tcPr>
                <w:p w14:paraId="288FB66A">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一般工业固体废物</w:t>
                  </w:r>
                </w:p>
              </w:tc>
              <w:tc>
                <w:tcPr>
                  <w:tcW w:w="4685" w:type="dxa"/>
                  <w:vAlign w:val="center"/>
                </w:tcPr>
                <w:p w14:paraId="39DE5D9E">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本项目产生的一般工业固体废物主要为除尘器收集的除尘灰，定期更换的废布袋，腻子打磨过程产生的废砂纸，均暂存于一般固废储存区，外售废品回收站</w:t>
                  </w:r>
                </w:p>
              </w:tc>
            </w:tr>
            <w:tr w14:paraId="313C9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63" w:type="dxa"/>
                  <w:vMerge w:val="continue"/>
                  <w:vAlign w:val="center"/>
                </w:tcPr>
                <w:p w14:paraId="0D33B341">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246" w:type="dxa"/>
                  <w:vMerge w:val="continue"/>
                  <w:vAlign w:val="center"/>
                </w:tcPr>
                <w:p w14:paraId="243F1E9E">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cs="宋体"/>
                      <w:color w:val="auto"/>
                      <w:sz w:val="21"/>
                      <w:szCs w:val="21"/>
                      <w:highlight w:val="none"/>
                    </w:rPr>
                  </w:pPr>
                </w:p>
              </w:tc>
              <w:tc>
                <w:tcPr>
                  <w:tcW w:w="1183" w:type="dxa"/>
                  <w:vAlign w:val="center"/>
                </w:tcPr>
                <w:p w14:paraId="4972FDC9">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生活垃圾</w:t>
                  </w:r>
                </w:p>
              </w:tc>
              <w:tc>
                <w:tcPr>
                  <w:tcW w:w="4685" w:type="dxa"/>
                  <w:vAlign w:val="center"/>
                </w:tcPr>
                <w:p w14:paraId="53F081EB">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本项目新增食堂，食堂会产生一定量的</w:t>
                  </w:r>
                  <w:r>
                    <w:rPr>
                      <w:rFonts w:hint="eastAsia" w:cs="Times New Roman"/>
                      <w:color w:val="auto"/>
                      <w:sz w:val="21"/>
                      <w:szCs w:val="21"/>
                      <w:highlight w:val="none"/>
                      <w:lang w:val="en-US" w:eastAsia="zh-CN"/>
                    </w:rPr>
                    <w:t>生活垃圾</w:t>
                  </w:r>
                  <w:r>
                    <w:rPr>
                      <w:rFonts w:hint="default" w:cs="Times New Roman"/>
                      <w:color w:val="auto"/>
                      <w:sz w:val="21"/>
                      <w:szCs w:val="21"/>
                      <w:highlight w:val="none"/>
                      <w:lang w:val="en-US" w:eastAsia="zh-CN"/>
                    </w:rPr>
                    <w:t>，其中，食用废油委托有特许经营许可的餐厨废弃物收集、运输、处置服务企业收集、运输、处置，其余</w:t>
                  </w:r>
                  <w:r>
                    <w:rPr>
                      <w:rFonts w:hint="eastAsia" w:cs="Times New Roman"/>
                      <w:color w:val="auto"/>
                      <w:sz w:val="21"/>
                      <w:szCs w:val="21"/>
                      <w:highlight w:val="none"/>
                      <w:lang w:val="en-US" w:eastAsia="zh-CN"/>
                    </w:rPr>
                    <w:t>生活</w:t>
                  </w:r>
                  <w:r>
                    <w:rPr>
                      <w:rFonts w:hint="default" w:cs="Times New Roman"/>
                      <w:color w:val="auto"/>
                      <w:sz w:val="21"/>
                      <w:szCs w:val="21"/>
                      <w:highlight w:val="none"/>
                      <w:lang w:val="en-US" w:eastAsia="zh-CN"/>
                    </w:rPr>
                    <w:t>垃圾袋装化收集，送环卫部门指定地点统一处理。</w:t>
                  </w:r>
                </w:p>
              </w:tc>
            </w:tr>
            <w:tr w14:paraId="6F250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1163" w:type="dxa"/>
                  <w:vMerge w:val="continue"/>
                  <w:vAlign w:val="center"/>
                </w:tcPr>
                <w:p w14:paraId="6B607806">
                  <w:pPr>
                    <w:keepNext w:val="0"/>
                    <w:keepLines w:val="0"/>
                    <w:pageBreakBefore w:val="0"/>
                    <w:widowControl/>
                    <w:kinsoku/>
                    <w:wordWrap/>
                    <w:overflowPunct/>
                    <w:topLinePunct w:val="0"/>
                    <w:autoSpaceDN w:val="0"/>
                    <w:bidi w:val="0"/>
                    <w:snapToGrid/>
                    <w:spacing w:line="240" w:lineRule="auto"/>
                    <w:ind w:firstLine="0" w:firstLineChars="0"/>
                    <w:jc w:val="left"/>
                    <w:textAlignment w:val="auto"/>
                    <w:rPr>
                      <w:color w:val="auto"/>
                      <w:highlight w:val="none"/>
                    </w:rPr>
                  </w:pPr>
                </w:p>
              </w:tc>
              <w:tc>
                <w:tcPr>
                  <w:tcW w:w="1246" w:type="dxa"/>
                  <w:vMerge w:val="continue"/>
                  <w:vAlign w:val="center"/>
                </w:tcPr>
                <w:p w14:paraId="33716FF0">
                  <w:pPr>
                    <w:keepNext w:val="0"/>
                    <w:keepLines w:val="0"/>
                    <w:pageBreakBefore w:val="0"/>
                    <w:widowControl/>
                    <w:kinsoku/>
                    <w:wordWrap/>
                    <w:overflowPunct/>
                    <w:topLinePunct w:val="0"/>
                    <w:autoSpaceDN w:val="0"/>
                    <w:bidi w:val="0"/>
                    <w:snapToGrid/>
                    <w:spacing w:line="240" w:lineRule="auto"/>
                    <w:ind w:firstLine="0" w:firstLineChars="0"/>
                    <w:jc w:val="left"/>
                    <w:textAlignment w:val="auto"/>
                    <w:rPr>
                      <w:color w:val="auto"/>
                      <w:highlight w:val="none"/>
                    </w:rPr>
                  </w:pPr>
                </w:p>
              </w:tc>
              <w:tc>
                <w:tcPr>
                  <w:tcW w:w="1183" w:type="dxa"/>
                  <w:vAlign w:val="center"/>
                </w:tcPr>
                <w:p w14:paraId="1C8C4B80">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危险废物</w:t>
                  </w:r>
                </w:p>
              </w:tc>
              <w:tc>
                <w:tcPr>
                  <w:tcW w:w="4685" w:type="dxa"/>
                  <w:vAlign w:val="center"/>
                </w:tcPr>
                <w:p w14:paraId="126B02C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本项目产生的危险废物主要为除油过程产生的废稀释剂、废漆桶；喷漆过程产生的漆渣、废漆桶、废遮蔽物；有机废气处理设施定期更换下来的废纸盒、废过滤棉、废沸石分子筛、废催化剂。废稀释剂、漆渣、废漆桶、废遮蔽物、废纸盒、废过滤棉、废催化剂暂存于危废间，定期委托有资质单位运走处置，废沸石分子筛直接由有资质单位运走处置，不在厂区内储存。</w:t>
                  </w:r>
                </w:p>
              </w:tc>
            </w:tr>
            <w:tr w14:paraId="65891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163" w:type="dxa"/>
                  <w:vMerge w:val="continue"/>
                  <w:vAlign w:val="center"/>
                </w:tcPr>
                <w:p w14:paraId="41395750">
                  <w:pPr>
                    <w:keepNext w:val="0"/>
                    <w:keepLines w:val="0"/>
                    <w:pageBreakBefore w:val="0"/>
                    <w:widowControl/>
                    <w:kinsoku/>
                    <w:wordWrap/>
                    <w:overflowPunct/>
                    <w:topLinePunct w:val="0"/>
                    <w:autoSpaceDN w:val="0"/>
                    <w:bidi w:val="0"/>
                    <w:snapToGrid/>
                    <w:spacing w:line="240" w:lineRule="auto"/>
                    <w:ind w:firstLine="0" w:firstLineChars="0"/>
                    <w:jc w:val="left"/>
                    <w:textAlignment w:val="auto"/>
                    <w:rPr>
                      <w:color w:val="auto"/>
                      <w:highlight w:val="none"/>
                    </w:rPr>
                  </w:pPr>
                </w:p>
              </w:tc>
              <w:tc>
                <w:tcPr>
                  <w:tcW w:w="1246" w:type="dxa"/>
                  <w:vAlign w:val="center"/>
                </w:tcPr>
                <w:p w14:paraId="32597A47">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olor w:val="auto"/>
                      <w:highlight w:val="none"/>
                      <w:lang w:val="en-US" w:eastAsia="zh-CN"/>
                    </w:rPr>
                  </w:pPr>
                  <w:r>
                    <w:rPr>
                      <w:rFonts w:hint="eastAsia"/>
                      <w:color w:val="auto"/>
                      <w:sz w:val="21"/>
                      <w:szCs w:val="21"/>
                      <w:highlight w:val="none"/>
                      <w:lang w:val="en-US" w:eastAsia="zh-CN"/>
                    </w:rPr>
                    <w:t>防渗</w:t>
                  </w:r>
                </w:p>
              </w:tc>
              <w:tc>
                <w:tcPr>
                  <w:tcW w:w="5868" w:type="dxa"/>
                  <w:gridSpan w:val="2"/>
                  <w:vAlign w:val="center"/>
                </w:tcPr>
                <w:p w14:paraId="3FAD411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危废间、油漆库、喷漆房</w:t>
                  </w:r>
                  <w:r>
                    <w:rPr>
                      <w:rFonts w:hint="eastAsia"/>
                      <w:color w:val="auto"/>
                      <w:sz w:val="21"/>
                      <w:szCs w:val="21"/>
                      <w:highlight w:val="none"/>
                    </w:rPr>
                    <w:t>为重点防渗区，</w:t>
                  </w:r>
                  <w:r>
                    <w:rPr>
                      <w:rFonts w:hint="eastAsia"/>
                      <w:color w:val="auto"/>
                      <w:sz w:val="21"/>
                      <w:szCs w:val="21"/>
                      <w:highlight w:val="none"/>
                      <w:lang w:val="en-US" w:eastAsia="zh-CN"/>
                    </w:rPr>
                    <w:t>打磨房、烘干房等其他生产区域</w:t>
                  </w:r>
                  <w:r>
                    <w:rPr>
                      <w:rFonts w:hint="eastAsia"/>
                      <w:color w:val="auto"/>
                      <w:sz w:val="21"/>
                      <w:szCs w:val="21"/>
                      <w:highlight w:val="none"/>
                    </w:rPr>
                    <w:t>为一般防渗区</w:t>
                  </w:r>
                  <w:r>
                    <w:rPr>
                      <w:rFonts w:hint="eastAsia"/>
                      <w:color w:val="auto"/>
                      <w:sz w:val="21"/>
                      <w:szCs w:val="21"/>
                      <w:highlight w:val="none"/>
                      <w:lang w:eastAsia="zh-CN"/>
                    </w:rPr>
                    <w:t>，</w:t>
                  </w:r>
                  <w:r>
                    <w:rPr>
                      <w:rFonts w:hint="eastAsia"/>
                      <w:color w:val="auto"/>
                      <w:sz w:val="21"/>
                      <w:szCs w:val="21"/>
                      <w:highlight w:val="none"/>
                      <w:lang w:val="en-US" w:eastAsia="zh-CN"/>
                    </w:rPr>
                    <w:t>综合楼、厂区地面为简单防渗区</w:t>
                  </w:r>
                  <w:r>
                    <w:rPr>
                      <w:rFonts w:hint="eastAsia"/>
                      <w:color w:val="auto"/>
                      <w:sz w:val="21"/>
                      <w:szCs w:val="21"/>
                      <w:highlight w:val="none"/>
                    </w:rPr>
                    <w:t>。</w:t>
                  </w:r>
                </w:p>
                <w:p w14:paraId="38DC4FB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auto"/>
                      <w:sz w:val="21"/>
                      <w:szCs w:val="21"/>
                      <w:highlight w:val="none"/>
                      <w:lang w:val="en-US" w:eastAsia="zh-CN"/>
                    </w:rPr>
                  </w:pPr>
                  <w:r>
                    <w:rPr>
                      <w:rFonts w:hint="eastAsia" w:ascii="Times New Roman" w:hAnsi="Times New Roman" w:eastAsia="宋体"/>
                      <w:color w:val="auto"/>
                      <w:sz w:val="21"/>
                      <w:szCs w:val="21"/>
                      <w:highlight w:val="none"/>
                    </w:rPr>
                    <w:t>①</w:t>
                  </w:r>
                  <w:r>
                    <w:rPr>
                      <w:rFonts w:ascii="Times New Roman" w:hAnsi="Times New Roman" w:eastAsia="宋体"/>
                      <w:color w:val="auto"/>
                      <w:sz w:val="21"/>
                      <w:szCs w:val="21"/>
                      <w:highlight w:val="none"/>
                    </w:rPr>
                    <w:t>重点防渗区：</w:t>
                  </w:r>
                  <w:r>
                    <w:rPr>
                      <w:color w:val="auto"/>
                      <w:sz w:val="21"/>
                      <w:szCs w:val="21"/>
                      <w:highlight w:val="none"/>
                    </w:rPr>
                    <w:t>该分区需要做</w:t>
                  </w:r>
                  <w:r>
                    <w:rPr>
                      <w:rFonts w:hint="eastAsia"/>
                      <w:color w:val="auto"/>
                      <w:sz w:val="21"/>
                      <w:szCs w:val="21"/>
                      <w:highlight w:val="none"/>
                    </w:rPr>
                    <w:t>防</w:t>
                  </w:r>
                  <w:r>
                    <w:rPr>
                      <w:color w:val="auto"/>
                      <w:sz w:val="21"/>
                      <w:szCs w:val="21"/>
                      <w:highlight w:val="none"/>
                    </w:rPr>
                    <w:t>渗处理，</w:t>
                  </w:r>
                  <w:r>
                    <w:rPr>
                      <w:rFonts w:hint="eastAsia"/>
                      <w:color w:val="auto"/>
                      <w:sz w:val="21"/>
                      <w:szCs w:val="21"/>
                      <w:highlight w:val="none"/>
                      <w:lang w:val="en-US" w:eastAsia="zh-CN"/>
                    </w:rPr>
                    <w:t>油漆库、喷漆房</w:t>
                  </w:r>
                  <w:r>
                    <w:rPr>
                      <w:rFonts w:hint="eastAsia"/>
                      <w:color w:val="auto"/>
                      <w:sz w:val="21"/>
                      <w:szCs w:val="21"/>
                      <w:highlight w:val="none"/>
                    </w:rPr>
                    <w:t>地面</w:t>
                  </w:r>
                  <w:r>
                    <w:rPr>
                      <w:color w:val="auto"/>
                      <w:sz w:val="21"/>
                      <w:szCs w:val="21"/>
                      <w:highlight w:val="none"/>
                    </w:rPr>
                    <w:t>采取抗渗水泥</w:t>
                  </w:r>
                  <w:r>
                    <w:rPr>
                      <w:rFonts w:hint="eastAsia"/>
                      <w:color w:val="auto"/>
                      <w:sz w:val="21"/>
                      <w:szCs w:val="21"/>
                      <w:highlight w:val="none"/>
                    </w:rPr>
                    <w:t>（</w:t>
                  </w:r>
                  <w:r>
                    <w:rPr>
                      <w:color w:val="auto"/>
                      <w:sz w:val="21"/>
                      <w:szCs w:val="21"/>
                      <w:highlight w:val="none"/>
                    </w:rPr>
                    <w:t>20cm</w:t>
                  </w:r>
                  <w:r>
                    <w:rPr>
                      <w:rFonts w:hint="eastAsia"/>
                      <w:color w:val="auto"/>
                      <w:sz w:val="21"/>
                      <w:szCs w:val="21"/>
                      <w:highlight w:val="none"/>
                    </w:rPr>
                    <w:t>）+</w:t>
                  </w:r>
                  <w:r>
                    <w:rPr>
                      <w:color w:val="auto"/>
                      <w:sz w:val="21"/>
                      <w:szCs w:val="21"/>
                      <w:highlight w:val="none"/>
                    </w:rPr>
                    <w:t>土工膜（2mm）防渗</w:t>
                  </w:r>
                  <w:r>
                    <w:rPr>
                      <w:rFonts w:hint="eastAsia"/>
                      <w:color w:val="auto"/>
                      <w:sz w:val="21"/>
                      <w:szCs w:val="21"/>
                      <w:highlight w:val="none"/>
                    </w:rPr>
                    <w:t>，</w:t>
                  </w:r>
                  <w:r>
                    <w:rPr>
                      <w:color w:val="auto"/>
                      <w:sz w:val="21"/>
                      <w:szCs w:val="21"/>
                      <w:highlight w:val="none"/>
                    </w:rPr>
                    <w:t>防渗层渗透系数≤10</w:t>
                  </w:r>
                  <w:r>
                    <w:rPr>
                      <w:color w:val="auto"/>
                      <w:sz w:val="21"/>
                      <w:szCs w:val="21"/>
                      <w:highlight w:val="none"/>
                      <w:vertAlign w:val="superscript"/>
                    </w:rPr>
                    <w:t>-</w:t>
                  </w:r>
                  <w:r>
                    <w:rPr>
                      <w:rFonts w:hint="eastAsia"/>
                      <w:color w:val="auto"/>
                      <w:sz w:val="21"/>
                      <w:szCs w:val="21"/>
                      <w:highlight w:val="none"/>
                      <w:vertAlign w:val="superscript"/>
                    </w:rPr>
                    <w:t>7</w:t>
                  </w:r>
                  <w:r>
                    <w:rPr>
                      <w:color w:val="auto"/>
                      <w:sz w:val="21"/>
                      <w:szCs w:val="21"/>
                      <w:highlight w:val="none"/>
                    </w:rPr>
                    <w:t>cm/s</w:t>
                  </w:r>
                  <w:r>
                    <w:rPr>
                      <w:rFonts w:hint="eastAsia"/>
                      <w:color w:val="auto"/>
                      <w:sz w:val="21"/>
                      <w:szCs w:val="21"/>
                      <w:highlight w:val="none"/>
                    </w:rPr>
                    <w:t>；危废间</w:t>
                  </w:r>
                  <w:r>
                    <w:rPr>
                      <w:color w:val="auto"/>
                      <w:sz w:val="21"/>
                      <w:szCs w:val="21"/>
                      <w:highlight w:val="none"/>
                    </w:rPr>
                    <w:t>地面与裙脚采取表面防渗措施</w:t>
                  </w:r>
                  <w:r>
                    <w:rPr>
                      <w:rFonts w:hint="eastAsia"/>
                      <w:color w:val="auto"/>
                      <w:sz w:val="21"/>
                      <w:szCs w:val="21"/>
                      <w:highlight w:val="none"/>
                    </w:rPr>
                    <w:t>，</w:t>
                  </w:r>
                  <w:r>
                    <w:rPr>
                      <w:color w:val="auto"/>
                      <w:sz w:val="21"/>
                      <w:szCs w:val="21"/>
                      <w:highlight w:val="none"/>
                    </w:rPr>
                    <w:t>表面防渗材料与所接触的物料或污染物相容，可采用抗渗混凝土、高密度聚乙烯膜、钠基膨润土防水毯或其他防渗性能等效的材料</w:t>
                  </w:r>
                  <w:r>
                    <w:rPr>
                      <w:rFonts w:hint="eastAsia"/>
                      <w:color w:val="auto"/>
                      <w:sz w:val="21"/>
                      <w:szCs w:val="21"/>
                      <w:highlight w:val="none"/>
                    </w:rPr>
                    <w:t>，</w:t>
                  </w:r>
                  <w:r>
                    <w:rPr>
                      <w:color w:val="auto"/>
                      <w:sz w:val="21"/>
                      <w:szCs w:val="21"/>
                      <w:highlight w:val="none"/>
                    </w:rPr>
                    <w:t>贮存的危险废物直接接触地面的，进行基础防渗，防渗层为至少1m厚黏土层（渗透系数不大于10</w:t>
                  </w:r>
                  <w:r>
                    <w:rPr>
                      <w:color w:val="auto"/>
                      <w:sz w:val="21"/>
                      <w:szCs w:val="21"/>
                      <w:highlight w:val="none"/>
                      <w:vertAlign w:val="superscript"/>
                    </w:rPr>
                    <w:t>-7</w:t>
                  </w:r>
                  <w:r>
                    <w:rPr>
                      <w:color w:val="auto"/>
                      <w:sz w:val="21"/>
                      <w:szCs w:val="21"/>
                      <w:highlight w:val="none"/>
                    </w:rPr>
                    <w:t>cm/s），或至少2mm厚高密度聚乙烯膜等人工防渗材料（渗透系数不大于10</w:t>
                  </w:r>
                  <w:r>
                    <w:rPr>
                      <w:color w:val="auto"/>
                      <w:sz w:val="21"/>
                      <w:szCs w:val="21"/>
                      <w:highlight w:val="none"/>
                      <w:vertAlign w:val="superscript"/>
                    </w:rPr>
                    <w:t>-10</w:t>
                  </w:r>
                  <w:r>
                    <w:rPr>
                      <w:color w:val="auto"/>
                      <w:sz w:val="21"/>
                      <w:szCs w:val="21"/>
                      <w:highlight w:val="none"/>
                    </w:rPr>
                    <w:t>cm/s），或其他防渗性能等效的材料</w:t>
                  </w:r>
                  <w:r>
                    <w:rPr>
                      <w:rFonts w:hint="eastAsia"/>
                      <w:color w:val="auto"/>
                      <w:sz w:val="21"/>
                      <w:szCs w:val="21"/>
                      <w:highlight w:val="none"/>
                    </w:rPr>
                    <w:t>。</w:t>
                  </w:r>
                </w:p>
                <w:p w14:paraId="4A76C0E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②</w:t>
                  </w:r>
                  <w:r>
                    <w:rPr>
                      <w:rFonts w:ascii="Times New Roman" w:hAnsi="Times New Roman" w:eastAsia="宋体"/>
                      <w:color w:val="auto"/>
                      <w:sz w:val="21"/>
                      <w:szCs w:val="21"/>
                      <w:highlight w:val="none"/>
                    </w:rPr>
                    <w:t>一般防渗区：</w:t>
                  </w:r>
                  <w:r>
                    <w:rPr>
                      <w:rFonts w:hint="eastAsia"/>
                      <w:color w:val="auto"/>
                      <w:sz w:val="21"/>
                      <w:szCs w:val="21"/>
                      <w:highlight w:val="none"/>
                      <w:lang w:val="en-US" w:eastAsia="zh-CN"/>
                    </w:rPr>
                    <w:t>打磨房、烘干房等其他生产区域</w:t>
                  </w:r>
                  <w:r>
                    <w:rPr>
                      <w:rFonts w:ascii="Times New Roman" w:hAnsi="Times New Roman" w:eastAsia="宋体"/>
                      <w:color w:val="auto"/>
                      <w:sz w:val="21"/>
                      <w:szCs w:val="21"/>
                      <w:highlight w:val="none"/>
                    </w:rPr>
                    <w:t>进行基础防渗处理，需满足等效黏土防渗层Mb≥</w:t>
                  </w:r>
                  <w:r>
                    <w:rPr>
                      <w:rFonts w:hint="eastAsia"/>
                      <w:color w:val="auto"/>
                      <w:sz w:val="21"/>
                      <w:szCs w:val="21"/>
                      <w:highlight w:val="none"/>
                      <w:lang w:val="en-US" w:eastAsia="zh-CN"/>
                    </w:rPr>
                    <w:t>1.5</w:t>
                  </w:r>
                  <w:r>
                    <w:rPr>
                      <w:rFonts w:ascii="Times New Roman" w:hAnsi="Times New Roman" w:eastAsia="宋体"/>
                      <w:color w:val="auto"/>
                      <w:sz w:val="21"/>
                      <w:szCs w:val="21"/>
                      <w:highlight w:val="none"/>
                    </w:rPr>
                    <w:t>m，K≤1×10</w:t>
                  </w:r>
                  <w:r>
                    <w:rPr>
                      <w:rFonts w:ascii="Times New Roman" w:hAnsi="Times New Roman" w:eastAsia="宋体"/>
                      <w:color w:val="auto"/>
                      <w:sz w:val="21"/>
                      <w:szCs w:val="21"/>
                      <w:highlight w:val="none"/>
                      <w:vertAlign w:val="superscript"/>
                    </w:rPr>
                    <w:t>-7</w:t>
                  </w:r>
                  <w:r>
                    <w:rPr>
                      <w:rFonts w:ascii="Times New Roman" w:hAnsi="Times New Roman" w:eastAsia="宋体"/>
                      <w:color w:val="auto"/>
                      <w:sz w:val="21"/>
                      <w:szCs w:val="21"/>
                      <w:highlight w:val="none"/>
                    </w:rPr>
                    <w:t>cm/s</w:t>
                  </w:r>
                  <w:r>
                    <w:rPr>
                      <w:rFonts w:hint="eastAsia"/>
                      <w:color w:val="auto"/>
                      <w:sz w:val="21"/>
                      <w:szCs w:val="21"/>
                      <w:highlight w:val="none"/>
                      <w:lang w:eastAsia="zh-CN"/>
                    </w:rPr>
                    <w:t>。</w:t>
                  </w:r>
                </w:p>
                <w:p w14:paraId="62C4BB4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highlight w:val="none"/>
                      <w:lang w:val="en-US" w:eastAsia="zh-CN"/>
                    </w:rPr>
                  </w:pPr>
                  <w:r>
                    <w:rPr>
                      <w:rFonts w:hint="eastAsia" w:ascii="Times New Roman" w:hAnsi="Times New Roman" w:eastAsia="宋体"/>
                      <w:color w:val="auto"/>
                      <w:sz w:val="21"/>
                      <w:szCs w:val="21"/>
                      <w:highlight w:val="none"/>
                    </w:rPr>
                    <w:t>③</w:t>
                  </w:r>
                  <w:r>
                    <w:rPr>
                      <w:rFonts w:hint="eastAsia"/>
                      <w:color w:val="auto"/>
                      <w:sz w:val="21"/>
                      <w:szCs w:val="21"/>
                      <w:highlight w:val="none"/>
                      <w:lang w:val="en-US" w:eastAsia="zh-CN"/>
                    </w:rPr>
                    <w:t>简单防渗区：办公区地面硬化，综合楼、厂区地面非硬即绿。</w:t>
                  </w:r>
                </w:p>
              </w:tc>
            </w:tr>
            <w:tr w14:paraId="46486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1163" w:type="dxa"/>
                  <w:vAlign w:val="center"/>
                </w:tcPr>
                <w:p w14:paraId="51F0BC95">
                  <w:pPr>
                    <w:keepNext w:val="0"/>
                    <w:keepLines w:val="0"/>
                    <w:pageBreakBefore w:val="0"/>
                    <w:widowControl/>
                    <w:kinsoku/>
                    <w:wordWrap/>
                    <w:overflowPunct/>
                    <w:topLinePunct w:val="0"/>
                    <w:autoSpaceDN w:val="0"/>
                    <w:bidi w:val="0"/>
                    <w:snapToGrid/>
                    <w:spacing w:line="240" w:lineRule="auto"/>
                    <w:ind w:firstLine="0" w:firstLineChars="0"/>
                    <w:jc w:val="left"/>
                    <w:textAlignment w:val="auto"/>
                    <w:rPr>
                      <w:color w:val="auto"/>
                      <w:highlight w:val="none"/>
                    </w:rPr>
                  </w:pPr>
                </w:p>
              </w:tc>
              <w:tc>
                <w:tcPr>
                  <w:tcW w:w="1246" w:type="dxa"/>
                  <w:vAlign w:val="center"/>
                </w:tcPr>
                <w:p w14:paraId="71EBDE51">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风险</w:t>
                  </w:r>
                </w:p>
              </w:tc>
              <w:tc>
                <w:tcPr>
                  <w:tcW w:w="5868" w:type="dxa"/>
                  <w:gridSpan w:val="2"/>
                  <w:vAlign w:val="center"/>
                </w:tcPr>
                <w:p w14:paraId="0A25DB4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olor w:val="auto"/>
                      <w:sz w:val="21"/>
                      <w:szCs w:val="21"/>
                      <w:highlight w:val="none"/>
                    </w:rPr>
                  </w:pPr>
                  <w:r>
                    <w:rPr>
                      <w:rFonts w:hint="eastAsia"/>
                      <w:color w:val="auto"/>
                      <w:kern w:val="2"/>
                      <w:sz w:val="21"/>
                      <w:highlight w:val="none"/>
                    </w:rPr>
                    <w:t>企业</w:t>
                  </w:r>
                  <w:r>
                    <w:rPr>
                      <w:rFonts w:hint="eastAsia"/>
                      <w:color w:val="auto"/>
                      <w:kern w:val="2"/>
                      <w:sz w:val="21"/>
                      <w:highlight w:val="none"/>
                      <w:lang w:val="en-US" w:eastAsia="zh-CN"/>
                    </w:rPr>
                    <w:t>漆料</w:t>
                  </w:r>
                  <w:r>
                    <w:rPr>
                      <w:rFonts w:hint="eastAsia"/>
                      <w:color w:val="auto"/>
                      <w:kern w:val="2"/>
                      <w:sz w:val="21"/>
                      <w:highlight w:val="none"/>
                    </w:rPr>
                    <w:t>密闭桶装储存于</w:t>
                  </w:r>
                  <w:r>
                    <w:rPr>
                      <w:rFonts w:hint="eastAsia"/>
                      <w:color w:val="auto"/>
                      <w:kern w:val="2"/>
                      <w:sz w:val="21"/>
                      <w:highlight w:val="none"/>
                      <w:lang w:val="en-US" w:eastAsia="zh-CN"/>
                    </w:rPr>
                    <w:t>1#厂房内的油漆库</w:t>
                  </w:r>
                  <w:r>
                    <w:rPr>
                      <w:rFonts w:hint="eastAsia"/>
                      <w:color w:val="auto"/>
                      <w:kern w:val="2"/>
                      <w:sz w:val="21"/>
                      <w:highlight w:val="none"/>
                    </w:rPr>
                    <w:t>，</w:t>
                  </w:r>
                  <w:r>
                    <w:rPr>
                      <w:rFonts w:hint="eastAsia"/>
                      <w:color w:val="auto"/>
                      <w:kern w:val="2"/>
                      <w:sz w:val="21"/>
                      <w:highlight w:val="none"/>
                      <w:lang w:val="en-US" w:eastAsia="zh-CN"/>
                    </w:rPr>
                    <w:t>废稀释剂</w:t>
                  </w:r>
                  <w:r>
                    <w:rPr>
                      <w:rFonts w:hint="eastAsia"/>
                      <w:color w:val="auto"/>
                      <w:kern w:val="2"/>
                      <w:sz w:val="21"/>
                      <w:highlight w:val="none"/>
                    </w:rPr>
                    <w:t>桶装加盖，储存于危废间，并配备较好的设备和相应的抢险设施、风险物质储存区有防扬散、防流失、防渗漏等防治措施并参照国家标准《危险废物贮存污染控制标准》（GB18597-2023）和《危险废物收集贮存运输技术规范》（HJ2025-2012）的要求进行设计。</w:t>
                  </w:r>
                  <w:r>
                    <w:rPr>
                      <w:rFonts w:hint="eastAsia"/>
                      <w:color w:val="auto"/>
                      <w:kern w:val="2"/>
                      <w:sz w:val="21"/>
                      <w:highlight w:val="none"/>
                      <w:lang w:val="en-US" w:eastAsia="zh-CN"/>
                    </w:rPr>
                    <w:t>油漆库</w:t>
                  </w:r>
                  <w:r>
                    <w:rPr>
                      <w:rFonts w:hint="eastAsia"/>
                      <w:color w:val="auto"/>
                      <w:kern w:val="2"/>
                      <w:sz w:val="21"/>
                      <w:highlight w:val="none"/>
                    </w:rPr>
                    <w:t>、危废间还应保持地面平滑无开裂、采用刷环氧地坪漆等方式进行进一步的防渗处理，门口设置围挡或斜坡，如果发生泄漏事故，确保风险物质不会溢流出上述区域。</w:t>
                  </w:r>
                </w:p>
              </w:tc>
            </w:tr>
          </w:tbl>
          <w:p w14:paraId="0B2BC685">
            <w:pPr>
              <w:pStyle w:val="33"/>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14  本项目建成后全厂</w:t>
            </w:r>
            <w:r>
              <w:rPr>
                <w:rFonts w:hint="default"/>
                <w:color w:val="auto"/>
                <w:sz w:val="21"/>
                <w:szCs w:val="21"/>
                <w:highlight w:val="none"/>
              </w:rPr>
              <w:t>主要建构筑物一览表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619"/>
              <w:gridCol w:w="1650"/>
              <w:gridCol w:w="1515"/>
              <w:gridCol w:w="2778"/>
            </w:tblGrid>
            <w:tr w14:paraId="18908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715" w:type="dxa"/>
                  <w:tcBorders>
                    <w:tl2br w:val="nil"/>
                    <w:tr2bl w:val="nil"/>
                  </w:tcBorders>
                  <w:noWrap w:val="0"/>
                  <w:vAlign w:val="center"/>
                </w:tcPr>
                <w:p w14:paraId="07646AD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序号</w:t>
                  </w:r>
                </w:p>
              </w:tc>
              <w:tc>
                <w:tcPr>
                  <w:tcW w:w="1619" w:type="dxa"/>
                  <w:tcBorders>
                    <w:tl2br w:val="nil"/>
                    <w:tr2bl w:val="nil"/>
                  </w:tcBorders>
                  <w:noWrap w:val="0"/>
                  <w:vAlign w:val="center"/>
                </w:tcPr>
                <w:p w14:paraId="63D0FB5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名称</w:t>
                  </w:r>
                </w:p>
              </w:tc>
              <w:tc>
                <w:tcPr>
                  <w:tcW w:w="1650" w:type="dxa"/>
                  <w:tcBorders>
                    <w:tl2br w:val="nil"/>
                    <w:tr2bl w:val="nil"/>
                  </w:tcBorders>
                  <w:noWrap w:val="0"/>
                  <w:vAlign w:val="center"/>
                </w:tcPr>
                <w:p w14:paraId="4EB8F41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eastAsia"/>
                      <w:color w:val="auto"/>
                      <w:sz w:val="21"/>
                      <w:szCs w:val="21"/>
                      <w:highlight w:val="none"/>
                      <w:lang w:val="en-US" w:eastAsia="zh-CN"/>
                    </w:rPr>
                    <w:t>占地</w:t>
                  </w:r>
                  <w:r>
                    <w:rPr>
                      <w:rFonts w:hint="default"/>
                      <w:color w:val="auto"/>
                      <w:sz w:val="21"/>
                      <w:szCs w:val="21"/>
                      <w:highlight w:val="none"/>
                    </w:rPr>
                    <w:t>面积（m</w:t>
                  </w:r>
                  <w:r>
                    <w:rPr>
                      <w:rFonts w:hint="default"/>
                      <w:color w:val="auto"/>
                      <w:sz w:val="21"/>
                      <w:szCs w:val="21"/>
                      <w:highlight w:val="none"/>
                      <w:vertAlign w:val="superscript"/>
                    </w:rPr>
                    <w:t>2</w:t>
                  </w:r>
                  <w:r>
                    <w:rPr>
                      <w:rFonts w:hint="default"/>
                      <w:color w:val="auto"/>
                      <w:sz w:val="21"/>
                      <w:szCs w:val="21"/>
                      <w:highlight w:val="none"/>
                    </w:rPr>
                    <w:t>）</w:t>
                  </w:r>
                </w:p>
              </w:tc>
              <w:tc>
                <w:tcPr>
                  <w:tcW w:w="1515" w:type="dxa"/>
                  <w:tcBorders>
                    <w:tl2br w:val="nil"/>
                    <w:tr2bl w:val="nil"/>
                  </w:tcBorders>
                  <w:noWrap w:val="0"/>
                  <w:vAlign w:val="center"/>
                </w:tcPr>
                <w:p w14:paraId="1424207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建筑面积（</w:t>
                  </w:r>
                  <w:r>
                    <w:rPr>
                      <w:rFonts w:hint="default"/>
                      <w:color w:val="auto"/>
                      <w:sz w:val="21"/>
                      <w:szCs w:val="21"/>
                      <w:highlight w:val="none"/>
                    </w:rPr>
                    <w:t>m</w:t>
                  </w:r>
                  <w:r>
                    <w:rPr>
                      <w:rFonts w:hint="default"/>
                      <w:color w:val="auto"/>
                      <w:sz w:val="21"/>
                      <w:szCs w:val="21"/>
                      <w:highlight w:val="none"/>
                      <w:vertAlign w:val="superscript"/>
                    </w:rPr>
                    <w:t>2</w:t>
                  </w:r>
                  <w:r>
                    <w:rPr>
                      <w:rFonts w:hint="eastAsia"/>
                      <w:color w:val="auto"/>
                      <w:sz w:val="21"/>
                      <w:szCs w:val="21"/>
                      <w:highlight w:val="none"/>
                      <w:lang w:val="en-US" w:eastAsia="zh-CN"/>
                    </w:rPr>
                    <w:t>）</w:t>
                  </w:r>
                </w:p>
              </w:tc>
              <w:tc>
                <w:tcPr>
                  <w:tcW w:w="2778" w:type="dxa"/>
                  <w:tcBorders>
                    <w:tl2br w:val="nil"/>
                    <w:tr2bl w:val="nil"/>
                  </w:tcBorders>
                  <w:noWrap w:val="0"/>
                  <w:vAlign w:val="center"/>
                </w:tcPr>
                <w:p w14:paraId="457F1A3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备注</w:t>
                  </w:r>
                </w:p>
              </w:tc>
            </w:tr>
            <w:tr w14:paraId="75516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715" w:type="dxa"/>
                  <w:tcBorders>
                    <w:tl2br w:val="nil"/>
                    <w:tr2bl w:val="nil"/>
                  </w:tcBorders>
                  <w:noWrap w:val="0"/>
                  <w:vAlign w:val="center"/>
                </w:tcPr>
                <w:p w14:paraId="785CC03A">
                  <w:pPr>
                    <w:pStyle w:val="31"/>
                    <w:keepNext w:val="0"/>
                    <w:keepLines w:val="0"/>
                    <w:pageBreakBefore w:val="0"/>
                    <w:widowControl w:val="0"/>
                    <w:numPr>
                      <w:ilvl w:val="0"/>
                      <w:numId w:val="14"/>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619" w:type="dxa"/>
                  <w:tcBorders>
                    <w:tl2br w:val="nil"/>
                    <w:tr2bl w:val="nil"/>
                  </w:tcBorders>
                  <w:noWrap w:val="0"/>
                  <w:vAlign w:val="center"/>
                </w:tcPr>
                <w:p w14:paraId="0322B141">
                  <w:pPr>
                    <w:pStyle w:val="31"/>
                    <w:ind w:firstLine="0" w:firstLineChars="0"/>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智能机器人组装生产车间</w:t>
                  </w:r>
                </w:p>
              </w:tc>
              <w:tc>
                <w:tcPr>
                  <w:tcW w:w="1650" w:type="dxa"/>
                  <w:tcBorders>
                    <w:tl2br w:val="nil"/>
                    <w:tr2bl w:val="nil"/>
                  </w:tcBorders>
                  <w:noWrap w:val="0"/>
                  <w:vAlign w:val="center"/>
                </w:tcPr>
                <w:p w14:paraId="7EB7BEF6">
                  <w:pPr>
                    <w:pStyle w:val="31"/>
                    <w:ind w:firstLine="0" w:firstLineChars="0"/>
                    <w:rPr>
                      <w:rFonts w:hint="default" w:ascii="Times New Roman" w:hAnsi="Times New Roman" w:eastAsia="宋体" w:cs="Times New Roman"/>
                      <w:color w:val="auto"/>
                      <w:sz w:val="21"/>
                      <w:szCs w:val="21"/>
                      <w:highlight w:val="none"/>
                      <w:lang w:val="en-US" w:eastAsia="zh-CN"/>
                    </w:rPr>
                  </w:pPr>
                  <w:r>
                    <w:rPr>
                      <w:rFonts w:hint="eastAsia"/>
                      <w:color w:val="auto"/>
                      <w:sz w:val="21"/>
                      <w:highlight w:val="none"/>
                      <w:lang w:val="en-US" w:eastAsia="zh-CN"/>
                    </w:rPr>
                    <w:t>11098.94</w:t>
                  </w:r>
                </w:p>
              </w:tc>
              <w:tc>
                <w:tcPr>
                  <w:tcW w:w="1515" w:type="dxa"/>
                  <w:tcBorders>
                    <w:tl2br w:val="nil"/>
                    <w:tr2bl w:val="nil"/>
                  </w:tcBorders>
                  <w:noWrap w:val="0"/>
                  <w:vAlign w:val="center"/>
                </w:tcPr>
                <w:p w14:paraId="362EDDAD">
                  <w:pPr>
                    <w:pStyle w:val="31"/>
                    <w:ind w:firstLine="0" w:firstLineChars="0"/>
                    <w:rPr>
                      <w:rFonts w:hint="default" w:ascii="Times New Roman" w:hAnsi="Times New Roman" w:eastAsia="宋体" w:cs="Times New Roman"/>
                      <w:color w:val="auto"/>
                      <w:sz w:val="21"/>
                      <w:szCs w:val="21"/>
                      <w:highlight w:val="none"/>
                      <w:lang w:val="en-US" w:eastAsia="zh-CN"/>
                    </w:rPr>
                  </w:pPr>
                  <w:r>
                    <w:rPr>
                      <w:rFonts w:hint="eastAsia"/>
                      <w:color w:val="auto"/>
                      <w:sz w:val="21"/>
                      <w:highlight w:val="none"/>
                      <w:lang w:val="en-US" w:eastAsia="zh-CN"/>
                    </w:rPr>
                    <w:t>34290.75</w:t>
                  </w:r>
                </w:p>
              </w:tc>
              <w:tc>
                <w:tcPr>
                  <w:tcW w:w="2778" w:type="dxa"/>
                  <w:tcBorders>
                    <w:tl2br w:val="nil"/>
                    <w:tr2bl w:val="nil"/>
                  </w:tcBorders>
                  <w:noWrap w:val="0"/>
                  <w:vAlign w:val="center"/>
                </w:tcPr>
                <w:p w14:paraId="38F5661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5层，高23.8m，包含生产区、办公区综合服务区等</w:t>
                  </w:r>
                </w:p>
              </w:tc>
            </w:tr>
            <w:tr w14:paraId="462C7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1" w:hRule="atLeast"/>
                <w:jc w:val="center"/>
              </w:trPr>
              <w:tc>
                <w:tcPr>
                  <w:tcW w:w="715" w:type="dxa"/>
                  <w:tcBorders>
                    <w:tl2br w:val="nil"/>
                    <w:tr2bl w:val="nil"/>
                  </w:tcBorders>
                  <w:noWrap w:val="0"/>
                  <w:vAlign w:val="center"/>
                </w:tcPr>
                <w:p w14:paraId="2A652180">
                  <w:pPr>
                    <w:pStyle w:val="31"/>
                    <w:keepNext w:val="0"/>
                    <w:keepLines w:val="0"/>
                    <w:pageBreakBefore w:val="0"/>
                    <w:widowControl w:val="0"/>
                    <w:numPr>
                      <w:ilvl w:val="0"/>
                      <w:numId w:val="14"/>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619" w:type="dxa"/>
                  <w:tcBorders>
                    <w:tl2br w:val="nil"/>
                    <w:tr2bl w:val="nil"/>
                  </w:tcBorders>
                  <w:noWrap w:val="0"/>
                  <w:vAlign w:val="center"/>
                </w:tcPr>
                <w:p w14:paraId="192BB31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1#厂房</w:t>
                  </w:r>
                </w:p>
              </w:tc>
              <w:tc>
                <w:tcPr>
                  <w:tcW w:w="1650" w:type="dxa"/>
                  <w:tcBorders>
                    <w:tl2br w:val="nil"/>
                    <w:tr2bl w:val="nil"/>
                  </w:tcBorders>
                  <w:noWrap w:val="0"/>
                  <w:vAlign w:val="center"/>
                </w:tcPr>
                <w:p w14:paraId="6BB2F42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4096</w:t>
                  </w:r>
                </w:p>
              </w:tc>
              <w:tc>
                <w:tcPr>
                  <w:tcW w:w="1515" w:type="dxa"/>
                  <w:tcBorders>
                    <w:tl2br w:val="nil"/>
                    <w:tr2bl w:val="nil"/>
                  </w:tcBorders>
                  <w:noWrap w:val="0"/>
                  <w:vAlign w:val="center"/>
                </w:tcPr>
                <w:p w14:paraId="13412DC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4096</w:t>
                  </w:r>
                </w:p>
              </w:tc>
              <w:tc>
                <w:tcPr>
                  <w:tcW w:w="2778" w:type="dxa"/>
                  <w:tcBorders>
                    <w:tl2br w:val="nil"/>
                    <w:tr2bl w:val="nil"/>
                  </w:tcBorders>
                  <w:noWrap w:val="0"/>
                  <w:vAlign w:val="center"/>
                </w:tcPr>
                <w:p w14:paraId="69DD875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新建，一层，钢结构，建筑高度15.9m，内设2座喷漆房（</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），1座打磨房（</w:t>
                  </w:r>
                  <w:r>
                    <w:rPr>
                      <w:rFonts w:hint="eastAsia" w:ascii="Times New Roman" w:hAnsi="Times New Roman" w:cs="Times New Roman"/>
                      <w:bCs/>
                      <w:color w:val="auto"/>
                      <w:sz w:val="21"/>
                      <w:szCs w:val="21"/>
                      <w:highlight w:val="none"/>
                      <w:lang w:val="en-US" w:eastAsia="zh-CN"/>
                    </w:rPr>
                    <w:t>10</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），1座烘干房（</w:t>
                  </w:r>
                  <w:r>
                    <w:rPr>
                      <w:rFonts w:hint="eastAsia" w:ascii="Times New Roman" w:hAnsi="Times New Roman" w:cs="Times New Roman"/>
                      <w:bCs/>
                      <w:color w:val="auto"/>
                      <w:sz w:val="21"/>
                      <w:szCs w:val="21"/>
                      <w:highlight w:val="none"/>
                      <w:lang w:val="en-US" w:eastAsia="zh-CN"/>
                    </w:rPr>
                    <w:t>5</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），1座油漆库（</w:t>
                  </w:r>
                  <w:r>
                    <w:rPr>
                      <w:rFonts w:hint="eastAsia" w:cs="Times New Roman"/>
                      <w:bCs/>
                      <w:color w:val="auto"/>
                      <w:sz w:val="21"/>
                      <w:szCs w:val="21"/>
                      <w:highlight w:val="none"/>
                      <w:lang w:val="en-US" w:eastAsia="zh-CN"/>
                    </w:rPr>
                    <w:t>3.9</w:t>
                  </w:r>
                  <w:r>
                    <w:rPr>
                      <w:rFonts w:hint="default" w:ascii="Times New Roman" w:hAnsi="Times New Roman" w:cs="Times New Roman"/>
                      <w:bCs/>
                      <w:color w:val="auto"/>
                      <w:sz w:val="21"/>
                      <w:szCs w:val="21"/>
                      <w:highlight w:val="none"/>
                      <w:lang w:val="en-US" w:eastAsia="zh-CN"/>
                    </w:rPr>
                    <w:t>m×</w:t>
                  </w:r>
                  <w:r>
                    <w:rPr>
                      <w:rFonts w:hint="eastAsia"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lang w:val="en-US" w:eastAsia="zh-CN"/>
                    </w:rPr>
                    <w:t>m×</w:t>
                  </w:r>
                  <w:r>
                    <w:rPr>
                      <w:rFonts w:hint="eastAsia"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），1座危废间（3.9</w:t>
                  </w:r>
                  <w:r>
                    <w:rPr>
                      <w:rFonts w:hint="default" w:ascii="Times New Roman" w:hAnsi="Times New Roman" w:cs="Times New Roman"/>
                      <w:bCs/>
                      <w:color w:val="auto"/>
                      <w:sz w:val="21"/>
                      <w:szCs w:val="21"/>
                      <w:highlight w:val="none"/>
                      <w:lang w:val="en-US" w:eastAsia="zh-CN"/>
                    </w:rPr>
                    <w:t>m×</w:t>
                  </w:r>
                  <w:r>
                    <w:rPr>
                      <w:rFonts w:hint="eastAsia"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lang w:val="en-US" w:eastAsia="zh-CN"/>
                    </w:rPr>
                    <w:t>m×</w:t>
                  </w:r>
                  <w:r>
                    <w:rPr>
                      <w:rFonts w:hint="eastAsia"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lang w:val="en-US" w:eastAsia="zh-CN"/>
                    </w:rPr>
                    <w:t>m</w:t>
                  </w:r>
                  <w:r>
                    <w:rPr>
                      <w:rFonts w:hint="eastAsia"/>
                      <w:color w:val="auto"/>
                      <w:sz w:val="21"/>
                      <w:szCs w:val="21"/>
                      <w:highlight w:val="none"/>
                      <w:lang w:val="en-US" w:eastAsia="zh-CN"/>
                    </w:rPr>
                    <w:t>）</w:t>
                  </w:r>
                </w:p>
              </w:tc>
            </w:tr>
            <w:tr w14:paraId="28B17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15" w:type="dxa"/>
                  <w:tcBorders>
                    <w:tl2br w:val="nil"/>
                    <w:tr2bl w:val="nil"/>
                  </w:tcBorders>
                  <w:noWrap w:val="0"/>
                  <w:vAlign w:val="center"/>
                </w:tcPr>
                <w:p w14:paraId="6225FDE1">
                  <w:pPr>
                    <w:pStyle w:val="31"/>
                    <w:keepNext w:val="0"/>
                    <w:keepLines w:val="0"/>
                    <w:pageBreakBefore w:val="0"/>
                    <w:widowControl w:val="0"/>
                    <w:numPr>
                      <w:ilvl w:val="0"/>
                      <w:numId w:val="14"/>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619" w:type="dxa"/>
                  <w:tcBorders>
                    <w:tl2br w:val="nil"/>
                    <w:tr2bl w:val="nil"/>
                  </w:tcBorders>
                  <w:noWrap w:val="0"/>
                  <w:vAlign w:val="center"/>
                </w:tcPr>
                <w:p w14:paraId="3E457C2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2#厂房</w:t>
                  </w:r>
                </w:p>
              </w:tc>
              <w:tc>
                <w:tcPr>
                  <w:tcW w:w="1650" w:type="dxa"/>
                  <w:tcBorders>
                    <w:tl2br w:val="nil"/>
                    <w:tr2bl w:val="nil"/>
                  </w:tcBorders>
                  <w:noWrap w:val="0"/>
                  <w:vAlign w:val="center"/>
                </w:tcPr>
                <w:p w14:paraId="3060EFB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4672</w:t>
                  </w:r>
                </w:p>
              </w:tc>
              <w:tc>
                <w:tcPr>
                  <w:tcW w:w="1515" w:type="dxa"/>
                  <w:tcBorders>
                    <w:tl2br w:val="nil"/>
                    <w:tr2bl w:val="nil"/>
                  </w:tcBorders>
                  <w:noWrap w:val="0"/>
                  <w:vAlign w:val="center"/>
                </w:tcPr>
                <w:p w14:paraId="2509DC2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4672</w:t>
                  </w:r>
                </w:p>
              </w:tc>
              <w:tc>
                <w:tcPr>
                  <w:tcW w:w="2778" w:type="dxa"/>
                  <w:tcBorders>
                    <w:tl2br w:val="nil"/>
                    <w:tr2bl w:val="nil"/>
                  </w:tcBorders>
                  <w:noWrap w:val="0"/>
                  <w:vAlign w:val="center"/>
                </w:tcPr>
                <w:p w14:paraId="39C7EE1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新建，一层，钢结构，建筑高度15.9m</w:t>
                  </w:r>
                </w:p>
              </w:tc>
            </w:tr>
            <w:tr w14:paraId="39323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5" w:type="dxa"/>
                  <w:tcBorders>
                    <w:tl2br w:val="nil"/>
                    <w:tr2bl w:val="nil"/>
                  </w:tcBorders>
                  <w:noWrap w:val="0"/>
                  <w:vAlign w:val="center"/>
                </w:tcPr>
                <w:p w14:paraId="7360965C">
                  <w:pPr>
                    <w:pStyle w:val="31"/>
                    <w:keepNext w:val="0"/>
                    <w:keepLines w:val="0"/>
                    <w:pageBreakBefore w:val="0"/>
                    <w:widowControl w:val="0"/>
                    <w:numPr>
                      <w:ilvl w:val="0"/>
                      <w:numId w:val="14"/>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619" w:type="dxa"/>
                  <w:tcBorders>
                    <w:tl2br w:val="nil"/>
                    <w:tr2bl w:val="nil"/>
                  </w:tcBorders>
                  <w:noWrap w:val="0"/>
                  <w:vAlign w:val="center"/>
                </w:tcPr>
                <w:p w14:paraId="34D2D3D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综合楼</w:t>
                  </w:r>
                </w:p>
              </w:tc>
              <w:tc>
                <w:tcPr>
                  <w:tcW w:w="1650" w:type="dxa"/>
                  <w:tcBorders>
                    <w:tl2br w:val="nil"/>
                    <w:tr2bl w:val="nil"/>
                  </w:tcBorders>
                  <w:noWrap w:val="0"/>
                  <w:vAlign w:val="center"/>
                </w:tcPr>
                <w:p w14:paraId="46C4432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1361.52</w:t>
                  </w:r>
                </w:p>
              </w:tc>
              <w:tc>
                <w:tcPr>
                  <w:tcW w:w="1515" w:type="dxa"/>
                  <w:tcBorders>
                    <w:tl2br w:val="nil"/>
                    <w:tr2bl w:val="nil"/>
                  </w:tcBorders>
                  <w:noWrap w:val="0"/>
                  <w:vAlign w:val="center"/>
                </w:tcPr>
                <w:p w14:paraId="5C7BA6A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4084.56</w:t>
                  </w:r>
                </w:p>
              </w:tc>
              <w:tc>
                <w:tcPr>
                  <w:tcW w:w="2778" w:type="dxa"/>
                  <w:tcBorders>
                    <w:tl2br w:val="nil"/>
                    <w:tr2bl w:val="nil"/>
                  </w:tcBorders>
                  <w:noWrap w:val="0"/>
                  <w:vAlign w:val="center"/>
                </w:tcPr>
                <w:p w14:paraId="20B0A25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新建，三层，钢结构，建筑高度16.75m</w:t>
                  </w:r>
                </w:p>
              </w:tc>
            </w:tr>
          </w:tbl>
          <w:p w14:paraId="0E4C0AAF">
            <w:pPr>
              <w:bidi w:val="0"/>
              <w:rPr>
                <w:rFonts w:hint="eastAsia"/>
                <w:color w:val="auto"/>
                <w:lang w:val="en-US" w:eastAsia="zh-CN"/>
              </w:rPr>
            </w:pPr>
            <w:r>
              <w:rPr>
                <w:rFonts w:hint="eastAsia"/>
                <w:color w:val="auto"/>
                <w:highlight w:val="none"/>
                <w:lang w:val="en-US" w:eastAsia="zh-CN"/>
              </w:rPr>
              <w:t>6、主要产品及产能：本项目建成后产品种类、产能均不发生变化，仅根据产品需求，对需喷涂产品的壳体进行除锈、除油、喷漆表面处理，</w:t>
            </w:r>
            <w:r>
              <w:rPr>
                <w:rFonts w:hint="eastAsia"/>
                <w:color w:val="auto"/>
                <w:lang w:val="en-US" w:eastAsia="zh-CN"/>
              </w:rPr>
              <w:t>主要产品明细见下表。</w:t>
            </w:r>
          </w:p>
          <w:p w14:paraId="04E38109">
            <w:pPr>
              <w:pStyle w:val="33"/>
              <w:bidi w:val="0"/>
              <w:rPr>
                <w:color w:val="auto"/>
                <w:highlight w:val="none"/>
              </w:rPr>
            </w:pPr>
            <w:r>
              <w:rPr>
                <w:rFonts w:hint="eastAsia"/>
                <w:color w:val="auto"/>
                <w:highlight w:val="none"/>
              </w:rPr>
              <w:t>表</w:t>
            </w:r>
            <w:r>
              <w:rPr>
                <w:rFonts w:hint="eastAsia"/>
                <w:color w:val="auto"/>
                <w:highlight w:val="none"/>
                <w:lang w:val="en-US" w:eastAsia="zh-CN"/>
              </w:rPr>
              <w:t>15</w:t>
            </w:r>
            <w:r>
              <w:rPr>
                <w:rFonts w:hint="eastAsia"/>
                <w:color w:val="auto"/>
                <w:highlight w:val="none"/>
              </w:rPr>
              <w:t xml:space="preserve">  </w:t>
            </w:r>
            <w:r>
              <w:rPr>
                <w:rFonts w:hint="eastAsia"/>
                <w:color w:val="auto"/>
                <w:highlight w:val="none"/>
                <w:lang w:val="en-US" w:eastAsia="zh-CN"/>
              </w:rPr>
              <w:t>项目</w:t>
            </w:r>
            <w:r>
              <w:rPr>
                <w:color w:val="auto"/>
                <w:highlight w:val="none"/>
              </w:rPr>
              <w:t>主要</w:t>
            </w:r>
            <w:r>
              <w:rPr>
                <w:rFonts w:hint="eastAsia"/>
                <w:color w:val="auto"/>
                <w:highlight w:val="none"/>
                <w:lang w:val="en-US" w:eastAsia="zh-CN"/>
              </w:rPr>
              <w:t>产品明细</w:t>
            </w:r>
            <w:r>
              <w:rPr>
                <w:color w:val="auto"/>
                <w:highlight w:val="none"/>
              </w:rPr>
              <w:t>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790"/>
              <w:gridCol w:w="2310"/>
              <w:gridCol w:w="2512"/>
            </w:tblGrid>
            <w:tr w14:paraId="151D4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0" w:hRule="atLeast"/>
                <w:tblHeader/>
                <w:jc w:val="center"/>
              </w:trPr>
              <w:tc>
                <w:tcPr>
                  <w:tcW w:w="665" w:type="dxa"/>
                  <w:tcBorders>
                    <w:tl2br w:val="nil"/>
                    <w:tr2bl w:val="nil"/>
                  </w:tcBorders>
                  <w:noWrap w:val="0"/>
                  <w:vAlign w:val="center"/>
                </w:tcPr>
                <w:p w14:paraId="5AB3904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序号</w:t>
                  </w:r>
                </w:p>
              </w:tc>
              <w:tc>
                <w:tcPr>
                  <w:tcW w:w="2790" w:type="dxa"/>
                  <w:tcBorders>
                    <w:tl2br w:val="nil"/>
                    <w:tr2bl w:val="nil"/>
                  </w:tcBorders>
                  <w:noWrap w:val="0"/>
                  <w:vAlign w:val="center"/>
                </w:tcPr>
                <w:p w14:paraId="3E46F6D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名称</w:t>
                  </w:r>
                </w:p>
              </w:tc>
              <w:tc>
                <w:tcPr>
                  <w:tcW w:w="2310" w:type="dxa"/>
                  <w:tcBorders>
                    <w:tl2br w:val="nil"/>
                    <w:tr2bl w:val="nil"/>
                  </w:tcBorders>
                  <w:noWrap w:val="0"/>
                  <w:vAlign w:val="center"/>
                </w:tcPr>
                <w:p w14:paraId="0A505F9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数量（台/套）</w:t>
                  </w:r>
                </w:p>
              </w:tc>
              <w:tc>
                <w:tcPr>
                  <w:tcW w:w="2512" w:type="dxa"/>
                  <w:tcBorders>
                    <w:tl2br w:val="nil"/>
                    <w:tr2bl w:val="nil"/>
                  </w:tcBorders>
                  <w:noWrap w:val="0"/>
                  <w:vAlign w:val="center"/>
                </w:tcPr>
                <w:p w14:paraId="6DE3C2B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备注</w:t>
                  </w:r>
                </w:p>
              </w:tc>
            </w:tr>
            <w:tr w14:paraId="19DCC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65" w:type="dxa"/>
                  <w:tcBorders>
                    <w:tl2br w:val="nil"/>
                    <w:tr2bl w:val="nil"/>
                  </w:tcBorders>
                  <w:noWrap w:val="0"/>
                  <w:vAlign w:val="center"/>
                </w:tcPr>
                <w:p w14:paraId="7858C75D">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302ABF8C">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消防侦查灭火机器人</w:t>
                  </w:r>
                </w:p>
              </w:tc>
              <w:tc>
                <w:tcPr>
                  <w:tcW w:w="2310" w:type="dxa"/>
                  <w:tcBorders>
                    <w:tl2br w:val="nil"/>
                    <w:tr2bl w:val="nil"/>
                  </w:tcBorders>
                  <w:noWrap w:val="0"/>
                  <w:vAlign w:val="center"/>
                </w:tcPr>
                <w:p w14:paraId="10C39813">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12000</w:t>
                  </w:r>
                </w:p>
              </w:tc>
              <w:tc>
                <w:tcPr>
                  <w:tcW w:w="2512" w:type="dxa"/>
                  <w:vMerge w:val="restart"/>
                  <w:tcBorders>
                    <w:tl2br w:val="nil"/>
                    <w:tr2bl w:val="nil"/>
                  </w:tcBorders>
                  <w:noWrap w:val="0"/>
                  <w:vAlign w:val="center"/>
                </w:tcPr>
                <w:p w14:paraId="5920C5C1">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由本体、水泡、摄像、控制箱组成</w:t>
                  </w:r>
                </w:p>
              </w:tc>
            </w:tr>
            <w:tr w14:paraId="74D90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65" w:type="dxa"/>
                  <w:tcBorders>
                    <w:tl2br w:val="nil"/>
                    <w:tr2bl w:val="nil"/>
                  </w:tcBorders>
                  <w:noWrap w:val="0"/>
                  <w:vAlign w:val="center"/>
                </w:tcPr>
                <w:p w14:paraId="076BF1D1">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0EFE42F3">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防爆消防侦察灭火机器人</w:t>
                  </w:r>
                </w:p>
              </w:tc>
              <w:tc>
                <w:tcPr>
                  <w:tcW w:w="2310" w:type="dxa"/>
                  <w:tcBorders>
                    <w:tl2br w:val="nil"/>
                    <w:tr2bl w:val="nil"/>
                  </w:tcBorders>
                  <w:noWrap w:val="0"/>
                  <w:vAlign w:val="center"/>
                </w:tcPr>
                <w:p w14:paraId="0131AD4D">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800</w:t>
                  </w:r>
                </w:p>
              </w:tc>
              <w:tc>
                <w:tcPr>
                  <w:tcW w:w="2512" w:type="dxa"/>
                  <w:vMerge w:val="continue"/>
                  <w:tcBorders>
                    <w:tl2br w:val="nil"/>
                    <w:tr2bl w:val="nil"/>
                  </w:tcBorders>
                  <w:noWrap w:val="0"/>
                  <w:vAlign w:val="center"/>
                </w:tcPr>
                <w:p w14:paraId="41AD7450">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2FA17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2937D612">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35FF5BA6">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防爆消防排烟机器人</w:t>
                  </w:r>
                </w:p>
              </w:tc>
              <w:tc>
                <w:tcPr>
                  <w:tcW w:w="2310" w:type="dxa"/>
                  <w:tcBorders>
                    <w:tl2br w:val="nil"/>
                    <w:tr2bl w:val="nil"/>
                  </w:tcBorders>
                  <w:noWrap w:val="0"/>
                  <w:vAlign w:val="center"/>
                </w:tcPr>
                <w:p w14:paraId="493315CE">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800</w:t>
                  </w:r>
                </w:p>
              </w:tc>
              <w:tc>
                <w:tcPr>
                  <w:tcW w:w="2512" w:type="dxa"/>
                  <w:vMerge w:val="continue"/>
                  <w:tcBorders>
                    <w:tl2br w:val="nil"/>
                    <w:tr2bl w:val="nil"/>
                  </w:tcBorders>
                  <w:noWrap w:val="0"/>
                  <w:vAlign w:val="center"/>
                </w:tcPr>
                <w:p w14:paraId="6A64B52B">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40AB1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2EA61627">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6092DAFE">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防爆侦测机器人</w:t>
                  </w:r>
                </w:p>
              </w:tc>
              <w:tc>
                <w:tcPr>
                  <w:tcW w:w="2310" w:type="dxa"/>
                  <w:tcBorders>
                    <w:tl2br w:val="nil"/>
                    <w:tr2bl w:val="nil"/>
                  </w:tcBorders>
                  <w:noWrap w:val="0"/>
                  <w:vAlign w:val="center"/>
                </w:tcPr>
                <w:p w14:paraId="3C862575">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2512" w:type="dxa"/>
                  <w:vMerge w:val="continue"/>
                  <w:tcBorders>
                    <w:tl2br w:val="nil"/>
                    <w:tr2bl w:val="nil"/>
                  </w:tcBorders>
                  <w:noWrap w:val="0"/>
                  <w:vAlign w:val="center"/>
                </w:tcPr>
                <w:p w14:paraId="42FC828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014D3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17E881FC">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7798817A">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轨道巡检机器人</w:t>
                  </w:r>
                </w:p>
              </w:tc>
              <w:tc>
                <w:tcPr>
                  <w:tcW w:w="2310" w:type="dxa"/>
                  <w:tcBorders>
                    <w:tl2br w:val="nil"/>
                    <w:tr2bl w:val="nil"/>
                  </w:tcBorders>
                  <w:noWrap w:val="0"/>
                  <w:vAlign w:val="center"/>
                </w:tcPr>
                <w:p w14:paraId="7E0C8A4B">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2512" w:type="dxa"/>
                  <w:vMerge w:val="restart"/>
                  <w:tcBorders>
                    <w:tl2br w:val="nil"/>
                    <w:tr2bl w:val="nil"/>
                  </w:tcBorders>
                  <w:noWrap w:val="0"/>
                  <w:vAlign w:val="center"/>
                </w:tcPr>
                <w:p w14:paraId="48D373E2">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由本体、摄像、控制箱组成</w:t>
                  </w:r>
                </w:p>
              </w:tc>
            </w:tr>
            <w:tr w14:paraId="1CBF9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1F7B4129">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2A5193B2">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水下探测机器人</w:t>
                  </w:r>
                </w:p>
              </w:tc>
              <w:tc>
                <w:tcPr>
                  <w:tcW w:w="2310" w:type="dxa"/>
                  <w:tcBorders>
                    <w:tl2br w:val="nil"/>
                    <w:tr2bl w:val="nil"/>
                  </w:tcBorders>
                  <w:noWrap w:val="0"/>
                  <w:vAlign w:val="center"/>
                </w:tcPr>
                <w:p w14:paraId="2FB35CBC">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2512" w:type="dxa"/>
                  <w:vMerge w:val="continue"/>
                  <w:tcBorders>
                    <w:tl2br w:val="nil"/>
                    <w:tr2bl w:val="nil"/>
                  </w:tcBorders>
                  <w:noWrap w:val="0"/>
                  <w:vAlign w:val="center"/>
                </w:tcPr>
                <w:p w14:paraId="41897DE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26B6F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77BB4B1C">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3A11DD5C">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钻孔探测机器人</w:t>
                  </w:r>
                </w:p>
              </w:tc>
              <w:tc>
                <w:tcPr>
                  <w:tcW w:w="2310" w:type="dxa"/>
                  <w:tcBorders>
                    <w:tl2br w:val="nil"/>
                    <w:tr2bl w:val="nil"/>
                  </w:tcBorders>
                  <w:noWrap w:val="0"/>
                  <w:vAlign w:val="center"/>
                </w:tcPr>
                <w:p w14:paraId="34F5F4C5">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2512" w:type="dxa"/>
                  <w:vMerge w:val="continue"/>
                  <w:tcBorders>
                    <w:tl2br w:val="nil"/>
                    <w:tr2bl w:val="nil"/>
                  </w:tcBorders>
                  <w:noWrap w:val="0"/>
                  <w:vAlign w:val="center"/>
                </w:tcPr>
                <w:p w14:paraId="3E42F4E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00711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623242B8">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5DBED2D1">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管道机器人</w:t>
                  </w:r>
                </w:p>
              </w:tc>
              <w:tc>
                <w:tcPr>
                  <w:tcW w:w="2310" w:type="dxa"/>
                  <w:tcBorders>
                    <w:tl2br w:val="nil"/>
                    <w:tr2bl w:val="nil"/>
                  </w:tcBorders>
                  <w:noWrap w:val="0"/>
                  <w:vAlign w:val="center"/>
                </w:tcPr>
                <w:p w14:paraId="55094665">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2512" w:type="dxa"/>
                  <w:vMerge w:val="continue"/>
                  <w:tcBorders>
                    <w:tl2br w:val="nil"/>
                    <w:tr2bl w:val="nil"/>
                  </w:tcBorders>
                  <w:noWrap w:val="0"/>
                  <w:vAlign w:val="center"/>
                </w:tcPr>
                <w:p w14:paraId="1DE1F95E">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6DE50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3E39A831">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6ACBDFF8">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灾区侦测机器人</w:t>
                  </w:r>
                </w:p>
              </w:tc>
              <w:tc>
                <w:tcPr>
                  <w:tcW w:w="2310" w:type="dxa"/>
                  <w:tcBorders>
                    <w:tl2br w:val="nil"/>
                    <w:tr2bl w:val="nil"/>
                  </w:tcBorders>
                  <w:noWrap w:val="0"/>
                  <w:vAlign w:val="center"/>
                </w:tcPr>
                <w:p w14:paraId="512AD464">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2512" w:type="dxa"/>
                  <w:vMerge w:val="continue"/>
                  <w:tcBorders>
                    <w:tl2br w:val="nil"/>
                    <w:tr2bl w:val="nil"/>
                  </w:tcBorders>
                  <w:noWrap w:val="0"/>
                  <w:vAlign w:val="center"/>
                </w:tcPr>
                <w:p w14:paraId="7694F76A">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p>
              </w:tc>
            </w:tr>
            <w:tr w14:paraId="168AC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65" w:type="dxa"/>
                  <w:tcBorders>
                    <w:tl2br w:val="nil"/>
                    <w:tr2bl w:val="nil"/>
                  </w:tcBorders>
                  <w:noWrap w:val="0"/>
                  <w:vAlign w:val="center"/>
                </w:tcPr>
                <w:p w14:paraId="5E8DF341">
                  <w:pPr>
                    <w:pStyle w:val="31"/>
                    <w:keepNext w:val="0"/>
                    <w:keepLines w:val="0"/>
                    <w:pageBreakBefore w:val="0"/>
                    <w:widowControl w:val="0"/>
                    <w:numPr>
                      <w:ilvl w:val="0"/>
                      <w:numId w:val="1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2790" w:type="dxa"/>
                  <w:tcBorders>
                    <w:tl2br w:val="nil"/>
                    <w:tr2bl w:val="nil"/>
                  </w:tcBorders>
                  <w:noWrap w:val="0"/>
                  <w:vAlign w:val="center"/>
                </w:tcPr>
                <w:p w14:paraId="37CD4F13">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合计</w:t>
                  </w:r>
                </w:p>
              </w:tc>
              <w:tc>
                <w:tcPr>
                  <w:tcW w:w="2310" w:type="dxa"/>
                  <w:tcBorders>
                    <w:tl2br w:val="nil"/>
                    <w:tr2bl w:val="nil"/>
                  </w:tcBorders>
                  <w:noWrap w:val="0"/>
                  <w:vAlign w:val="center"/>
                </w:tcPr>
                <w:p w14:paraId="5242285F">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15000</w:t>
                  </w:r>
                </w:p>
              </w:tc>
              <w:tc>
                <w:tcPr>
                  <w:tcW w:w="2512" w:type="dxa"/>
                  <w:tcBorders>
                    <w:tl2br w:val="nil"/>
                    <w:tr2bl w:val="nil"/>
                  </w:tcBorders>
                  <w:noWrap w:val="0"/>
                  <w:vAlign w:val="center"/>
                </w:tcPr>
                <w:p w14:paraId="2CBACD03">
                  <w:pPr>
                    <w:pStyle w:val="3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14:paraId="37B94403">
            <w:pPr>
              <w:bidi w:val="0"/>
              <w:rPr>
                <w:rFonts w:hint="default"/>
                <w:color w:val="auto"/>
                <w:highlight w:val="none"/>
                <w:lang w:val="en-US"/>
              </w:rPr>
            </w:pPr>
            <w:r>
              <w:rPr>
                <w:rFonts w:hint="eastAsia"/>
                <w:color w:val="auto"/>
                <w:sz w:val="24"/>
                <w:szCs w:val="24"/>
                <w:highlight w:val="none"/>
                <w:lang w:val="en-US" w:eastAsia="zh-CN"/>
              </w:rPr>
              <w:t>7、</w:t>
            </w:r>
            <w:r>
              <w:rPr>
                <w:rFonts w:hint="default"/>
                <w:color w:val="auto"/>
                <w:sz w:val="24"/>
                <w:szCs w:val="24"/>
                <w:highlight w:val="none"/>
              </w:rPr>
              <w:t>工作制度及定员：</w:t>
            </w:r>
            <w:r>
              <w:rPr>
                <w:rFonts w:hint="eastAsia"/>
                <w:color w:val="auto"/>
                <w:sz w:val="24"/>
                <w:szCs w:val="24"/>
                <w:highlight w:val="none"/>
                <w:lang w:val="en-US" w:eastAsia="zh-CN"/>
              </w:rPr>
              <w:t>本项目建成后，工作制度及劳动定员均不发生变化，仍为</w:t>
            </w:r>
            <w:r>
              <w:rPr>
                <w:rFonts w:hint="default"/>
                <w:color w:val="auto"/>
              </w:rPr>
              <w:t>年工作</w:t>
            </w:r>
            <w:r>
              <w:rPr>
                <w:rFonts w:hint="eastAsia"/>
                <w:color w:val="auto"/>
                <w:lang w:val="en-US" w:eastAsia="zh-CN"/>
              </w:rPr>
              <w:t>250</w:t>
            </w:r>
            <w:r>
              <w:rPr>
                <w:rFonts w:hint="default"/>
                <w:color w:val="auto"/>
              </w:rPr>
              <w:t>天，</w:t>
            </w:r>
            <w:r>
              <w:rPr>
                <w:rFonts w:hint="eastAsia"/>
                <w:color w:val="auto"/>
                <w:lang w:val="en-US" w:eastAsia="zh-CN"/>
              </w:rPr>
              <w:t>劳动定员300人，工作时间8h/d</w:t>
            </w:r>
            <w:r>
              <w:rPr>
                <w:rFonts w:hint="eastAsia"/>
                <w:color w:val="auto"/>
                <w:sz w:val="24"/>
                <w:szCs w:val="24"/>
                <w:highlight w:val="none"/>
                <w:lang w:val="en-US" w:eastAsia="zh-CN"/>
              </w:rPr>
              <w:t>。</w:t>
            </w:r>
          </w:p>
          <w:p w14:paraId="3779C6D9">
            <w:pPr>
              <w:bidi w:val="0"/>
              <w:rPr>
                <w:rFonts w:hint="default"/>
                <w:color w:val="auto"/>
                <w:sz w:val="24"/>
                <w:szCs w:val="24"/>
                <w:highlight w:val="none"/>
              </w:rPr>
            </w:pPr>
            <w:r>
              <w:rPr>
                <w:rFonts w:hint="eastAsia"/>
                <w:color w:val="auto"/>
                <w:sz w:val="24"/>
                <w:szCs w:val="24"/>
                <w:highlight w:val="none"/>
                <w:lang w:val="en-US" w:eastAsia="zh-CN"/>
              </w:rPr>
              <w:t>8、</w:t>
            </w:r>
            <w:r>
              <w:rPr>
                <w:rFonts w:hint="default"/>
                <w:color w:val="auto"/>
                <w:sz w:val="24"/>
                <w:szCs w:val="24"/>
                <w:highlight w:val="none"/>
              </w:rPr>
              <w:t>主要原辅材料及能源消耗</w:t>
            </w:r>
          </w:p>
          <w:p w14:paraId="4871B24D">
            <w:pPr>
              <w:bidi w:val="0"/>
              <w:rPr>
                <w:rFonts w:hint="default"/>
                <w:color w:val="auto"/>
                <w:sz w:val="24"/>
                <w:szCs w:val="24"/>
                <w:highlight w:val="none"/>
              </w:rPr>
            </w:pPr>
            <w:r>
              <w:rPr>
                <w:rFonts w:hint="eastAsia"/>
                <w:color w:val="auto"/>
                <w:sz w:val="24"/>
                <w:szCs w:val="24"/>
                <w:highlight w:val="none"/>
                <w:lang w:val="en-US" w:eastAsia="zh-CN"/>
              </w:rPr>
              <w:t>本项目主要原辅材料消耗情况</w:t>
            </w:r>
            <w:r>
              <w:rPr>
                <w:rFonts w:hint="default"/>
                <w:color w:val="auto"/>
                <w:sz w:val="24"/>
                <w:szCs w:val="24"/>
                <w:highlight w:val="none"/>
              </w:rPr>
              <w:t>见下表。</w:t>
            </w:r>
          </w:p>
          <w:p w14:paraId="5DD0DFA8">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表</w:t>
            </w:r>
            <w:r>
              <w:rPr>
                <w:rFonts w:hint="eastAsia"/>
                <w:b/>
                <w:bCs/>
                <w:color w:val="auto"/>
                <w:sz w:val="21"/>
                <w:szCs w:val="21"/>
                <w:highlight w:val="none"/>
                <w:lang w:val="en-US" w:eastAsia="zh-CN"/>
              </w:rPr>
              <w:t>16  本项目主要原辅材料及能源消耗情况</w:t>
            </w:r>
            <w:r>
              <w:rPr>
                <w:rFonts w:hint="default"/>
                <w:b/>
                <w:bCs/>
                <w:color w:val="auto"/>
                <w:sz w:val="21"/>
                <w:szCs w:val="21"/>
                <w:highlight w:val="none"/>
              </w:rPr>
              <w:t>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07"/>
              <w:gridCol w:w="740"/>
              <w:gridCol w:w="1620"/>
              <w:gridCol w:w="1110"/>
              <w:gridCol w:w="750"/>
              <w:gridCol w:w="690"/>
              <w:gridCol w:w="2660"/>
            </w:tblGrid>
            <w:tr w14:paraId="4D7342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14:paraId="379157B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序号</w:t>
                  </w:r>
                </w:p>
              </w:tc>
              <w:tc>
                <w:tcPr>
                  <w:tcW w:w="2360" w:type="dxa"/>
                  <w:gridSpan w:val="2"/>
                  <w:vAlign w:val="center"/>
                </w:tcPr>
                <w:p w14:paraId="536A60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w:t>
                  </w:r>
                </w:p>
              </w:tc>
              <w:tc>
                <w:tcPr>
                  <w:tcW w:w="1110" w:type="dxa"/>
                  <w:vAlign w:val="center"/>
                </w:tcPr>
                <w:p w14:paraId="2153B3D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单位</w:t>
                  </w:r>
                </w:p>
              </w:tc>
              <w:tc>
                <w:tcPr>
                  <w:tcW w:w="1440" w:type="dxa"/>
                  <w:gridSpan w:val="2"/>
                  <w:vAlign w:val="center"/>
                </w:tcPr>
                <w:p w14:paraId="35F5240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数量</w:t>
                  </w:r>
                </w:p>
              </w:tc>
              <w:tc>
                <w:tcPr>
                  <w:tcW w:w="2660" w:type="dxa"/>
                  <w:vAlign w:val="center"/>
                </w:tcPr>
                <w:p w14:paraId="193287B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备注</w:t>
                  </w:r>
                </w:p>
              </w:tc>
            </w:tr>
            <w:tr w14:paraId="5CD42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Merge w:val="restart"/>
                  <w:vAlign w:val="center"/>
                </w:tcPr>
                <w:p w14:paraId="370E7C75">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740" w:type="dxa"/>
                  <w:vMerge w:val="restart"/>
                  <w:vAlign w:val="center"/>
                </w:tcPr>
                <w:p w14:paraId="2DE95B3C">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底漆</w:t>
                  </w:r>
                </w:p>
              </w:tc>
              <w:tc>
                <w:tcPr>
                  <w:tcW w:w="1620" w:type="dxa"/>
                  <w:vAlign w:val="center"/>
                </w:tcPr>
                <w:p w14:paraId="571EA3A2">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A组分（主剂）</w:t>
                  </w:r>
                </w:p>
              </w:tc>
              <w:tc>
                <w:tcPr>
                  <w:tcW w:w="1110" w:type="dxa"/>
                  <w:vAlign w:val="center"/>
                </w:tcPr>
                <w:p w14:paraId="11A6B4B3">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750" w:type="dxa"/>
                  <w:vAlign w:val="center"/>
                </w:tcPr>
                <w:p w14:paraId="5CB6799A">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690" w:type="dxa"/>
                  <w:vMerge w:val="restart"/>
                  <w:vAlign w:val="center"/>
                </w:tcPr>
                <w:p w14:paraId="626CDE66">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2.665</w:t>
                  </w:r>
                </w:p>
              </w:tc>
              <w:tc>
                <w:tcPr>
                  <w:tcW w:w="2660" w:type="dxa"/>
                  <w:vAlign w:val="center"/>
                </w:tcPr>
                <w:p w14:paraId="2D20999B">
                  <w:pPr>
                    <w:pStyle w:val="31"/>
                    <w:keepNext w:val="0"/>
                    <w:keepLines w:val="0"/>
                    <w:pageBreakBefore w:val="0"/>
                    <w:widowControl w:val="0"/>
                    <w:kinsoku/>
                    <w:wordWrap/>
                    <w:overflowPunct/>
                    <w:topLinePunct w:val="0"/>
                    <w:bidi w:val="0"/>
                    <w:adjustRightInd/>
                    <w:snapToGrid/>
                    <w:spacing w:before="20" w:after="20"/>
                    <w:textAlignment w:val="auto"/>
                    <w:rPr>
                      <w:rFonts w:hint="default"/>
                      <w:color w:val="auto"/>
                      <w:lang w:val="en-US" w:eastAsia="zh-CN"/>
                    </w:rPr>
                  </w:pPr>
                  <w:r>
                    <w:rPr>
                      <w:rFonts w:hint="eastAsia"/>
                      <w:color w:val="auto"/>
                      <w:lang w:val="en-US" w:eastAsia="zh-CN"/>
                    </w:rPr>
                    <w:t>外购，桶装，25kg/桶，暂存于油漆库，最大储存量为0.5t</w:t>
                  </w:r>
                </w:p>
              </w:tc>
            </w:tr>
            <w:tr w14:paraId="74550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Merge w:val="continue"/>
                  <w:vAlign w:val="center"/>
                </w:tcPr>
                <w:p w14:paraId="229D0827">
                  <w:pPr>
                    <w:pStyle w:val="36"/>
                    <w:keepNext w:val="0"/>
                    <w:keepLines w:val="0"/>
                    <w:pageBreakBefore w:val="0"/>
                    <w:kinsoku/>
                    <w:wordWrap/>
                    <w:overflowPunct/>
                    <w:topLinePunct w:val="0"/>
                    <w:bidi w:val="0"/>
                    <w:spacing w:line="240" w:lineRule="auto"/>
                    <w:ind w:firstLine="0" w:firstLineChars="0"/>
                    <w:jc w:val="center"/>
                    <w:rPr>
                      <w:color w:val="auto"/>
                    </w:rPr>
                  </w:pPr>
                </w:p>
              </w:tc>
              <w:tc>
                <w:tcPr>
                  <w:tcW w:w="740" w:type="dxa"/>
                  <w:vMerge w:val="continue"/>
                  <w:vAlign w:val="center"/>
                </w:tcPr>
                <w:p w14:paraId="57FDEA9A">
                  <w:pPr>
                    <w:pStyle w:val="36"/>
                    <w:keepNext w:val="0"/>
                    <w:keepLines w:val="0"/>
                    <w:pageBreakBefore w:val="0"/>
                    <w:kinsoku/>
                    <w:wordWrap/>
                    <w:overflowPunct/>
                    <w:topLinePunct w:val="0"/>
                    <w:bidi w:val="0"/>
                    <w:spacing w:line="240" w:lineRule="auto"/>
                    <w:ind w:firstLine="0" w:firstLineChars="0"/>
                    <w:jc w:val="center"/>
                    <w:rPr>
                      <w:color w:val="auto"/>
                    </w:rPr>
                  </w:pPr>
                </w:p>
              </w:tc>
              <w:tc>
                <w:tcPr>
                  <w:tcW w:w="1620" w:type="dxa"/>
                  <w:vAlign w:val="center"/>
                </w:tcPr>
                <w:p w14:paraId="22907AF4">
                  <w:pPr>
                    <w:pStyle w:val="36"/>
                    <w:keepNext w:val="0"/>
                    <w:keepLines w:val="0"/>
                    <w:pageBreakBefore w:val="0"/>
                    <w:kinsoku/>
                    <w:wordWrap/>
                    <w:overflowPunct/>
                    <w:topLinePunct w:val="0"/>
                    <w:bidi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B组分（固化剂）</w:t>
                  </w:r>
                </w:p>
              </w:tc>
              <w:tc>
                <w:tcPr>
                  <w:tcW w:w="1110" w:type="dxa"/>
                  <w:vAlign w:val="center"/>
                </w:tcPr>
                <w:p w14:paraId="3A035371">
                  <w:pPr>
                    <w:pStyle w:val="36"/>
                    <w:keepNext w:val="0"/>
                    <w:keepLines w:val="0"/>
                    <w:pageBreakBefore w:val="0"/>
                    <w:kinsoku/>
                    <w:wordWrap/>
                    <w:overflowPunct/>
                    <w:topLinePunct w:val="0"/>
                    <w:bidi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750" w:type="dxa"/>
                  <w:vAlign w:val="center"/>
                </w:tcPr>
                <w:p w14:paraId="395EFF82">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0.165</w:t>
                  </w:r>
                </w:p>
              </w:tc>
              <w:tc>
                <w:tcPr>
                  <w:tcW w:w="690" w:type="dxa"/>
                  <w:vMerge w:val="continue"/>
                  <w:vAlign w:val="center"/>
                </w:tcPr>
                <w:p w14:paraId="05C84098">
                  <w:pPr>
                    <w:pStyle w:val="36"/>
                    <w:keepNext w:val="0"/>
                    <w:keepLines w:val="0"/>
                    <w:pageBreakBefore w:val="0"/>
                    <w:kinsoku/>
                    <w:wordWrap/>
                    <w:overflowPunct/>
                    <w:topLinePunct w:val="0"/>
                    <w:bidi w:val="0"/>
                    <w:spacing w:line="240" w:lineRule="auto"/>
                    <w:ind w:firstLine="0" w:firstLineChars="0"/>
                    <w:jc w:val="center"/>
                    <w:rPr>
                      <w:rFonts w:hint="eastAsia" w:cs="Times New Roman"/>
                      <w:color w:val="auto"/>
                      <w:sz w:val="21"/>
                      <w:szCs w:val="21"/>
                      <w:highlight w:val="none"/>
                      <w:lang w:val="en-US" w:eastAsia="zh-CN"/>
                    </w:rPr>
                  </w:pPr>
                </w:p>
              </w:tc>
              <w:tc>
                <w:tcPr>
                  <w:tcW w:w="2660" w:type="dxa"/>
                  <w:vAlign w:val="center"/>
                </w:tcPr>
                <w:p w14:paraId="091762A1">
                  <w:pPr>
                    <w:pStyle w:val="31"/>
                    <w:keepNext w:val="0"/>
                    <w:keepLines w:val="0"/>
                    <w:pageBreakBefore w:val="0"/>
                    <w:widowControl w:val="0"/>
                    <w:kinsoku/>
                    <w:wordWrap/>
                    <w:overflowPunct/>
                    <w:topLinePunct w:val="0"/>
                    <w:bidi w:val="0"/>
                    <w:adjustRightInd/>
                    <w:snapToGrid/>
                    <w:spacing w:before="20" w:after="20"/>
                    <w:textAlignment w:val="auto"/>
                    <w:rPr>
                      <w:rFonts w:hint="eastAsia"/>
                      <w:color w:val="auto"/>
                      <w:lang w:val="en-US" w:eastAsia="zh-CN"/>
                    </w:rPr>
                  </w:pPr>
                  <w:r>
                    <w:rPr>
                      <w:rFonts w:hint="eastAsia"/>
                      <w:color w:val="auto"/>
                      <w:lang w:val="en-US" w:eastAsia="zh-CN"/>
                    </w:rPr>
                    <w:t>外购，桶装，25kg/桶，暂存于油漆库，最大储存量为0.1t</w:t>
                  </w:r>
                </w:p>
              </w:tc>
            </w:tr>
            <w:tr w14:paraId="43199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Merge w:val="restart"/>
                  <w:vAlign w:val="center"/>
                </w:tcPr>
                <w:p w14:paraId="398C7B21">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color w:val="auto"/>
                    </w:rPr>
                  </w:pPr>
                </w:p>
              </w:tc>
              <w:tc>
                <w:tcPr>
                  <w:tcW w:w="740" w:type="dxa"/>
                  <w:vMerge w:val="restart"/>
                  <w:vAlign w:val="center"/>
                </w:tcPr>
                <w:p w14:paraId="6B780BF5">
                  <w:pPr>
                    <w:pStyle w:val="31"/>
                    <w:bidi w:val="0"/>
                    <w:rPr>
                      <w:rFonts w:hint="eastAsia"/>
                      <w:color w:val="auto"/>
                      <w:lang w:val="en-US" w:eastAsia="zh-CN"/>
                    </w:rPr>
                  </w:pPr>
                  <w:r>
                    <w:rPr>
                      <w:rFonts w:hint="eastAsia"/>
                      <w:color w:val="auto"/>
                      <w:lang w:val="en-US" w:eastAsia="zh-CN"/>
                    </w:rPr>
                    <w:t>面漆</w:t>
                  </w:r>
                </w:p>
              </w:tc>
              <w:tc>
                <w:tcPr>
                  <w:tcW w:w="1620" w:type="dxa"/>
                  <w:vAlign w:val="center"/>
                </w:tcPr>
                <w:p w14:paraId="21F1F626">
                  <w:pPr>
                    <w:pStyle w:val="36"/>
                    <w:keepNext w:val="0"/>
                    <w:keepLines w:val="0"/>
                    <w:pageBreakBefore w:val="0"/>
                    <w:kinsoku/>
                    <w:wordWrap/>
                    <w:overflowPunct/>
                    <w:topLinePunct w:val="0"/>
                    <w:bidi w:val="0"/>
                    <w:spacing w:line="240" w:lineRule="auto"/>
                    <w:ind w:firstLine="0" w:firstLineChars="0"/>
                    <w:jc w:val="center"/>
                    <w:rPr>
                      <w:rFonts w:hint="eastAsia"/>
                      <w:color w:val="auto"/>
                      <w:lang w:val="en-US" w:eastAsia="zh-CN"/>
                    </w:rPr>
                  </w:pPr>
                  <w:r>
                    <w:rPr>
                      <w:rFonts w:hint="eastAsia" w:cs="Times New Roman"/>
                      <w:color w:val="auto"/>
                      <w:sz w:val="21"/>
                      <w:szCs w:val="21"/>
                      <w:highlight w:val="none"/>
                      <w:lang w:val="en-US" w:eastAsia="zh-CN"/>
                    </w:rPr>
                    <w:t>A组分（主剂）</w:t>
                  </w:r>
                </w:p>
              </w:tc>
              <w:tc>
                <w:tcPr>
                  <w:tcW w:w="1110" w:type="dxa"/>
                  <w:vAlign w:val="center"/>
                </w:tcPr>
                <w:p w14:paraId="4C4AAB2A">
                  <w:pPr>
                    <w:pStyle w:val="31"/>
                    <w:bidi w:val="0"/>
                    <w:rPr>
                      <w:rFonts w:hint="eastAsia"/>
                      <w:color w:val="auto"/>
                      <w:lang w:val="en-US" w:eastAsia="zh-CN"/>
                    </w:rPr>
                  </w:pPr>
                  <w:r>
                    <w:rPr>
                      <w:rFonts w:hint="eastAsia" w:cs="Times New Roman"/>
                      <w:color w:val="auto"/>
                      <w:sz w:val="21"/>
                      <w:szCs w:val="21"/>
                      <w:highlight w:val="none"/>
                      <w:lang w:val="en-US" w:eastAsia="zh-CN"/>
                    </w:rPr>
                    <w:t>t/a</w:t>
                  </w:r>
                </w:p>
              </w:tc>
              <w:tc>
                <w:tcPr>
                  <w:tcW w:w="750" w:type="dxa"/>
                  <w:vAlign w:val="center"/>
                </w:tcPr>
                <w:p w14:paraId="3E3481BA">
                  <w:pPr>
                    <w:pStyle w:val="31"/>
                    <w:bidi w:val="0"/>
                    <w:rPr>
                      <w:rFonts w:hint="default"/>
                      <w:color w:val="auto"/>
                      <w:lang w:val="en-US" w:eastAsia="zh-CN"/>
                    </w:rPr>
                  </w:pPr>
                  <w:r>
                    <w:rPr>
                      <w:rFonts w:hint="eastAsia"/>
                      <w:color w:val="auto"/>
                      <w:lang w:val="en-US" w:eastAsia="zh-CN"/>
                    </w:rPr>
                    <w:t>2.5</w:t>
                  </w:r>
                </w:p>
              </w:tc>
              <w:tc>
                <w:tcPr>
                  <w:tcW w:w="690" w:type="dxa"/>
                  <w:vMerge w:val="restart"/>
                  <w:vAlign w:val="center"/>
                </w:tcPr>
                <w:p w14:paraId="4D5DADBD">
                  <w:pPr>
                    <w:pStyle w:val="31"/>
                    <w:bidi w:val="0"/>
                    <w:rPr>
                      <w:rFonts w:hint="default"/>
                      <w:color w:val="auto"/>
                      <w:lang w:val="en-US" w:eastAsia="zh-CN"/>
                    </w:rPr>
                  </w:pPr>
                  <w:r>
                    <w:rPr>
                      <w:rFonts w:hint="eastAsia"/>
                      <w:color w:val="auto"/>
                      <w:lang w:val="en-US" w:eastAsia="zh-CN"/>
                    </w:rPr>
                    <w:t>2.705</w:t>
                  </w:r>
                </w:p>
              </w:tc>
              <w:tc>
                <w:tcPr>
                  <w:tcW w:w="2660" w:type="dxa"/>
                  <w:vAlign w:val="center"/>
                </w:tcPr>
                <w:p w14:paraId="5D835FBE">
                  <w:pPr>
                    <w:pStyle w:val="31"/>
                    <w:keepNext w:val="0"/>
                    <w:keepLines w:val="0"/>
                    <w:pageBreakBefore w:val="0"/>
                    <w:widowControl w:val="0"/>
                    <w:kinsoku/>
                    <w:wordWrap/>
                    <w:overflowPunct/>
                    <w:topLinePunct w:val="0"/>
                    <w:bidi w:val="0"/>
                    <w:adjustRightInd/>
                    <w:snapToGrid/>
                    <w:spacing w:before="20" w:after="20"/>
                    <w:textAlignment w:val="auto"/>
                    <w:rPr>
                      <w:rFonts w:hint="eastAsia"/>
                      <w:color w:val="auto"/>
                      <w:lang w:val="en-US" w:eastAsia="zh-CN"/>
                    </w:rPr>
                  </w:pPr>
                  <w:r>
                    <w:rPr>
                      <w:rFonts w:hint="eastAsia"/>
                      <w:color w:val="auto"/>
                      <w:lang w:val="en-US" w:eastAsia="zh-CN"/>
                    </w:rPr>
                    <w:t>外购，桶装，25kg/桶，暂存于油漆库，最大储存量为0.5t</w:t>
                  </w:r>
                </w:p>
              </w:tc>
            </w:tr>
            <w:tr w14:paraId="2494BD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Merge w:val="continue"/>
                  <w:vAlign w:val="center"/>
                </w:tcPr>
                <w:p w14:paraId="3226E4BA">
                  <w:pPr>
                    <w:pStyle w:val="36"/>
                    <w:keepNext w:val="0"/>
                    <w:keepLines w:val="0"/>
                    <w:pageBreakBefore w:val="0"/>
                    <w:kinsoku/>
                    <w:wordWrap/>
                    <w:overflowPunct/>
                    <w:topLinePunct w:val="0"/>
                    <w:bidi w:val="0"/>
                    <w:spacing w:line="240" w:lineRule="auto"/>
                    <w:ind w:firstLine="0" w:firstLineChars="0"/>
                    <w:jc w:val="center"/>
                    <w:rPr>
                      <w:color w:val="auto"/>
                    </w:rPr>
                  </w:pPr>
                </w:p>
              </w:tc>
              <w:tc>
                <w:tcPr>
                  <w:tcW w:w="740" w:type="dxa"/>
                  <w:vMerge w:val="continue"/>
                  <w:vAlign w:val="center"/>
                </w:tcPr>
                <w:p w14:paraId="690D4D86">
                  <w:pPr>
                    <w:pStyle w:val="31"/>
                    <w:bidi w:val="0"/>
                    <w:rPr>
                      <w:color w:val="auto"/>
                    </w:rPr>
                  </w:pPr>
                </w:p>
              </w:tc>
              <w:tc>
                <w:tcPr>
                  <w:tcW w:w="1620" w:type="dxa"/>
                  <w:vAlign w:val="center"/>
                </w:tcPr>
                <w:p w14:paraId="1F28ECD7">
                  <w:pPr>
                    <w:pStyle w:val="36"/>
                    <w:keepNext w:val="0"/>
                    <w:keepLines w:val="0"/>
                    <w:pageBreakBefore w:val="0"/>
                    <w:kinsoku/>
                    <w:wordWrap/>
                    <w:overflowPunct/>
                    <w:topLinePunct w:val="0"/>
                    <w:bidi w:val="0"/>
                    <w:spacing w:line="240" w:lineRule="auto"/>
                    <w:ind w:firstLine="0" w:firstLineChars="0"/>
                    <w:jc w:val="center"/>
                    <w:rPr>
                      <w:rFonts w:hint="eastAsia"/>
                      <w:color w:val="auto"/>
                      <w:lang w:val="en-US" w:eastAsia="zh-CN"/>
                    </w:rPr>
                  </w:pPr>
                  <w:r>
                    <w:rPr>
                      <w:rFonts w:hint="eastAsia" w:cs="Times New Roman"/>
                      <w:color w:val="auto"/>
                      <w:sz w:val="21"/>
                      <w:szCs w:val="21"/>
                      <w:highlight w:val="none"/>
                      <w:lang w:val="en-US" w:eastAsia="zh-CN"/>
                    </w:rPr>
                    <w:t>B组分（固化剂）</w:t>
                  </w:r>
                </w:p>
              </w:tc>
              <w:tc>
                <w:tcPr>
                  <w:tcW w:w="1110" w:type="dxa"/>
                  <w:vAlign w:val="center"/>
                </w:tcPr>
                <w:p w14:paraId="7411C8D4">
                  <w:pPr>
                    <w:pStyle w:val="31"/>
                    <w:bidi w:val="0"/>
                    <w:rPr>
                      <w:rFonts w:hint="eastAsia"/>
                      <w:color w:val="auto"/>
                      <w:lang w:val="en-US" w:eastAsia="zh-CN"/>
                    </w:rPr>
                  </w:pPr>
                  <w:r>
                    <w:rPr>
                      <w:rFonts w:hint="eastAsia" w:cs="Times New Roman"/>
                      <w:color w:val="auto"/>
                      <w:sz w:val="21"/>
                      <w:szCs w:val="21"/>
                      <w:highlight w:val="none"/>
                      <w:lang w:val="en-US" w:eastAsia="zh-CN"/>
                    </w:rPr>
                    <w:t>t/a</w:t>
                  </w:r>
                </w:p>
              </w:tc>
              <w:tc>
                <w:tcPr>
                  <w:tcW w:w="750" w:type="dxa"/>
                  <w:vAlign w:val="center"/>
                </w:tcPr>
                <w:p w14:paraId="24385D0D">
                  <w:pPr>
                    <w:pStyle w:val="31"/>
                    <w:bidi w:val="0"/>
                    <w:rPr>
                      <w:rFonts w:hint="default"/>
                      <w:color w:val="auto"/>
                      <w:lang w:val="en-US" w:eastAsia="zh-CN"/>
                    </w:rPr>
                  </w:pPr>
                  <w:r>
                    <w:rPr>
                      <w:rFonts w:hint="eastAsia"/>
                      <w:color w:val="auto"/>
                      <w:lang w:val="en-US" w:eastAsia="zh-CN"/>
                    </w:rPr>
                    <w:t>0.205</w:t>
                  </w:r>
                </w:p>
              </w:tc>
              <w:tc>
                <w:tcPr>
                  <w:tcW w:w="690" w:type="dxa"/>
                  <w:vMerge w:val="continue"/>
                  <w:vAlign w:val="center"/>
                </w:tcPr>
                <w:p w14:paraId="168F8318">
                  <w:pPr>
                    <w:pStyle w:val="31"/>
                    <w:bidi w:val="0"/>
                    <w:rPr>
                      <w:rFonts w:hint="eastAsia"/>
                      <w:color w:val="auto"/>
                      <w:lang w:val="en-US" w:eastAsia="zh-CN"/>
                    </w:rPr>
                  </w:pPr>
                </w:p>
              </w:tc>
              <w:tc>
                <w:tcPr>
                  <w:tcW w:w="2660" w:type="dxa"/>
                  <w:vAlign w:val="center"/>
                </w:tcPr>
                <w:p w14:paraId="3BF61D76">
                  <w:pPr>
                    <w:pStyle w:val="31"/>
                    <w:keepNext w:val="0"/>
                    <w:keepLines w:val="0"/>
                    <w:pageBreakBefore w:val="0"/>
                    <w:widowControl w:val="0"/>
                    <w:kinsoku/>
                    <w:wordWrap/>
                    <w:overflowPunct/>
                    <w:topLinePunct w:val="0"/>
                    <w:bidi w:val="0"/>
                    <w:adjustRightInd/>
                    <w:snapToGrid/>
                    <w:spacing w:before="20" w:after="20"/>
                    <w:textAlignment w:val="auto"/>
                    <w:rPr>
                      <w:rFonts w:hint="eastAsia"/>
                      <w:color w:val="auto"/>
                      <w:lang w:val="en-US" w:eastAsia="zh-CN"/>
                    </w:rPr>
                  </w:pPr>
                  <w:r>
                    <w:rPr>
                      <w:rFonts w:hint="eastAsia"/>
                      <w:color w:val="auto"/>
                      <w:lang w:val="en-US" w:eastAsia="zh-CN"/>
                    </w:rPr>
                    <w:t>外购，桶装，25kg/桶，暂存于油漆库，最大储存量为0.1t</w:t>
                  </w:r>
                </w:p>
              </w:tc>
            </w:tr>
            <w:tr w14:paraId="7F70E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14:paraId="0685E980">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2"/>
                      <w:sz w:val="24"/>
                      <w:szCs w:val="24"/>
                      <w:lang w:val="en-US" w:eastAsia="zh-CN" w:bidi="ar-SA"/>
                    </w:rPr>
                  </w:pPr>
                </w:p>
              </w:tc>
              <w:tc>
                <w:tcPr>
                  <w:tcW w:w="2360" w:type="dxa"/>
                  <w:gridSpan w:val="2"/>
                  <w:vAlign w:val="center"/>
                </w:tcPr>
                <w:p w14:paraId="3E53E43B">
                  <w:pPr>
                    <w:pStyle w:val="31"/>
                    <w:bidi w:val="0"/>
                    <w:rPr>
                      <w:rFonts w:hint="eastAsia"/>
                      <w:color w:val="auto"/>
                      <w:lang w:val="en-US" w:eastAsia="zh-CN"/>
                    </w:rPr>
                  </w:pPr>
                  <w:r>
                    <w:rPr>
                      <w:rFonts w:hint="eastAsia"/>
                      <w:color w:val="auto"/>
                      <w:lang w:val="en-US" w:eastAsia="zh-CN"/>
                    </w:rPr>
                    <w:t>耐弧漆</w:t>
                  </w:r>
                </w:p>
              </w:tc>
              <w:tc>
                <w:tcPr>
                  <w:tcW w:w="1110" w:type="dxa"/>
                  <w:vAlign w:val="center"/>
                </w:tcPr>
                <w:p w14:paraId="4C70994E">
                  <w:pPr>
                    <w:pStyle w:val="31"/>
                    <w:bidi w:val="0"/>
                    <w:rPr>
                      <w:rFonts w:hint="eastAsia"/>
                      <w:color w:val="auto"/>
                      <w:lang w:val="en-US" w:eastAsia="zh-CN"/>
                    </w:rPr>
                  </w:pPr>
                  <w:r>
                    <w:rPr>
                      <w:rFonts w:hint="eastAsia" w:cs="Times New Roman"/>
                      <w:color w:val="auto"/>
                      <w:sz w:val="21"/>
                      <w:szCs w:val="21"/>
                      <w:highlight w:val="none"/>
                      <w:lang w:val="en-US" w:eastAsia="zh-CN"/>
                    </w:rPr>
                    <w:t>t/a</w:t>
                  </w:r>
                </w:p>
              </w:tc>
              <w:tc>
                <w:tcPr>
                  <w:tcW w:w="1440" w:type="dxa"/>
                  <w:gridSpan w:val="2"/>
                  <w:vAlign w:val="center"/>
                </w:tcPr>
                <w:p w14:paraId="7233A434">
                  <w:pPr>
                    <w:pStyle w:val="31"/>
                    <w:bidi w:val="0"/>
                    <w:rPr>
                      <w:rFonts w:hint="default"/>
                      <w:color w:val="auto"/>
                      <w:lang w:val="en-US" w:eastAsia="zh-CN"/>
                    </w:rPr>
                  </w:pPr>
                  <w:r>
                    <w:rPr>
                      <w:rFonts w:hint="eastAsia"/>
                      <w:color w:val="auto"/>
                      <w:lang w:val="en-US" w:eastAsia="zh-CN"/>
                    </w:rPr>
                    <w:t>2.5</w:t>
                  </w:r>
                </w:p>
              </w:tc>
              <w:tc>
                <w:tcPr>
                  <w:tcW w:w="2660" w:type="dxa"/>
                  <w:vAlign w:val="center"/>
                </w:tcPr>
                <w:p w14:paraId="000BC14C">
                  <w:pPr>
                    <w:pStyle w:val="31"/>
                    <w:keepNext w:val="0"/>
                    <w:keepLines w:val="0"/>
                    <w:pageBreakBefore w:val="0"/>
                    <w:widowControl w:val="0"/>
                    <w:kinsoku/>
                    <w:wordWrap/>
                    <w:overflowPunct/>
                    <w:topLinePunct w:val="0"/>
                    <w:bidi w:val="0"/>
                    <w:adjustRightInd/>
                    <w:snapToGrid/>
                    <w:spacing w:before="20" w:after="20"/>
                    <w:textAlignment w:val="auto"/>
                    <w:rPr>
                      <w:rFonts w:hint="eastAsia"/>
                      <w:color w:val="auto"/>
                      <w:lang w:val="en-US" w:eastAsia="zh-CN"/>
                    </w:rPr>
                  </w:pPr>
                  <w:r>
                    <w:rPr>
                      <w:rFonts w:hint="eastAsia"/>
                      <w:color w:val="auto"/>
                      <w:lang w:val="en-US" w:eastAsia="zh-CN"/>
                    </w:rPr>
                    <w:t>外购，桶装，25kg/桶，暂存于油漆库，最大储存量为0.5t</w:t>
                  </w:r>
                </w:p>
              </w:tc>
            </w:tr>
            <w:tr w14:paraId="4DE92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60" w:hRule="atLeast"/>
                <w:jc w:val="center"/>
              </w:trPr>
              <w:tc>
                <w:tcPr>
                  <w:tcW w:w="707" w:type="dxa"/>
                  <w:vAlign w:val="center"/>
                </w:tcPr>
                <w:p w14:paraId="18B36A56">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2"/>
                      <w:sz w:val="24"/>
                      <w:szCs w:val="24"/>
                      <w:lang w:val="en-US" w:eastAsia="zh-CN" w:bidi="ar-SA"/>
                    </w:rPr>
                  </w:pPr>
                </w:p>
              </w:tc>
              <w:tc>
                <w:tcPr>
                  <w:tcW w:w="2360" w:type="dxa"/>
                  <w:gridSpan w:val="2"/>
                  <w:vAlign w:val="center"/>
                </w:tcPr>
                <w:p w14:paraId="1CDB3B39">
                  <w:pPr>
                    <w:pStyle w:val="31"/>
                    <w:bidi w:val="0"/>
                    <w:rPr>
                      <w:rFonts w:hint="default"/>
                      <w:color w:val="auto"/>
                      <w:lang w:val="en-US" w:eastAsia="zh-CN"/>
                    </w:rPr>
                  </w:pPr>
                  <w:r>
                    <w:rPr>
                      <w:rFonts w:hint="eastAsia"/>
                      <w:color w:val="auto"/>
                      <w:lang w:val="en-US" w:eastAsia="zh-CN"/>
                    </w:rPr>
                    <w:t>稀释剂</w:t>
                  </w:r>
                </w:p>
              </w:tc>
              <w:tc>
                <w:tcPr>
                  <w:tcW w:w="1110" w:type="dxa"/>
                  <w:vAlign w:val="center"/>
                </w:tcPr>
                <w:p w14:paraId="03E75A0B">
                  <w:pPr>
                    <w:pStyle w:val="31"/>
                    <w:bidi w:val="0"/>
                    <w:rPr>
                      <w:rFonts w:hint="eastAsia"/>
                      <w:color w:val="auto"/>
                      <w:lang w:val="en-US" w:eastAsia="zh-CN"/>
                    </w:rPr>
                  </w:pPr>
                  <w:r>
                    <w:rPr>
                      <w:rFonts w:hint="eastAsia" w:cs="Times New Roman"/>
                      <w:color w:val="auto"/>
                      <w:sz w:val="21"/>
                      <w:szCs w:val="21"/>
                      <w:highlight w:val="none"/>
                      <w:lang w:val="en-US" w:eastAsia="zh-CN"/>
                    </w:rPr>
                    <w:t>t/a</w:t>
                  </w:r>
                </w:p>
              </w:tc>
              <w:tc>
                <w:tcPr>
                  <w:tcW w:w="1440" w:type="dxa"/>
                  <w:gridSpan w:val="2"/>
                  <w:vAlign w:val="center"/>
                </w:tcPr>
                <w:p w14:paraId="19221BE0">
                  <w:pPr>
                    <w:pStyle w:val="31"/>
                    <w:bidi w:val="0"/>
                    <w:rPr>
                      <w:rFonts w:hint="default"/>
                      <w:color w:val="auto"/>
                      <w:lang w:val="en-US" w:eastAsia="zh-CN"/>
                    </w:rPr>
                  </w:pPr>
                  <w:r>
                    <w:rPr>
                      <w:rFonts w:hint="eastAsia"/>
                      <w:color w:val="auto"/>
                      <w:lang w:val="en-US" w:eastAsia="zh-CN"/>
                    </w:rPr>
                    <w:t>1</w:t>
                  </w:r>
                </w:p>
              </w:tc>
              <w:tc>
                <w:tcPr>
                  <w:tcW w:w="2660" w:type="dxa"/>
                  <w:vAlign w:val="center"/>
                </w:tcPr>
                <w:p w14:paraId="599B00B0">
                  <w:pPr>
                    <w:pStyle w:val="31"/>
                    <w:keepNext w:val="0"/>
                    <w:keepLines w:val="0"/>
                    <w:pageBreakBefore w:val="0"/>
                    <w:widowControl w:val="0"/>
                    <w:kinsoku/>
                    <w:wordWrap/>
                    <w:overflowPunct/>
                    <w:topLinePunct w:val="0"/>
                    <w:bidi w:val="0"/>
                    <w:adjustRightInd/>
                    <w:snapToGrid/>
                    <w:spacing w:before="20" w:after="20"/>
                    <w:textAlignment w:val="auto"/>
                    <w:rPr>
                      <w:rFonts w:hint="default"/>
                      <w:color w:val="auto"/>
                      <w:lang w:val="en-US" w:eastAsia="zh-CN"/>
                    </w:rPr>
                  </w:pPr>
                  <w:r>
                    <w:rPr>
                      <w:rFonts w:hint="eastAsia"/>
                      <w:color w:val="auto"/>
                      <w:lang w:val="en-US" w:eastAsia="zh-CN"/>
                    </w:rPr>
                    <w:t>外购，桶装，25kg/桶，暂存于油漆库，最大储存量为0.5t，其中0.25t/a用于调配耐弧漆，0.75t/a用于除油工序</w:t>
                  </w:r>
                </w:p>
              </w:tc>
            </w:tr>
            <w:tr w14:paraId="7C231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14:paraId="1B63794D">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2"/>
                      <w:sz w:val="24"/>
                      <w:szCs w:val="24"/>
                      <w:lang w:val="en-US" w:eastAsia="zh-CN" w:bidi="ar-SA"/>
                    </w:rPr>
                  </w:pPr>
                </w:p>
              </w:tc>
              <w:tc>
                <w:tcPr>
                  <w:tcW w:w="2360" w:type="dxa"/>
                  <w:gridSpan w:val="2"/>
                  <w:vAlign w:val="center"/>
                </w:tcPr>
                <w:p w14:paraId="2A2D565D">
                  <w:pPr>
                    <w:pStyle w:val="31"/>
                    <w:bidi w:val="0"/>
                    <w:rPr>
                      <w:rFonts w:hint="default"/>
                      <w:color w:val="auto"/>
                      <w:lang w:val="en-US" w:eastAsia="zh-CN"/>
                    </w:rPr>
                  </w:pPr>
                  <w:r>
                    <w:rPr>
                      <w:rFonts w:hint="eastAsia"/>
                      <w:color w:val="auto"/>
                      <w:lang w:val="en-US" w:eastAsia="zh-CN"/>
                    </w:rPr>
                    <w:t>腻子</w:t>
                  </w:r>
                </w:p>
              </w:tc>
              <w:tc>
                <w:tcPr>
                  <w:tcW w:w="1110" w:type="dxa"/>
                  <w:vAlign w:val="center"/>
                </w:tcPr>
                <w:p w14:paraId="001EB447">
                  <w:pPr>
                    <w:pStyle w:val="31"/>
                    <w:bidi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440" w:type="dxa"/>
                  <w:gridSpan w:val="2"/>
                  <w:vAlign w:val="center"/>
                </w:tcPr>
                <w:p w14:paraId="28A87051">
                  <w:pPr>
                    <w:pStyle w:val="31"/>
                    <w:bidi w:val="0"/>
                    <w:rPr>
                      <w:rFonts w:hint="default"/>
                      <w:color w:val="auto"/>
                      <w:lang w:val="en-US" w:eastAsia="zh-CN"/>
                    </w:rPr>
                  </w:pPr>
                  <w:r>
                    <w:rPr>
                      <w:rFonts w:hint="eastAsia" w:cs="Times New Roman"/>
                      <w:color w:val="auto"/>
                      <w:sz w:val="21"/>
                      <w:szCs w:val="21"/>
                      <w:highlight w:val="none"/>
                      <w:lang w:val="en-US" w:eastAsia="zh-CN"/>
                    </w:rPr>
                    <w:t>0.65</w:t>
                  </w:r>
                </w:p>
              </w:tc>
              <w:tc>
                <w:tcPr>
                  <w:tcW w:w="2660" w:type="dxa"/>
                  <w:vAlign w:val="center"/>
                </w:tcPr>
                <w:p w14:paraId="7F9A4C8A">
                  <w:pPr>
                    <w:pStyle w:val="31"/>
                    <w:keepNext w:val="0"/>
                    <w:keepLines w:val="0"/>
                    <w:pageBreakBefore w:val="0"/>
                    <w:widowControl w:val="0"/>
                    <w:kinsoku/>
                    <w:wordWrap/>
                    <w:overflowPunct/>
                    <w:topLinePunct w:val="0"/>
                    <w:bidi w:val="0"/>
                    <w:adjustRightInd/>
                    <w:snapToGrid/>
                    <w:spacing w:before="20" w:after="20"/>
                    <w:textAlignment w:val="auto"/>
                    <w:rPr>
                      <w:rFonts w:hint="eastAsia"/>
                      <w:color w:val="auto"/>
                      <w:lang w:val="en-US" w:eastAsia="zh-CN"/>
                    </w:rPr>
                  </w:pPr>
                  <w:r>
                    <w:rPr>
                      <w:rFonts w:hint="eastAsia"/>
                      <w:color w:val="auto"/>
                      <w:lang w:val="en-US" w:eastAsia="zh-CN"/>
                    </w:rPr>
                    <w:t>外购，桶装，25kg/桶，暂存于油漆库，最大储存量为0.1t</w:t>
                  </w:r>
                </w:p>
              </w:tc>
            </w:tr>
            <w:tr w14:paraId="2D1FC8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14:paraId="01E1EAB8">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2"/>
                      <w:sz w:val="24"/>
                      <w:szCs w:val="24"/>
                      <w:lang w:val="en-US" w:eastAsia="zh-CN" w:bidi="ar-SA"/>
                    </w:rPr>
                  </w:pPr>
                </w:p>
              </w:tc>
              <w:tc>
                <w:tcPr>
                  <w:tcW w:w="2360" w:type="dxa"/>
                  <w:gridSpan w:val="2"/>
                  <w:vAlign w:val="center"/>
                </w:tcPr>
                <w:p w14:paraId="579B3D15">
                  <w:pPr>
                    <w:pStyle w:val="31"/>
                    <w:bidi w:val="0"/>
                    <w:rPr>
                      <w:rFonts w:hint="default"/>
                      <w:color w:val="auto"/>
                      <w:lang w:val="en-US" w:eastAsia="zh-CN"/>
                    </w:rPr>
                  </w:pPr>
                  <w:r>
                    <w:rPr>
                      <w:rFonts w:hint="eastAsia"/>
                      <w:color w:val="auto"/>
                      <w:lang w:val="en-US" w:eastAsia="zh-CN"/>
                    </w:rPr>
                    <w:t>砂纸</w:t>
                  </w:r>
                </w:p>
              </w:tc>
              <w:tc>
                <w:tcPr>
                  <w:tcW w:w="1110" w:type="dxa"/>
                  <w:vAlign w:val="center"/>
                </w:tcPr>
                <w:p w14:paraId="76EEFA80">
                  <w:pPr>
                    <w:pStyle w:val="31"/>
                    <w:bidi w:val="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张/a</w:t>
                  </w:r>
                </w:p>
              </w:tc>
              <w:tc>
                <w:tcPr>
                  <w:tcW w:w="1440" w:type="dxa"/>
                  <w:gridSpan w:val="2"/>
                  <w:vAlign w:val="center"/>
                </w:tcPr>
                <w:p w14:paraId="717259EA">
                  <w:pPr>
                    <w:pStyle w:val="31"/>
                    <w:bidi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800</w:t>
                  </w:r>
                </w:p>
              </w:tc>
              <w:tc>
                <w:tcPr>
                  <w:tcW w:w="2660" w:type="dxa"/>
                  <w:vAlign w:val="center"/>
                </w:tcPr>
                <w:p w14:paraId="1939C746">
                  <w:pPr>
                    <w:pStyle w:val="31"/>
                    <w:keepNext w:val="0"/>
                    <w:keepLines w:val="0"/>
                    <w:pageBreakBefore w:val="0"/>
                    <w:widowControl w:val="0"/>
                    <w:kinsoku/>
                    <w:wordWrap/>
                    <w:overflowPunct/>
                    <w:topLinePunct w:val="0"/>
                    <w:bidi w:val="0"/>
                    <w:adjustRightInd/>
                    <w:snapToGrid/>
                    <w:spacing w:before="20" w:after="20"/>
                    <w:textAlignment w:val="auto"/>
                    <w:rPr>
                      <w:rFonts w:hint="default"/>
                      <w:color w:val="auto"/>
                      <w:lang w:val="en-US" w:eastAsia="zh-CN"/>
                    </w:rPr>
                  </w:pPr>
                  <w:r>
                    <w:rPr>
                      <w:rFonts w:hint="eastAsia"/>
                      <w:color w:val="auto"/>
                      <w:lang w:val="en-US" w:eastAsia="zh-CN"/>
                    </w:rPr>
                    <w:t>外购</w:t>
                  </w:r>
                </w:p>
              </w:tc>
            </w:tr>
            <w:tr w14:paraId="535FB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14:paraId="66E64706">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2"/>
                      <w:sz w:val="24"/>
                      <w:szCs w:val="24"/>
                      <w:lang w:val="en-US" w:eastAsia="zh-CN" w:bidi="ar-SA"/>
                    </w:rPr>
                  </w:pPr>
                </w:p>
              </w:tc>
              <w:tc>
                <w:tcPr>
                  <w:tcW w:w="2360" w:type="dxa"/>
                  <w:gridSpan w:val="2"/>
                  <w:vAlign w:val="center"/>
                </w:tcPr>
                <w:p w14:paraId="63FB1A91">
                  <w:pPr>
                    <w:pStyle w:val="31"/>
                    <w:bidi w:val="0"/>
                    <w:rPr>
                      <w:rFonts w:hint="default"/>
                      <w:color w:val="auto"/>
                      <w:highlight w:val="none"/>
                      <w:lang w:val="en-US" w:eastAsia="zh-CN"/>
                    </w:rPr>
                  </w:pPr>
                  <w:r>
                    <w:rPr>
                      <w:rFonts w:hint="eastAsia"/>
                      <w:color w:val="auto"/>
                      <w:highlight w:val="none"/>
                      <w:lang w:val="en-US" w:eastAsia="zh-CN"/>
                    </w:rPr>
                    <w:t>纸盒</w:t>
                  </w:r>
                </w:p>
              </w:tc>
              <w:tc>
                <w:tcPr>
                  <w:tcW w:w="1110" w:type="dxa"/>
                  <w:vAlign w:val="center"/>
                </w:tcPr>
                <w:p w14:paraId="36C3724F">
                  <w:pPr>
                    <w:pStyle w:val="31"/>
                    <w:bidi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440" w:type="dxa"/>
                  <w:gridSpan w:val="2"/>
                  <w:vAlign w:val="center"/>
                </w:tcPr>
                <w:p w14:paraId="7A6383BE">
                  <w:pPr>
                    <w:pStyle w:val="31"/>
                    <w:bidi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2660" w:type="dxa"/>
                  <w:vAlign w:val="center"/>
                </w:tcPr>
                <w:p w14:paraId="1E44392C">
                  <w:pPr>
                    <w:pStyle w:val="31"/>
                    <w:keepNext w:val="0"/>
                    <w:keepLines w:val="0"/>
                    <w:pageBreakBefore w:val="0"/>
                    <w:widowControl w:val="0"/>
                    <w:kinsoku/>
                    <w:wordWrap/>
                    <w:overflowPunct/>
                    <w:topLinePunct w:val="0"/>
                    <w:bidi w:val="0"/>
                    <w:adjustRightInd/>
                    <w:snapToGrid/>
                    <w:spacing w:before="20" w:after="20"/>
                    <w:textAlignment w:val="auto"/>
                    <w:rPr>
                      <w:rFonts w:hint="default"/>
                      <w:color w:val="auto"/>
                      <w:highlight w:val="none"/>
                      <w:lang w:val="en-US" w:eastAsia="zh-CN"/>
                    </w:rPr>
                  </w:pPr>
                  <w:r>
                    <w:rPr>
                      <w:rFonts w:hint="eastAsia"/>
                      <w:color w:val="auto"/>
                      <w:highlight w:val="none"/>
                      <w:lang w:val="en-US" w:eastAsia="zh-CN"/>
                    </w:rPr>
                    <w:t>外购，用于废气处理设施更换纸盒</w:t>
                  </w:r>
                </w:p>
              </w:tc>
            </w:tr>
            <w:tr w14:paraId="39AAB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14:paraId="6E31B7B2">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2"/>
                      <w:sz w:val="24"/>
                      <w:szCs w:val="24"/>
                      <w:lang w:val="en-US" w:eastAsia="zh-CN" w:bidi="ar-SA"/>
                    </w:rPr>
                  </w:pPr>
                </w:p>
              </w:tc>
              <w:tc>
                <w:tcPr>
                  <w:tcW w:w="2360" w:type="dxa"/>
                  <w:gridSpan w:val="2"/>
                  <w:vAlign w:val="center"/>
                </w:tcPr>
                <w:p w14:paraId="1B3B9ECC">
                  <w:pPr>
                    <w:pStyle w:val="31"/>
                    <w:bidi w:val="0"/>
                    <w:rPr>
                      <w:rFonts w:hint="default"/>
                      <w:color w:val="auto"/>
                      <w:lang w:val="en-US" w:eastAsia="zh-CN"/>
                    </w:rPr>
                  </w:pPr>
                  <w:r>
                    <w:rPr>
                      <w:rFonts w:hint="eastAsia"/>
                      <w:color w:val="auto"/>
                      <w:lang w:val="en-US" w:eastAsia="zh-CN"/>
                    </w:rPr>
                    <w:t>过滤棉</w:t>
                  </w:r>
                </w:p>
              </w:tc>
              <w:tc>
                <w:tcPr>
                  <w:tcW w:w="1110" w:type="dxa"/>
                  <w:vAlign w:val="center"/>
                </w:tcPr>
                <w:p w14:paraId="4A8A47FF">
                  <w:pPr>
                    <w:pStyle w:val="31"/>
                    <w:bidi w:val="0"/>
                    <w:ind w:firstLine="0" w:firstLineChars="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t/a</w:t>
                  </w:r>
                </w:p>
              </w:tc>
              <w:tc>
                <w:tcPr>
                  <w:tcW w:w="1440" w:type="dxa"/>
                  <w:gridSpan w:val="2"/>
                  <w:vAlign w:val="center"/>
                </w:tcPr>
                <w:p w14:paraId="73E11794">
                  <w:pPr>
                    <w:pStyle w:val="31"/>
                    <w:bidi w:val="0"/>
                    <w:ind w:firstLine="0" w:firstLineChars="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2660" w:type="dxa"/>
                  <w:vAlign w:val="center"/>
                </w:tcPr>
                <w:p w14:paraId="0B63FE8A">
                  <w:pPr>
                    <w:pStyle w:val="31"/>
                    <w:keepNext w:val="0"/>
                    <w:keepLines w:val="0"/>
                    <w:pageBreakBefore w:val="0"/>
                    <w:widowControl w:val="0"/>
                    <w:kinsoku/>
                    <w:wordWrap/>
                    <w:overflowPunct/>
                    <w:topLinePunct w:val="0"/>
                    <w:bidi w:val="0"/>
                    <w:adjustRightInd/>
                    <w:snapToGrid/>
                    <w:spacing w:before="20" w:after="20"/>
                    <w:textAlignment w:val="auto"/>
                    <w:rPr>
                      <w:rFonts w:hint="default"/>
                      <w:color w:val="auto"/>
                      <w:highlight w:val="none"/>
                      <w:lang w:val="en-US" w:eastAsia="zh-CN"/>
                    </w:rPr>
                  </w:pPr>
                  <w:r>
                    <w:rPr>
                      <w:rFonts w:hint="eastAsia"/>
                      <w:color w:val="auto"/>
                      <w:highlight w:val="none"/>
                      <w:lang w:val="en-US" w:eastAsia="zh-CN"/>
                    </w:rPr>
                    <w:t>外购，用于废气处理设施更换过滤棉</w:t>
                  </w:r>
                </w:p>
              </w:tc>
            </w:tr>
            <w:tr w14:paraId="77E84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14:paraId="4F19A94A">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2"/>
                      <w:sz w:val="24"/>
                      <w:szCs w:val="24"/>
                      <w:lang w:val="en-US" w:eastAsia="zh-CN" w:bidi="ar-SA"/>
                    </w:rPr>
                  </w:pPr>
                </w:p>
              </w:tc>
              <w:tc>
                <w:tcPr>
                  <w:tcW w:w="2360" w:type="dxa"/>
                  <w:gridSpan w:val="2"/>
                  <w:vAlign w:val="center"/>
                </w:tcPr>
                <w:p w14:paraId="55EB51C0">
                  <w:pPr>
                    <w:pStyle w:val="31"/>
                    <w:bidi w:val="0"/>
                    <w:rPr>
                      <w:rFonts w:hint="default"/>
                      <w:color w:val="auto"/>
                      <w:lang w:val="en-US" w:eastAsia="zh-CN"/>
                    </w:rPr>
                  </w:pPr>
                  <w:r>
                    <w:rPr>
                      <w:rFonts w:hint="eastAsia"/>
                      <w:color w:val="auto"/>
                      <w:lang w:val="en-US" w:eastAsia="zh-CN"/>
                    </w:rPr>
                    <w:t>沸石分子筛</w:t>
                  </w:r>
                </w:p>
              </w:tc>
              <w:tc>
                <w:tcPr>
                  <w:tcW w:w="1110" w:type="dxa"/>
                  <w:vAlign w:val="center"/>
                </w:tcPr>
                <w:p w14:paraId="5836562F">
                  <w:pPr>
                    <w:pStyle w:val="31"/>
                    <w:bidi w:val="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t/3a</w:t>
                  </w:r>
                </w:p>
              </w:tc>
              <w:tc>
                <w:tcPr>
                  <w:tcW w:w="1440" w:type="dxa"/>
                  <w:gridSpan w:val="2"/>
                  <w:vAlign w:val="center"/>
                </w:tcPr>
                <w:p w14:paraId="01C03920">
                  <w:pPr>
                    <w:pStyle w:val="31"/>
                    <w:bidi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660" w:type="dxa"/>
                  <w:vAlign w:val="center"/>
                </w:tcPr>
                <w:p w14:paraId="205E572E">
                  <w:pPr>
                    <w:pStyle w:val="31"/>
                    <w:keepNext w:val="0"/>
                    <w:keepLines w:val="0"/>
                    <w:pageBreakBefore w:val="0"/>
                    <w:widowControl w:val="0"/>
                    <w:kinsoku/>
                    <w:wordWrap/>
                    <w:overflowPunct/>
                    <w:topLinePunct w:val="0"/>
                    <w:bidi w:val="0"/>
                    <w:adjustRightInd/>
                    <w:snapToGrid/>
                    <w:spacing w:before="20" w:after="20"/>
                    <w:textAlignment w:val="auto"/>
                    <w:rPr>
                      <w:rFonts w:hint="default"/>
                      <w:color w:val="auto"/>
                      <w:lang w:val="en-US" w:eastAsia="zh-CN"/>
                    </w:rPr>
                  </w:pPr>
                  <w:r>
                    <w:rPr>
                      <w:rFonts w:hint="eastAsia"/>
                      <w:color w:val="auto"/>
                      <w:lang w:val="en-US" w:eastAsia="zh-CN"/>
                    </w:rPr>
                    <w:t>外购，用于废气处理设施更换沸石分子筛</w:t>
                  </w:r>
                </w:p>
              </w:tc>
            </w:tr>
            <w:tr w14:paraId="70BCC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14:paraId="723B7508">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2"/>
                      <w:sz w:val="24"/>
                      <w:szCs w:val="24"/>
                      <w:lang w:val="en-US" w:eastAsia="zh-CN" w:bidi="ar-SA"/>
                    </w:rPr>
                  </w:pPr>
                </w:p>
              </w:tc>
              <w:tc>
                <w:tcPr>
                  <w:tcW w:w="2360" w:type="dxa"/>
                  <w:gridSpan w:val="2"/>
                  <w:vAlign w:val="center"/>
                </w:tcPr>
                <w:p w14:paraId="030DA419">
                  <w:pPr>
                    <w:pStyle w:val="31"/>
                    <w:bidi w:val="0"/>
                    <w:rPr>
                      <w:rFonts w:hint="default"/>
                      <w:color w:val="auto"/>
                      <w:lang w:val="en-US" w:eastAsia="zh-CN"/>
                    </w:rPr>
                  </w:pPr>
                  <w:r>
                    <w:rPr>
                      <w:rFonts w:hint="eastAsia"/>
                      <w:color w:val="auto"/>
                      <w:lang w:val="en-US" w:eastAsia="zh-CN"/>
                    </w:rPr>
                    <w:t>催化剂</w:t>
                  </w:r>
                </w:p>
              </w:tc>
              <w:tc>
                <w:tcPr>
                  <w:tcW w:w="1110" w:type="dxa"/>
                  <w:vAlign w:val="center"/>
                </w:tcPr>
                <w:p w14:paraId="0F178D5C">
                  <w:pPr>
                    <w:pStyle w:val="31"/>
                    <w:bidi w:val="0"/>
                    <w:rPr>
                      <w:rFonts w:hint="eastAsia" w:cs="Times New Roman"/>
                      <w:color w:val="auto"/>
                      <w:sz w:val="21"/>
                      <w:szCs w:val="21"/>
                      <w:highlight w:val="yellow"/>
                      <w:lang w:val="en-US" w:eastAsia="zh-CN"/>
                    </w:rPr>
                  </w:pPr>
                  <w:r>
                    <w:rPr>
                      <w:rFonts w:hint="eastAsia" w:cs="Times New Roman"/>
                      <w:color w:val="auto"/>
                      <w:sz w:val="21"/>
                      <w:szCs w:val="21"/>
                      <w:highlight w:val="none"/>
                      <w:lang w:val="en-US" w:eastAsia="zh-CN"/>
                    </w:rPr>
                    <w:t>t/3a</w:t>
                  </w:r>
                </w:p>
              </w:tc>
              <w:tc>
                <w:tcPr>
                  <w:tcW w:w="1440" w:type="dxa"/>
                  <w:gridSpan w:val="2"/>
                  <w:vAlign w:val="center"/>
                </w:tcPr>
                <w:p w14:paraId="3C04F2EF">
                  <w:pPr>
                    <w:pStyle w:val="31"/>
                    <w:bidi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2660" w:type="dxa"/>
                  <w:vAlign w:val="center"/>
                </w:tcPr>
                <w:p w14:paraId="6E402777">
                  <w:pPr>
                    <w:pStyle w:val="31"/>
                    <w:keepNext w:val="0"/>
                    <w:keepLines w:val="0"/>
                    <w:pageBreakBefore w:val="0"/>
                    <w:widowControl w:val="0"/>
                    <w:kinsoku/>
                    <w:wordWrap/>
                    <w:overflowPunct/>
                    <w:topLinePunct w:val="0"/>
                    <w:bidi w:val="0"/>
                    <w:adjustRightInd/>
                    <w:snapToGrid/>
                    <w:spacing w:before="20" w:after="20"/>
                    <w:textAlignment w:val="auto"/>
                    <w:rPr>
                      <w:rFonts w:hint="eastAsia"/>
                      <w:color w:val="auto"/>
                      <w:lang w:val="en-US" w:eastAsia="zh-CN"/>
                    </w:rPr>
                  </w:pPr>
                  <w:r>
                    <w:rPr>
                      <w:rFonts w:hint="eastAsia"/>
                      <w:color w:val="auto"/>
                      <w:lang w:val="en-US" w:eastAsia="zh-CN"/>
                    </w:rPr>
                    <w:t>外购，用于废气处理设施更换催化剂</w:t>
                  </w:r>
                </w:p>
              </w:tc>
            </w:tr>
            <w:tr w14:paraId="78496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14:paraId="0CE70BCF">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2"/>
                      <w:sz w:val="24"/>
                      <w:szCs w:val="24"/>
                      <w:lang w:val="en-US" w:eastAsia="zh-CN" w:bidi="ar-SA"/>
                    </w:rPr>
                  </w:pPr>
                </w:p>
              </w:tc>
              <w:tc>
                <w:tcPr>
                  <w:tcW w:w="2360" w:type="dxa"/>
                  <w:gridSpan w:val="2"/>
                  <w:vAlign w:val="center"/>
                </w:tcPr>
                <w:p w14:paraId="0C117901">
                  <w:pPr>
                    <w:pStyle w:val="31"/>
                    <w:bidi w:val="0"/>
                    <w:rPr>
                      <w:rFonts w:hint="default"/>
                      <w:color w:val="auto"/>
                      <w:lang w:val="en-US" w:eastAsia="zh-CN"/>
                    </w:rPr>
                  </w:pPr>
                  <w:r>
                    <w:rPr>
                      <w:rFonts w:hint="eastAsia"/>
                      <w:color w:val="auto"/>
                      <w:lang w:val="en-US" w:eastAsia="zh-CN"/>
                    </w:rPr>
                    <w:t>布袋</w:t>
                  </w:r>
                </w:p>
              </w:tc>
              <w:tc>
                <w:tcPr>
                  <w:tcW w:w="1110" w:type="dxa"/>
                  <w:vAlign w:val="center"/>
                </w:tcPr>
                <w:p w14:paraId="3442A42D">
                  <w:pPr>
                    <w:pStyle w:val="31"/>
                    <w:bidi w:val="0"/>
                    <w:rPr>
                      <w:rFonts w:hint="eastAsia" w:cs="Times New Roman"/>
                      <w:color w:val="auto"/>
                      <w:sz w:val="21"/>
                      <w:szCs w:val="21"/>
                      <w:highlight w:val="yellow"/>
                      <w:lang w:val="en-US" w:eastAsia="zh-CN"/>
                    </w:rPr>
                  </w:pPr>
                  <w:r>
                    <w:rPr>
                      <w:rFonts w:hint="eastAsia" w:cs="Times New Roman"/>
                      <w:color w:val="auto"/>
                      <w:sz w:val="21"/>
                      <w:szCs w:val="21"/>
                      <w:highlight w:val="none"/>
                      <w:lang w:val="en-US" w:eastAsia="zh-CN"/>
                    </w:rPr>
                    <w:t>t/a</w:t>
                  </w:r>
                </w:p>
              </w:tc>
              <w:tc>
                <w:tcPr>
                  <w:tcW w:w="1440" w:type="dxa"/>
                  <w:gridSpan w:val="2"/>
                  <w:vAlign w:val="center"/>
                </w:tcPr>
                <w:p w14:paraId="5348D98B">
                  <w:pPr>
                    <w:pStyle w:val="31"/>
                    <w:bidi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2660" w:type="dxa"/>
                  <w:vAlign w:val="center"/>
                </w:tcPr>
                <w:p w14:paraId="36182EB3">
                  <w:pPr>
                    <w:pStyle w:val="31"/>
                    <w:keepNext w:val="0"/>
                    <w:keepLines w:val="0"/>
                    <w:pageBreakBefore w:val="0"/>
                    <w:widowControl w:val="0"/>
                    <w:kinsoku/>
                    <w:wordWrap/>
                    <w:overflowPunct/>
                    <w:topLinePunct w:val="0"/>
                    <w:bidi w:val="0"/>
                    <w:adjustRightInd/>
                    <w:snapToGrid/>
                    <w:spacing w:before="20" w:after="20"/>
                    <w:textAlignment w:val="auto"/>
                    <w:rPr>
                      <w:rFonts w:hint="eastAsia"/>
                      <w:color w:val="auto"/>
                      <w:lang w:val="en-US" w:eastAsia="zh-CN"/>
                    </w:rPr>
                  </w:pPr>
                  <w:r>
                    <w:rPr>
                      <w:rFonts w:hint="eastAsia"/>
                      <w:color w:val="auto"/>
                      <w:lang w:val="en-US" w:eastAsia="zh-CN"/>
                    </w:rPr>
                    <w:t>外购，用于废气处理设施更换布袋</w:t>
                  </w:r>
                </w:p>
              </w:tc>
            </w:tr>
            <w:tr w14:paraId="7A136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14:paraId="0BEFF6D6">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360" w:type="dxa"/>
                  <w:gridSpan w:val="2"/>
                  <w:vAlign w:val="center"/>
                </w:tcPr>
                <w:p w14:paraId="711235E8">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水</w:t>
                  </w:r>
                </w:p>
              </w:tc>
              <w:tc>
                <w:tcPr>
                  <w:tcW w:w="1110" w:type="dxa"/>
                  <w:vAlign w:val="center"/>
                </w:tcPr>
                <w:p w14:paraId="2CC832F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m</w:t>
                  </w:r>
                  <w:r>
                    <w:rPr>
                      <w:rFonts w:hint="eastAsia" w:cs="Times New Roman"/>
                      <w:bCs/>
                      <w:color w:val="auto"/>
                      <w:spacing w:val="0"/>
                      <w:sz w:val="21"/>
                      <w:szCs w:val="21"/>
                      <w:highlight w:val="none"/>
                      <w:vertAlign w:val="superscript"/>
                      <w:lang w:val="en-US" w:eastAsia="zh-CN"/>
                    </w:rPr>
                    <w:t>3</w:t>
                  </w:r>
                  <w:r>
                    <w:rPr>
                      <w:rFonts w:hint="eastAsia" w:cs="Times New Roman"/>
                      <w:bCs/>
                      <w:color w:val="auto"/>
                      <w:spacing w:val="0"/>
                      <w:sz w:val="21"/>
                      <w:szCs w:val="21"/>
                      <w:highlight w:val="none"/>
                      <w:lang w:val="en-US" w:eastAsia="zh-CN"/>
                    </w:rPr>
                    <w:t>/a</w:t>
                  </w:r>
                </w:p>
              </w:tc>
              <w:tc>
                <w:tcPr>
                  <w:tcW w:w="1440" w:type="dxa"/>
                  <w:gridSpan w:val="2"/>
                  <w:vAlign w:val="center"/>
                </w:tcPr>
                <w:p w14:paraId="7EAD112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1000</w:t>
                  </w:r>
                </w:p>
              </w:tc>
              <w:tc>
                <w:tcPr>
                  <w:tcW w:w="2660" w:type="dxa"/>
                  <w:vAlign w:val="center"/>
                </w:tcPr>
                <w:p w14:paraId="014C55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供水管网提供</w:t>
                  </w:r>
                </w:p>
              </w:tc>
            </w:tr>
            <w:tr w14:paraId="0C808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14:paraId="7876AB8C">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360" w:type="dxa"/>
                  <w:gridSpan w:val="2"/>
                  <w:vAlign w:val="center"/>
                </w:tcPr>
                <w:p w14:paraId="4CCA99C4">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电</w:t>
                  </w:r>
                </w:p>
              </w:tc>
              <w:tc>
                <w:tcPr>
                  <w:tcW w:w="1110" w:type="dxa"/>
                  <w:vAlign w:val="center"/>
                </w:tcPr>
                <w:p w14:paraId="1791661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万kWh/a</w:t>
                  </w:r>
                </w:p>
              </w:tc>
              <w:tc>
                <w:tcPr>
                  <w:tcW w:w="1440" w:type="dxa"/>
                  <w:gridSpan w:val="2"/>
                  <w:vAlign w:val="center"/>
                </w:tcPr>
                <w:p w14:paraId="1938C16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20</w:t>
                  </w:r>
                </w:p>
              </w:tc>
              <w:tc>
                <w:tcPr>
                  <w:tcW w:w="2660" w:type="dxa"/>
                  <w:vAlign w:val="center"/>
                </w:tcPr>
                <w:p w14:paraId="77C7B90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取自本地电网</w:t>
                  </w:r>
                </w:p>
              </w:tc>
            </w:tr>
          </w:tbl>
          <w:p w14:paraId="59692273">
            <w:pPr>
              <w:pStyle w:val="33"/>
              <w:bidi w:val="0"/>
              <w:rPr>
                <w:rFonts w:hint="default"/>
                <w:color w:val="auto"/>
                <w:lang w:val="en-US" w:eastAsia="zh-CN"/>
              </w:rPr>
            </w:pPr>
            <w:r>
              <w:rPr>
                <w:rFonts w:hint="default"/>
                <w:color w:val="auto"/>
                <w:lang w:val="en-US" w:eastAsia="zh-CN"/>
              </w:rPr>
              <w:t>表1</w:t>
            </w:r>
            <w:r>
              <w:rPr>
                <w:rFonts w:hint="eastAsia"/>
                <w:color w:val="auto"/>
                <w:lang w:val="en-US" w:eastAsia="zh-CN"/>
              </w:rPr>
              <w:t>7</w:t>
            </w:r>
            <w:r>
              <w:rPr>
                <w:rFonts w:hint="default"/>
                <w:color w:val="auto"/>
                <w:lang w:val="en-US" w:eastAsia="zh-CN"/>
              </w:rPr>
              <w:t xml:space="preserve"> </w:t>
            </w:r>
            <w:r>
              <w:rPr>
                <w:rFonts w:hint="eastAsia"/>
                <w:color w:val="auto"/>
                <w:lang w:val="en-US" w:eastAsia="zh-CN"/>
              </w:rPr>
              <w:t xml:space="preserve"> 底漆</w:t>
            </w:r>
            <w:r>
              <w:rPr>
                <w:rFonts w:hint="default"/>
                <w:color w:val="auto"/>
                <w:lang w:val="en-US" w:eastAsia="zh-CN"/>
              </w:rPr>
              <w:t>主要成分一览表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167"/>
              <w:gridCol w:w="2683"/>
              <w:gridCol w:w="2024"/>
            </w:tblGrid>
            <w:tr w14:paraId="52634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03" w:type="dxa"/>
                  <w:noWrap w:val="0"/>
                  <w:vAlign w:val="center"/>
                </w:tcPr>
                <w:p w14:paraId="70E6CA46">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组成</w:t>
                  </w:r>
                </w:p>
              </w:tc>
              <w:tc>
                <w:tcPr>
                  <w:tcW w:w="2167" w:type="dxa"/>
                  <w:noWrap w:val="0"/>
                  <w:vAlign w:val="center"/>
                </w:tcPr>
                <w:p w14:paraId="41B3DEF1">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主要成分名称</w:t>
                  </w:r>
                </w:p>
              </w:tc>
              <w:tc>
                <w:tcPr>
                  <w:tcW w:w="2683" w:type="dxa"/>
                  <w:noWrap w:val="0"/>
                  <w:vAlign w:val="center"/>
                </w:tcPr>
                <w:p w14:paraId="68093C05">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主要成分</w:t>
                  </w:r>
                  <w:r>
                    <w:rPr>
                      <w:rFonts w:hint="eastAsia"/>
                      <w:color w:val="auto"/>
                      <w:lang w:val="en-US" w:eastAsia="zh-CN"/>
                    </w:rPr>
                    <w:t>质</w:t>
                  </w:r>
                  <w:r>
                    <w:rPr>
                      <w:rFonts w:hint="default"/>
                      <w:color w:val="auto"/>
                      <w:lang w:val="zh-CN"/>
                    </w:rPr>
                    <w:t>量百分比（%）</w:t>
                  </w:r>
                </w:p>
              </w:tc>
              <w:tc>
                <w:tcPr>
                  <w:tcW w:w="2024" w:type="dxa"/>
                  <w:noWrap w:val="0"/>
                  <w:vAlign w:val="center"/>
                </w:tcPr>
                <w:p w14:paraId="19BE3458">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en-US" w:eastAsia="zh-CN"/>
                    </w:rPr>
                    <w:t>挥发性有机物含量</w:t>
                  </w:r>
                </w:p>
              </w:tc>
            </w:tr>
            <w:tr w14:paraId="76AD0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03" w:type="dxa"/>
                  <w:vMerge w:val="restart"/>
                  <w:noWrap w:val="0"/>
                  <w:vAlign w:val="center"/>
                </w:tcPr>
                <w:p w14:paraId="0CF44DD2">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zh-CN"/>
                    </w:rPr>
                    <w:t>底漆</w:t>
                  </w:r>
                  <w:r>
                    <w:rPr>
                      <w:rFonts w:hint="eastAsia"/>
                      <w:color w:val="auto"/>
                      <w:lang w:val="zh-CN"/>
                    </w:rPr>
                    <w:t>（</w:t>
                  </w:r>
                  <w:r>
                    <w:rPr>
                      <w:rFonts w:hint="default"/>
                      <w:color w:val="auto"/>
                      <w:lang w:val="en-US" w:eastAsia="zh-CN"/>
                    </w:rPr>
                    <w:t>A组分</w:t>
                  </w:r>
                  <w:r>
                    <w:rPr>
                      <w:rFonts w:hint="eastAsia"/>
                      <w:color w:val="auto"/>
                      <w:lang w:val="zh-CN"/>
                    </w:rPr>
                    <w:t>）</w:t>
                  </w:r>
                </w:p>
              </w:tc>
              <w:tc>
                <w:tcPr>
                  <w:tcW w:w="2167" w:type="dxa"/>
                  <w:noWrap w:val="0"/>
                  <w:vAlign w:val="center"/>
                </w:tcPr>
                <w:p w14:paraId="54770471">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锌</w:t>
                  </w:r>
                </w:p>
              </w:tc>
              <w:tc>
                <w:tcPr>
                  <w:tcW w:w="2683" w:type="dxa"/>
                  <w:noWrap w:val="0"/>
                  <w:vAlign w:val="center"/>
                </w:tcPr>
                <w:p w14:paraId="64D41B1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≥10-≤40</w:t>
                  </w:r>
                </w:p>
              </w:tc>
              <w:tc>
                <w:tcPr>
                  <w:tcW w:w="2024" w:type="dxa"/>
                  <w:vMerge w:val="restart"/>
                  <w:noWrap w:val="0"/>
                  <w:vAlign w:val="center"/>
                </w:tcPr>
                <w:p w14:paraId="4C70926A">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VOC含量：420g/L（</w:t>
                  </w:r>
                  <w:r>
                    <w:rPr>
                      <w:rFonts w:hint="eastAsia"/>
                      <w:color w:val="auto"/>
                      <w:lang w:val="en-US" w:eastAsia="zh-CN"/>
                    </w:rPr>
                    <w:t>根据A、B组分的密度以及使用时的配比比例确定使用时密度约为2.23g/cm</w:t>
                  </w:r>
                  <w:r>
                    <w:rPr>
                      <w:rFonts w:hint="eastAsia"/>
                      <w:color w:val="auto"/>
                      <w:vertAlign w:val="superscript"/>
                      <w:lang w:val="en-US" w:eastAsia="zh-CN"/>
                    </w:rPr>
                    <w:t>3</w:t>
                  </w:r>
                  <w:r>
                    <w:rPr>
                      <w:rFonts w:hint="eastAsia"/>
                      <w:color w:val="auto"/>
                      <w:lang w:val="en-US" w:eastAsia="zh-CN"/>
                    </w:rPr>
                    <w:t>，</w:t>
                  </w:r>
                  <w:r>
                    <w:rPr>
                      <w:rFonts w:hint="default"/>
                      <w:color w:val="auto"/>
                      <w:lang w:val="en-US" w:eastAsia="zh-CN"/>
                    </w:rPr>
                    <w:t>折合</w:t>
                  </w:r>
                  <w:r>
                    <w:rPr>
                      <w:rFonts w:hint="eastAsia"/>
                      <w:color w:val="auto"/>
                      <w:lang w:val="en-US" w:eastAsia="zh-CN"/>
                    </w:rPr>
                    <w:t>188</w:t>
                  </w:r>
                  <w:r>
                    <w:rPr>
                      <w:rFonts w:hint="default"/>
                      <w:color w:val="auto"/>
                      <w:lang w:val="en-US" w:eastAsia="zh-CN"/>
                    </w:rPr>
                    <w:t>g/kg）</w:t>
                  </w:r>
                  <w:r>
                    <w:rPr>
                      <w:rFonts w:hint="eastAsia"/>
                      <w:color w:val="auto"/>
                      <w:lang w:val="en-US" w:eastAsia="zh-CN"/>
                    </w:rPr>
                    <w:t>，二甲苯含量为12.48%</w:t>
                  </w:r>
                </w:p>
              </w:tc>
            </w:tr>
            <w:tr w14:paraId="2B104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03" w:type="dxa"/>
                  <w:vMerge w:val="continue"/>
                  <w:noWrap w:val="0"/>
                  <w:vAlign w:val="center"/>
                </w:tcPr>
                <w:p w14:paraId="1B67125A">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p>
              </w:tc>
              <w:tc>
                <w:tcPr>
                  <w:tcW w:w="2167" w:type="dxa"/>
                  <w:noWrap w:val="0"/>
                  <w:vAlign w:val="center"/>
                </w:tcPr>
                <w:p w14:paraId="4A167647">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zh-CN"/>
                    </w:rPr>
                    <w:t>二甲苯</w:t>
                  </w:r>
                </w:p>
              </w:tc>
              <w:tc>
                <w:tcPr>
                  <w:tcW w:w="2683" w:type="dxa"/>
                  <w:noWrap w:val="0"/>
                  <w:vAlign w:val="center"/>
                </w:tcPr>
                <w:p w14:paraId="3600D64D">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≤10</w:t>
                  </w:r>
                </w:p>
              </w:tc>
              <w:tc>
                <w:tcPr>
                  <w:tcW w:w="2024" w:type="dxa"/>
                  <w:vMerge w:val="continue"/>
                  <w:noWrap w:val="0"/>
                  <w:vAlign w:val="center"/>
                </w:tcPr>
                <w:p w14:paraId="7D293554">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1C57E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vMerge w:val="continue"/>
                  <w:noWrap w:val="0"/>
                  <w:vAlign w:val="center"/>
                </w:tcPr>
                <w:p w14:paraId="7FF5D333">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p>
              </w:tc>
              <w:tc>
                <w:tcPr>
                  <w:tcW w:w="2167" w:type="dxa"/>
                  <w:noWrap w:val="0"/>
                  <w:vAlign w:val="center"/>
                </w:tcPr>
                <w:p w14:paraId="3B5A9E59">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环氧树脂</w:t>
                  </w:r>
                </w:p>
              </w:tc>
              <w:tc>
                <w:tcPr>
                  <w:tcW w:w="2683" w:type="dxa"/>
                  <w:noWrap w:val="0"/>
                  <w:vAlign w:val="center"/>
                </w:tcPr>
                <w:p w14:paraId="225D12DD">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≤10</w:t>
                  </w:r>
                </w:p>
              </w:tc>
              <w:tc>
                <w:tcPr>
                  <w:tcW w:w="2024" w:type="dxa"/>
                  <w:vMerge w:val="continue"/>
                  <w:noWrap w:val="0"/>
                  <w:vAlign w:val="center"/>
                </w:tcPr>
                <w:p w14:paraId="33D90787">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044D2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vMerge w:val="continue"/>
                  <w:noWrap w:val="0"/>
                  <w:vAlign w:val="center"/>
                </w:tcPr>
                <w:p w14:paraId="2A58F3C7">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p>
              </w:tc>
              <w:tc>
                <w:tcPr>
                  <w:tcW w:w="2167" w:type="dxa"/>
                  <w:noWrap w:val="0"/>
                  <w:vAlign w:val="center"/>
                </w:tcPr>
                <w:p w14:paraId="760DD1B3">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正丁醇</w:t>
                  </w:r>
                </w:p>
              </w:tc>
              <w:tc>
                <w:tcPr>
                  <w:tcW w:w="2683" w:type="dxa"/>
                  <w:noWrap w:val="0"/>
                  <w:vAlign w:val="center"/>
                </w:tcPr>
                <w:p w14:paraId="1F44D1C0">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≤10</w:t>
                  </w:r>
                </w:p>
              </w:tc>
              <w:tc>
                <w:tcPr>
                  <w:tcW w:w="2024" w:type="dxa"/>
                  <w:vMerge w:val="continue"/>
                  <w:noWrap w:val="0"/>
                  <w:vAlign w:val="center"/>
                </w:tcPr>
                <w:p w14:paraId="547D3D0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760F8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vMerge w:val="continue"/>
                  <w:noWrap w:val="0"/>
                  <w:vAlign w:val="center"/>
                </w:tcPr>
                <w:p w14:paraId="56EAAF7D">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p>
              </w:tc>
              <w:tc>
                <w:tcPr>
                  <w:tcW w:w="2167" w:type="dxa"/>
                  <w:noWrap w:val="0"/>
                  <w:vAlign w:val="center"/>
                </w:tcPr>
                <w:p w14:paraId="110A04CD">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乙苯</w:t>
                  </w:r>
                </w:p>
              </w:tc>
              <w:tc>
                <w:tcPr>
                  <w:tcW w:w="2683" w:type="dxa"/>
                  <w:noWrap w:val="0"/>
                  <w:vAlign w:val="center"/>
                </w:tcPr>
                <w:p w14:paraId="1D643D5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≤3</w:t>
                  </w:r>
                </w:p>
              </w:tc>
              <w:tc>
                <w:tcPr>
                  <w:tcW w:w="2024" w:type="dxa"/>
                  <w:vMerge w:val="continue"/>
                  <w:noWrap w:val="0"/>
                  <w:vAlign w:val="center"/>
                </w:tcPr>
                <w:p w14:paraId="6BA619D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74E48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vMerge w:val="continue"/>
                  <w:noWrap w:val="0"/>
                  <w:vAlign w:val="center"/>
                </w:tcPr>
                <w:p w14:paraId="44802C02">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p>
              </w:tc>
              <w:tc>
                <w:tcPr>
                  <w:tcW w:w="2167" w:type="dxa"/>
                  <w:noWrap w:val="0"/>
                  <w:vAlign w:val="center"/>
                </w:tcPr>
                <w:p w14:paraId="7F709E3C">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氧化锌</w:t>
                  </w:r>
                </w:p>
              </w:tc>
              <w:tc>
                <w:tcPr>
                  <w:tcW w:w="2683" w:type="dxa"/>
                  <w:noWrap w:val="0"/>
                  <w:vAlign w:val="center"/>
                </w:tcPr>
                <w:p w14:paraId="2332753E">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≤0.67</w:t>
                  </w:r>
                </w:p>
              </w:tc>
              <w:tc>
                <w:tcPr>
                  <w:tcW w:w="2024" w:type="dxa"/>
                  <w:vMerge w:val="continue"/>
                  <w:noWrap w:val="0"/>
                  <w:vAlign w:val="center"/>
                </w:tcPr>
                <w:p w14:paraId="3528F68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7847D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vMerge w:val="restart"/>
                  <w:noWrap w:val="0"/>
                  <w:vAlign w:val="center"/>
                </w:tcPr>
                <w:p w14:paraId="36EB3BB6">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rPr>
                  </w:pPr>
                  <w:r>
                    <w:rPr>
                      <w:rFonts w:hint="default"/>
                      <w:color w:val="auto"/>
                      <w:lang w:val="zh-CN"/>
                    </w:rPr>
                    <w:t>底漆</w:t>
                  </w:r>
                  <w:r>
                    <w:rPr>
                      <w:rFonts w:hint="eastAsia"/>
                      <w:color w:val="auto"/>
                      <w:lang w:val="zh-CN"/>
                    </w:rPr>
                    <w:t>（</w:t>
                  </w:r>
                  <w:r>
                    <w:rPr>
                      <w:rFonts w:hint="eastAsia"/>
                      <w:color w:val="auto"/>
                      <w:lang w:val="en-US" w:eastAsia="zh-CN"/>
                    </w:rPr>
                    <w:t>B</w:t>
                  </w:r>
                  <w:r>
                    <w:rPr>
                      <w:rFonts w:hint="default"/>
                      <w:color w:val="auto"/>
                      <w:lang w:val="en-US" w:eastAsia="zh-CN"/>
                    </w:rPr>
                    <w:t>组分</w:t>
                  </w:r>
                  <w:r>
                    <w:rPr>
                      <w:rFonts w:hint="eastAsia"/>
                      <w:color w:val="auto"/>
                      <w:lang w:val="zh-CN"/>
                    </w:rPr>
                    <w:t>）</w:t>
                  </w:r>
                </w:p>
              </w:tc>
              <w:tc>
                <w:tcPr>
                  <w:tcW w:w="2167" w:type="dxa"/>
                  <w:noWrap w:val="0"/>
                  <w:vAlign w:val="center"/>
                </w:tcPr>
                <w:p w14:paraId="30744AE2">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二甲苯</w:t>
                  </w:r>
                </w:p>
              </w:tc>
              <w:tc>
                <w:tcPr>
                  <w:tcW w:w="2683" w:type="dxa"/>
                  <w:noWrap w:val="0"/>
                  <w:vAlign w:val="center"/>
                </w:tcPr>
                <w:p w14:paraId="54ACEBC3">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≥10-≤</w:t>
                  </w:r>
                  <w:r>
                    <w:rPr>
                      <w:rFonts w:hint="eastAsia"/>
                      <w:color w:val="auto"/>
                      <w:lang w:val="en-US" w:eastAsia="zh-CN"/>
                    </w:rPr>
                    <w:t>5</w:t>
                  </w:r>
                  <w:r>
                    <w:rPr>
                      <w:rFonts w:hint="default"/>
                      <w:color w:val="auto"/>
                      <w:lang w:val="en-US" w:eastAsia="zh-CN"/>
                    </w:rPr>
                    <w:t>0</w:t>
                  </w:r>
                </w:p>
              </w:tc>
              <w:tc>
                <w:tcPr>
                  <w:tcW w:w="2024" w:type="dxa"/>
                  <w:vMerge w:val="continue"/>
                  <w:noWrap w:val="0"/>
                  <w:vAlign w:val="center"/>
                </w:tcPr>
                <w:p w14:paraId="7BE600A4">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3411E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vMerge w:val="continue"/>
                  <w:noWrap w:val="0"/>
                  <w:vAlign w:val="center"/>
                </w:tcPr>
                <w:p w14:paraId="6015A18B">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p>
              </w:tc>
              <w:tc>
                <w:tcPr>
                  <w:tcW w:w="2167" w:type="dxa"/>
                  <w:noWrap w:val="0"/>
                  <w:vAlign w:val="center"/>
                </w:tcPr>
                <w:p w14:paraId="4D61EBB5">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en-US" w:eastAsia="zh-CN"/>
                    </w:rPr>
                    <w:t>乙苯</w:t>
                  </w:r>
                </w:p>
              </w:tc>
              <w:tc>
                <w:tcPr>
                  <w:tcW w:w="2683" w:type="dxa"/>
                  <w:noWrap w:val="0"/>
                  <w:vAlign w:val="center"/>
                </w:tcPr>
                <w:p w14:paraId="4EA8A024">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≥10-≤25</w:t>
                  </w:r>
                </w:p>
              </w:tc>
              <w:tc>
                <w:tcPr>
                  <w:tcW w:w="2024" w:type="dxa"/>
                  <w:vMerge w:val="continue"/>
                  <w:noWrap w:val="0"/>
                  <w:vAlign w:val="center"/>
                </w:tcPr>
                <w:p w14:paraId="05BD0F10">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23550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3" w:type="dxa"/>
                  <w:vMerge w:val="continue"/>
                  <w:noWrap w:val="0"/>
                  <w:vAlign w:val="center"/>
                </w:tcPr>
                <w:p w14:paraId="7F926329">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p>
              </w:tc>
              <w:tc>
                <w:tcPr>
                  <w:tcW w:w="2167" w:type="dxa"/>
                  <w:noWrap w:val="0"/>
                  <w:vAlign w:val="center"/>
                </w:tcPr>
                <w:p w14:paraId="2694147B">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聚乙烯多聚胺</w:t>
                  </w:r>
                </w:p>
              </w:tc>
              <w:tc>
                <w:tcPr>
                  <w:tcW w:w="2683" w:type="dxa"/>
                  <w:noWrap w:val="0"/>
                  <w:vAlign w:val="center"/>
                </w:tcPr>
                <w:p w14:paraId="0ED62AD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≤1.3</w:t>
                  </w:r>
                </w:p>
              </w:tc>
              <w:tc>
                <w:tcPr>
                  <w:tcW w:w="2024" w:type="dxa"/>
                  <w:vMerge w:val="continue"/>
                  <w:noWrap w:val="0"/>
                  <w:vAlign w:val="center"/>
                </w:tcPr>
                <w:p w14:paraId="33FBB393">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bl>
          <w:p w14:paraId="3A4F7B7A">
            <w:pPr>
              <w:pStyle w:val="33"/>
              <w:bidi w:val="0"/>
              <w:rPr>
                <w:rFonts w:hint="default"/>
                <w:color w:val="auto"/>
                <w:lang w:val="en-US" w:eastAsia="zh-CN"/>
              </w:rPr>
            </w:pPr>
            <w:r>
              <w:rPr>
                <w:rFonts w:hint="default"/>
                <w:color w:val="auto"/>
                <w:lang w:val="en-US" w:eastAsia="zh-CN"/>
              </w:rPr>
              <w:t>表1</w:t>
            </w:r>
            <w:r>
              <w:rPr>
                <w:rFonts w:hint="eastAsia"/>
                <w:color w:val="auto"/>
                <w:lang w:val="en-US" w:eastAsia="zh-CN"/>
              </w:rPr>
              <w:t>8</w:t>
            </w:r>
            <w:r>
              <w:rPr>
                <w:rFonts w:hint="default"/>
                <w:color w:val="auto"/>
                <w:lang w:val="en-US" w:eastAsia="zh-CN"/>
              </w:rPr>
              <w:t xml:space="preserve"> </w:t>
            </w:r>
            <w:r>
              <w:rPr>
                <w:rFonts w:hint="eastAsia"/>
                <w:color w:val="auto"/>
                <w:lang w:val="en-US" w:eastAsia="zh-CN"/>
              </w:rPr>
              <w:t xml:space="preserve"> 面漆</w:t>
            </w:r>
            <w:r>
              <w:rPr>
                <w:rFonts w:hint="default"/>
                <w:color w:val="auto"/>
                <w:lang w:val="en-US" w:eastAsia="zh-CN"/>
              </w:rPr>
              <w:t>主要成分一览表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418"/>
              <w:gridCol w:w="2600"/>
              <w:gridCol w:w="1940"/>
            </w:tblGrid>
            <w:tr w14:paraId="24B49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noWrap w:val="0"/>
                  <w:vAlign w:val="center"/>
                </w:tcPr>
                <w:p w14:paraId="331E992B">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组成</w:t>
                  </w:r>
                </w:p>
              </w:tc>
              <w:tc>
                <w:tcPr>
                  <w:tcW w:w="2418" w:type="dxa"/>
                  <w:noWrap w:val="0"/>
                  <w:vAlign w:val="center"/>
                </w:tcPr>
                <w:p w14:paraId="263C1FE2">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主要成分名称</w:t>
                  </w:r>
                </w:p>
              </w:tc>
              <w:tc>
                <w:tcPr>
                  <w:tcW w:w="2600" w:type="dxa"/>
                  <w:noWrap w:val="0"/>
                  <w:vAlign w:val="center"/>
                </w:tcPr>
                <w:p w14:paraId="326AFCCB">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主要成分</w:t>
                  </w:r>
                  <w:r>
                    <w:rPr>
                      <w:rFonts w:hint="eastAsia"/>
                      <w:color w:val="auto"/>
                      <w:lang w:val="en-US" w:eastAsia="zh-CN"/>
                    </w:rPr>
                    <w:t>质</w:t>
                  </w:r>
                  <w:r>
                    <w:rPr>
                      <w:rFonts w:hint="default"/>
                      <w:color w:val="auto"/>
                      <w:lang w:val="zh-CN"/>
                    </w:rPr>
                    <w:t>量百分比（%）</w:t>
                  </w:r>
                </w:p>
              </w:tc>
              <w:tc>
                <w:tcPr>
                  <w:tcW w:w="1940" w:type="dxa"/>
                  <w:noWrap w:val="0"/>
                  <w:vAlign w:val="center"/>
                </w:tcPr>
                <w:p w14:paraId="62CB2C6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en-US" w:eastAsia="zh-CN"/>
                    </w:rPr>
                    <w:t>挥发性有机物含量</w:t>
                  </w:r>
                </w:p>
              </w:tc>
            </w:tr>
            <w:tr w14:paraId="34C23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restart"/>
                  <w:noWrap w:val="0"/>
                  <w:vAlign w:val="center"/>
                </w:tcPr>
                <w:p w14:paraId="1BA8E2E9">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eastAsia"/>
                      <w:color w:val="auto"/>
                      <w:lang w:val="en-US" w:eastAsia="zh-CN"/>
                    </w:rPr>
                    <w:t>面</w:t>
                  </w:r>
                  <w:r>
                    <w:rPr>
                      <w:rFonts w:hint="default"/>
                      <w:color w:val="auto"/>
                      <w:lang w:val="zh-CN"/>
                    </w:rPr>
                    <w:t>漆</w:t>
                  </w:r>
                  <w:r>
                    <w:rPr>
                      <w:rFonts w:hint="eastAsia"/>
                      <w:color w:val="auto"/>
                      <w:lang w:val="zh-CN"/>
                    </w:rPr>
                    <w:t>（</w:t>
                  </w:r>
                  <w:r>
                    <w:rPr>
                      <w:rFonts w:hint="default"/>
                      <w:color w:val="auto"/>
                      <w:lang w:val="en-US" w:eastAsia="zh-CN"/>
                    </w:rPr>
                    <w:t>A组分</w:t>
                  </w:r>
                  <w:r>
                    <w:rPr>
                      <w:rFonts w:hint="eastAsia"/>
                      <w:color w:val="auto"/>
                      <w:lang w:val="zh-CN"/>
                    </w:rPr>
                    <w:t>）</w:t>
                  </w:r>
                </w:p>
              </w:tc>
              <w:tc>
                <w:tcPr>
                  <w:tcW w:w="2418" w:type="dxa"/>
                  <w:noWrap w:val="0"/>
                  <w:vAlign w:val="center"/>
                </w:tcPr>
                <w:p w14:paraId="321C5865">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zh-CN"/>
                    </w:rPr>
                    <w:t>二甲苯</w:t>
                  </w:r>
                </w:p>
              </w:tc>
              <w:tc>
                <w:tcPr>
                  <w:tcW w:w="2600" w:type="dxa"/>
                  <w:noWrap w:val="0"/>
                  <w:vAlign w:val="center"/>
                </w:tcPr>
                <w:p w14:paraId="1DB69AD8">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≥10-</w:t>
                  </w:r>
                  <w:r>
                    <w:rPr>
                      <w:rFonts w:hint="eastAsia"/>
                      <w:color w:val="auto"/>
                      <w:lang w:val="en-US" w:eastAsia="zh-CN"/>
                    </w:rPr>
                    <w:t>&lt;</w:t>
                  </w:r>
                  <w:r>
                    <w:rPr>
                      <w:rFonts w:hint="default"/>
                      <w:color w:val="auto"/>
                      <w:lang w:val="en-US" w:eastAsia="zh-CN"/>
                    </w:rPr>
                    <w:t>22</w:t>
                  </w:r>
                </w:p>
              </w:tc>
              <w:tc>
                <w:tcPr>
                  <w:tcW w:w="1940" w:type="dxa"/>
                  <w:vMerge w:val="restart"/>
                  <w:noWrap w:val="0"/>
                  <w:vAlign w:val="center"/>
                </w:tcPr>
                <w:p w14:paraId="06D1D32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default"/>
                      <w:color w:val="auto"/>
                      <w:lang w:val="en-US" w:eastAsia="zh-CN"/>
                    </w:rPr>
                    <w:t>VOC含量：314g/L（</w:t>
                  </w:r>
                  <w:r>
                    <w:rPr>
                      <w:rFonts w:hint="eastAsia"/>
                      <w:color w:val="auto"/>
                      <w:lang w:val="en-US" w:eastAsia="zh-CN"/>
                    </w:rPr>
                    <w:t>根据A、B组分的密度以及使用时的配比比例确定使用时密度约为1.40g/cm</w:t>
                  </w:r>
                  <w:r>
                    <w:rPr>
                      <w:rFonts w:hint="eastAsia"/>
                      <w:color w:val="auto"/>
                      <w:vertAlign w:val="superscript"/>
                      <w:lang w:val="en-US" w:eastAsia="zh-CN"/>
                    </w:rPr>
                    <w:t>3</w:t>
                  </w:r>
                  <w:r>
                    <w:rPr>
                      <w:rFonts w:hint="eastAsia"/>
                      <w:color w:val="auto"/>
                      <w:lang w:val="en-US" w:eastAsia="zh-CN"/>
                    </w:rPr>
                    <w:t>，</w:t>
                  </w:r>
                  <w:r>
                    <w:rPr>
                      <w:rFonts w:hint="default"/>
                      <w:color w:val="auto"/>
                      <w:lang w:val="en-US" w:eastAsia="zh-CN"/>
                    </w:rPr>
                    <w:t>折合</w:t>
                  </w:r>
                  <w:r>
                    <w:rPr>
                      <w:rFonts w:hint="eastAsia"/>
                      <w:color w:val="auto"/>
                      <w:lang w:val="en-US" w:eastAsia="zh-CN"/>
                    </w:rPr>
                    <w:t>224</w:t>
                  </w:r>
                  <w:r>
                    <w:rPr>
                      <w:rFonts w:hint="default"/>
                      <w:color w:val="auto"/>
                      <w:lang w:val="en-US" w:eastAsia="zh-CN"/>
                    </w:rPr>
                    <w:t>g/kg）</w:t>
                  </w:r>
                  <w:r>
                    <w:rPr>
                      <w:rFonts w:hint="eastAsia"/>
                      <w:color w:val="auto"/>
                      <w:lang w:val="en-US" w:eastAsia="zh-CN"/>
                    </w:rPr>
                    <w:t>，甲苯含量为0.28%，二甲苯含量为21.1%，甲苯与二甲苯合计含量为21.38%</w:t>
                  </w:r>
                </w:p>
              </w:tc>
            </w:tr>
            <w:tr w14:paraId="29F9C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19" w:type="dxa"/>
                  <w:vMerge w:val="continue"/>
                  <w:noWrap w:val="0"/>
                  <w:vAlign w:val="center"/>
                </w:tcPr>
                <w:p w14:paraId="32804538">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p>
              </w:tc>
              <w:tc>
                <w:tcPr>
                  <w:tcW w:w="2418" w:type="dxa"/>
                  <w:noWrap w:val="0"/>
                  <w:vAlign w:val="center"/>
                </w:tcPr>
                <w:p w14:paraId="7C5F7CEC">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轻芳烃溶剂油、小于0.1%苯</w:t>
                  </w:r>
                </w:p>
              </w:tc>
              <w:tc>
                <w:tcPr>
                  <w:tcW w:w="2600" w:type="dxa"/>
                  <w:noWrap w:val="0"/>
                  <w:vAlign w:val="center"/>
                </w:tcPr>
                <w:p w14:paraId="75C9328E">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≤10</w:t>
                  </w:r>
                </w:p>
              </w:tc>
              <w:tc>
                <w:tcPr>
                  <w:tcW w:w="1940" w:type="dxa"/>
                  <w:vMerge w:val="continue"/>
                  <w:noWrap w:val="0"/>
                  <w:vAlign w:val="center"/>
                </w:tcPr>
                <w:p w14:paraId="369227E0">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42B7A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14:paraId="510A43EC">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p>
              </w:tc>
              <w:tc>
                <w:tcPr>
                  <w:tcW w:w="2418" w:type="dxa"/>
                  <w:noWrap w:val="0"/>
                  <w:vAlign w:val="center"/>
                </w:tcPr>
                <w:p w14:paraId="76324824">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乙苯</w:t>
                  </w:r>
                </w:p>
              </w:tc>
              <w:tc>
                <w:tcPr>
                  <w:tcW w:w="2600" w:type="dxa"/>
                  <w:noWrap w:val="0"/>
                  <w:vAlign w:val="center"/>
                </w:tcPr>
                <w:p w14:paraId="3D86D01E">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≤5</w:t>
                  </w:r>
                </w:p>
              </w:tc>
              <w:tc>
                <w:tcPr>
                  <w:tcW w:w="1940" w:type="dxa"/>
                  <w:vMerge w:val="continue"/>
                  <w:noWrap w:val="0"/>
                  <w:vAlign w:val="center"/>
                </w:tcPr>
                <w:p w14:paraId="3DAB2D54">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05682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14:paraId="48B2FFD2">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p>
              </w:tc>
              <w:tc>
                <w:tcPr>
                  <w:tcW w:w="2418" w:type="dxa"/>
                  <w:noWrap w:val="0"/>
                  <w:vAlign w:val="center"/>
                </w:tcPr>
                <w:p w14:paraId="07E98EFB">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甲苯</w:t>
                  </w:r>
                </w:p>
              </w:tc>
              <w:tc>
                <w:tcPr>
                  <w:tcW w:w="2600" w:type="dxa"/>
                  <w:noWrap w:val="0"/>
                  <w:vAlign w:val="center"/>
                </w:tcPr>
                <w:p w14:paraId="51978E4D">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≤0.3</w:t>
                  </w:r>
                </w:p>
              </w:tc>
              <w:tc>
                <w:tcPr>
                  <w:tcW w:w="1940" w:type="dxa"/>
                  <w:vMerge w:val="continue"/>
                  <w:noWrap w:val="0"/>
                  <w:vAlign w:val="center"/>
                </w:tcPr>
                <w:p w14:paraId="7C35F2E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4724D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319" w:type="dxa"/>
                  <w:vMerge w:val="continue"/>
                  <w:noWrap w:val="0"/>
                  <w:vAlign w:val="center"/>
                </w:tcPr>
                <w:p w14:paraId="501E6B57">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p>
              </w:tc>
              <w:tc>
                <w:tcPr>
                  <w:tcW w:w="2418" w:type="dxa"/>
                  <w:noWrap w:val="0"/>
                  <w:vAlign w:val="center"/>
                </w:tcPr>
                <w:p w14:paraId="6E8573CB">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癸二酸双</w:t>
                  </w: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6-五甲基哌啶醇</w:t>
                  </w:r>
                  <w:r>
                    <w:rPr>
                      <w:rFonts w:hint="eastAsia"/>
                      <w:color w:val="auto"/>
                      <w:lang w:val="en-US" w:eastAsia="zh-CN"/>
                    </w:rPr>
                    <w:t>）</w:t>
                  </w:r>
                  <w:r>
                    <w:rPr>
                      <w:rFonts w:hint="default"/>
                      <w:color w:val="auto"/>
                      <w:lang w:val="en-US" w:eastAsia="zh-CN"/>
                    </w:rPr>
                    <w:t>酯</w:t>
                  </w:r>
                </w:p>
              </w:tc>
              <w:tc>
                <w:tcPr>
                  <w:tcW w:w="2600" w:type="dxa"/>
                  <w:noWrap w:val="0"/>
                  <w:vAlign w:val="center"/>
                </w:tcPr>
                <w:p w14:paraId="0E63388C">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＜0.25</w:t>
                  </w:r>
                </w:p>
              </w:tc>
              <w:tc>
                <w:tcPr>
                  <w:tcW w:w="1940" w:type="dxa"/>
                  <w:vMerge w:val="continue"/>
                  <w:noWrap w:val="0"/>
                  <w:vAlign w:val="center"/>
                </w:tcPr>
                <w:p w14:paraId="1F07DC97">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48ABD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restart"/>
                  <w:noWrap w:val="0"/>
                  <w:vAlign w:val="center"/>
                </w:tcPr>
                <w:p w14:paraId="4BA295F3">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eastAsia"/>
                      <w:color w:val="auto"/>
                      <w:lang w:val="en-US" w:eastAsia="zh-CN"/>
                    </w:rPr>
                    <w:t>面</w:t>
                  </w:r>
                  <w:r>
                    <w:rPr>
                      <w:rFonts w:hint="default"/>
                      <w:color w:val="auto"/>
                      <w:lang w:val="zh-CN"/>
                    </w:rPr>
                    <w:t>漆</w:t>
                  </w:r>
                  <w:r>
                    <w:rPr>
                      <w:rFonts w:hint="eastAsia"/>
                      <w:color w:val="auto"/>
                      <w:lang w:val="zh-CN"/>
                    </w:rPr>
                    <w:t>（</w:t>
                  </w:r>
                  <w:r>
                    <w:rPr>
                      <w:rFonts w:hint="eastAsia"/>
                      <w:color w:val="auto"/>
                      <w:lang w:val="en-US" w:eastAsia="zh-CN"/>
                    </w:rPr>
                    <w:t>B</w:t>
                  </w:r>
                  <w:r>
                    <w:rPr>
                      <w:rFonts w:hint="default"/>
                      <w:color w:val="auto"/>
                      <w:lang w:val="en-US" w:eastAsia="zh-CN"/>
                    </w:rPr>
                    <w:t>组分</w:t>
                  </w:r>
                  <w:r>
                    <w:rPr>
                      <w:rFonts w:hint="eastAsia"/>
                      <w:color w:val="auto"/>
                      <w:lang w:val="zh-CN"/>
                    </w:rPr>
                    <w:t>）</w:t>
                  </w:r>
                </w:p>
              </w:tc>
              <w:tc>
                <w:tcPr>
                  <w:tcW w:w="2418" w:type="dxa"/>
                  <w:noWrap w:val="0"/>
                  <w:vAlign w:val="center"/>
                </w:tcPr>
                <w:p w14:paraId="5C7E7205">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聚六亚甲基二异氰酸酯</w:t>
                  </w:r>
                </w:p>
              </w:tc>
              <w:tc>
                <w:tcPr>
                  <w:tcW w:w="2600" w:type="dxa"/>
                  <w:noWrap w:val="0"/>
                  <w:vAlign w:val="center"/>
                </w:tcPr>
                <w:p w14:paraId="5F6B077B">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≥50-≤75</w:t>
                  </w:r>
                </w:p>
              </w:tc>
              <w:tc>
                <w:tcPr>
                  <w:tcW w:w="1940" w:type="dxa"/>
                  <w:vMerge w:val="continue"/>
                  <w:noWrap w:val="0"/>
                  <w:vAlign w:val="center"/>
                </w:tcPr>
                <w:p w14:paraId="2F8B859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41109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14:paraId="07EA6051">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p>
              </w:tc>
              <w:tc>
                <w:tcPr>
                  <w:tcW w:w="2418" w:type="dxa"/>
                  <w:noWrap w:val="0"/>
                  <w:vAlign w:val="center"/>
                </w:tcPr>
                <w:p w14:paraId="68562236">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zh-CN"/>
                    </w:rPr>
                    <w:t>二甲苯</w:t>
                  </w:r>
                </w:p>
              </w:tc>
              <w:tc>
                <w:tcPr>
                  <w:tcW w:w="2600" w:type="dxa"/>
                  <w:noWrap w:val="0"/>
                  <w:vAlign w:val="center"/>
                </w:tcPr>
                <w:p w14:paraId="56E8680E">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eastAsia"/>
                      <w:color w:val="auto"/>
                      <w:lang w:val="en-US" w:eastAsia="zh-CN"/>
                    </w:rPr>
                    <w:t>&lt;10</w:t>
                  </w:r>
                </w:p>
              </w:tc>
              <w:tc>
                <w:tcPr>
                  <w:tcW w:w="1940" w:type="dxa"/>
                  <w:vMerge w:val="continue"/>
                  <w:noWrap w:val="0"/>
                  <w:vAlign w:val="center"/>
                </w:tcPr>
                <w:p w14:paraId="5E640892">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7F591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dxa"/>
                  <w:vMerge w:val="continue"/>
                  <w:noWrap w:val="0"/>
                  <w:vAlign w:val="center"/>
                </w:tcPr>
                <w:p w14:paraId="21FC44D6">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p>
              </w:tc>
              <w:tc>
                <w:tcPr>
                  <w:tcW w:w="2418" w:type="dxa"/>
                  <w:noWrap w:val="0"/>
                  <w:vAlign w:val="center"/>
                </w:tcPr>
                <w:p w14:paraId="3740864D">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乙苯</w:t>
                  </w:r>
                </w:p>
              </w:tc>
              <w:tc>
                <w:tcPr>
                  <w:tcW w:w="2600" w:type="dxa"/>
                  <w:noWrap w:val="0"/>
                  <w:vAlign w:val="center"/>
                </w:tcPr>
                <w:p w14:paraId="74E87BDF">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default"/>
                      <w:color w:val="auto"/>
                      <w:lang w:val="en-US" w:eastAsia="zh-CN"/>
                    </w:rPr>
                    <w:t>≤5</w:t>
                  </w:r>
                </w:p>
              </w:tc>
              <w:tc>
                <w:tcPr>
                  <w:tcW w:w="1940" w:type="dxa"/>
                  <w:vMerge w:val="continue"/>
                  <w:noWrap w:val="0"/>
                  <w:vAlign w:val="center"/>
                </w:tcPr>
                <w:p w14:paraId="01B6D07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bl>
          <w:p w14:paraId="73A14896">
            <w:pPr>
              <w:pStyle w:val="33"/>
              <w:bidi w:val="0"/>
              <w:rPr>
                <w:rFonts w:hint="default"/>
                <w:color w:val="auto"/>
                <w:lang w:val="en-US" w:eastAsia="zh-CN"/>
              </w:rPr>
            </w:pPr>
            <w:r>
              <w:rPr>
                <w:rFonts w:hint="default"/>
                <w:color w:val="auto"/>
                <w:lang w:val="en-US" w:eastAsia="zh-CN"/>
              </w:rPr>
              <w:t>表1</w:t>
            </w:r>
            <w:r>
              <w:rPr>
                <w:rFonts w:hint="eastAsia"/>
                <w:color w:val="auto"/>
                <w:lang w:val="en-US" w:eastAsia="zh-CN"/>
              </w:rPr>
              <w:t>9</w:t>
            </w:r>
            <w:r>
              <w:rPr>
                <w:rFonts w:hint="default"/>
                <w:color w:val="auto"/>
                <w:lang w:val="en-US" w:eastAsia="zh-CN"/>
              </w:rPr>
              <w:t xml:space="preserve"> </w:t>
            </w:r>
            <w:r>
              <w:rPr>
                <w:rFonts w:hint="eastAsia"/>
                <w:color w:val="auto"/>
                <w:lang w:val="en-US" w:eastAsia="zh-CN"/>
              </w:rPr>
              <w:t xml:space="preserve"> 耐弧漆</w:t>
            </w:r>
            <w:r>
              <w:rPr>
                <w:rFonts w:hint="default"/>
                <w:color w:val="auto"/>
                <w:lang w:val="en-US" w:eastAsia="zh-CN"/>
              </w:rPr>
              <w:t>主要成分一览表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0"/>
              <w:gridCol w:w="2100"/>
              <w:gridCol w:w="1500"/>
              <w:gridCol w:w="1323"/>
              <w:gridCol w:w="2384"/>
            </w:tblGrid>
            <w:tr w14:paraId="37DEE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0" w:type="dxa"/>
                  <w:noWrap w:val="0"/>
                  <w:vAlign w:val="center"/>
                </w:tcPr>
                <w:p w14:paraId="0A46340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zh-CN"/>
                    </w:rPr>
                  </w:pPr>
                  <w:r>
                    <w:rPr>
                      <w:rFonts w:hint="eastAsia"/>
                      <w:color w:val="auto"/>
                      <w:lang w:val="en-US" w:eastAsia="zh-CN"/>
                    </w:rPr>
                    <w:t>耐弧漆</w:t>
                  </w:r>
                  <w:r>
                    <w:rPr>
                      <w:rFonts w:hint="default"/>
                      <w:color w:val="auto"/>
                      <w:lang w:val="zh-CN"/>
                    </w:rPr>
                    <w:t>组成</w:t>
                  </w:r>
                </w:p>
              </w:tc>
              <w:tc>
                <w:tcPr>
                  <w:tcW w:w="2100" w:type="dxa"/>
                  <w:noWrap w:val="0"/>
                  <w:vAlign w:val="center"/>
                </w:tcPr>
                <w:p w14:paraId="7E962FFA">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zh-CN"/>
                    </w:rPr>
                  </w:pPr>
                  <w:r>
                    <w:rPr>
                      <w:rFonts w:hint="default"/>
                      <w:color w:val="auto"/>
                      <w:lang w:val="zh-CN"/>
                    </w:rPr>
                    <w:t>主要成分名称</w:t>
                  </w:r>
                </w:p>
              </w:tc>
              <w:tc>
                <w:tcPr>
                  <w:tcW w:w="1500" w:type="dxa"/>
                  <w:noWrap w:val="0"/>
                  <w:vAlign w:val="center"/>
                </w:tcPr>
                <w:p w14:paraId="1F3521C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zh-CN"/>
                    </w:rPr>
                  </w:pPr>
                  <w:r>
                    <w:rPr>
                      <w:rFonts w:hint="default"/>
                      <w:color w:val="auto"/>
                      <w:lang w:val="zh-CN"/>
                    </w:rPr>
                    <w:t>主要成分</w:t>
                  </w:r>
                  <w:r>
                    <w:rPr>
                      <w:rFonts w:hint="eastAsia"/>
                      <w:color w:val="auto"/>
                      <w:lang w:val="en-US" w:eastAsia="zh-CN"/>
                    </w:rPr>
                    <w:t>质</w:t>
                  </w:r>
                  <w:r>
                    <w:rPr>
                      <w:rFonts w:hint="default"/>
                      <w:color w:val="auto"/>
                      <w:lang w:val="zh-CN"/>
                    </w:rPr>
                    <w:t>量百分比（%）</w:t>
                  </w:r>
                </w:p>
              </w:tc>
              <w:tc>
                <w:tcPr>
                  <w:tcW w:w="1323" w:type="dxa"/>
                  <w:noWrap w:val="0"/>
                  <w:vAlign w:val="center"/>
                </w:tcPr>
                <w:p w14:paraId="6115233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val="en-US" w:eastAsia="zh-CN"/>
                    </w:rPr>
                  </w:pPr>
                  <w:r>
                    <w:rPr>
                      <w:rFonts w:hint="eastAsia"/>
                      <w:color w:val="auto"/>
                      <w:lang w:val="en-US" w:eastAsia="zh-CN"/>
                    </w:rPr>
                    <w:t>密度</w:t>
                  </w:r>
                </w:p>
              </w:tc>
              <w:tc>
                <w:tcPr>
                  <w:tcW w:w="2384" w:type="dxa"/>
                  <w:noWrap w:val="0"/>
                  <w:vAlign w:val="center"/>
                </w:tcPr>
                <w:p w14:paraId="3CA44AF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zh-CN"/>
                    </w:rPr>
                  </w:pPr>
                  <w:r>
                    <w:rPr>
                      <w:rFonts w:hint="default"/>
                      <w:color w:val="auto"/>
                      <w:lang w:val="en-US" w:eastAsia="zh-CN"/>
                    </w:rPr>
                    <w:t>挥发性有机物含量</w:t>
                  </w:r>
                </w:p>
              </w:tc>
            </w:tr>
            <w:tr w14:paraId="1CFBB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restart"/>
                  <w:noWrap w:val="0"/>
                  <w:vAlign w:val="center"/>
                </w:tcPr>
                <w:p w14:paraId="5A2DBF9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耐弧漆</w:t>
                  </w:r>
                </w:p>
              </w:tc>
              <w:tc>
                <w:tcPr>
                  <w:tcW w:w="2100" w:type="dxa"/>
                  <w:noWrap w:val="0"/>
                  <w:vAlign w:val="center"/>
                </w:tcPr>
                <w:p w14:paraId="316BE38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val="en-US" w:eastAsia="zh-CN"/>
                    </w:rPr>
                  </w:pPr>
                  <w:r>
                    <w:rPr>
                      <w:rFonts w:hint="eastAsia"/>
                      <w:color w:val="auto"/>
                      <w:lang w:val="en-US" w:eastAsia="zh-CN"/>
                    </w:rPr>
                    <w:t>树脂</w:t>
                  </w:r>
                </w:p>
              </w:tc>
              <w:tc>
                <w:tcPr>
                  <w:tcW w:w="1500" w:type="dxa"/>
                  <w:noWrap w:val="0"/>
                  <w:vAlign w:val="center"/>
                </w:tcPr>
                <w:p w14:paraId="4A8FD30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lang w:val="en-US" w:eastAsia="zh-CN"/>
                    </w:rPr>
                  </w:pPr>
                  <w:r>
                    <w:rPr>
                      <w:rFonts w:hint="eastAsia"/>
                      <w:color w:val="auto"/>
                      <w:lang w:val="en-US" w:eastAsia="zh-CN"/>
                    </w:rPr>
                    <w:t>68</w:t>
                  </w:r>
                </w:p>
              </w:tc>
              <w:tc>
                <w:tcPr>
                  <w:tcW w:w="1323" w:type="dxa"/>
                  <w:vMerge w:val="restart"/>
                  <w:noWrap w:val="0"/>
                  <w:vAlign w:val="center"/>
                </w:tcPr>
                <w:p w14:paraId="46D01CF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0.9555g/cm</w:t>
                  </w:r>
                  <w:r>
                    <w:rPr>
                      <w:rFonts w:hint="eastAsia"/>
                      <w:color w:val="auto"/>
                      <w:vertAlign w:val="superscript"/>
                      <w:lang w:val="en-US" w:eastAsia="zh-CN"/>
                    </w:rPr>
                    <w:t>3</w:t>
                  </w:r>
                </w:p>
              </w:tc>
              <w:tc>
                <w:tcPr>
                  <w:tcW w:w="2384" w:type="dxa"/>
                  <w:vMerge w:val="restart"/>
                  <w:noWrap w:val="0"/>
                  <w:vAlign w:val="center"/>
                </w:tcPr>
                <w:p w14:paraId="7EB8D1D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vertAlign w:val="baseline"/>
                      <w:lang w:val="en-US" w:eastAsia="zh-CN"/>
                    </w:rPr>
                  </w:pPr>
                  <w:r>
                    <w:rPr>
                      <w:rFonts w:hint="eastAsia"/>
                      <w:color w:val="auto"/>
                      <w:lang w:val="en-US" w:eastAsia="zh-CN"/>
                    </w:rPr>
                    <w:t>根据成分信息，耐弧漆中挥发性有机物主要为助剂（1-丁烯），占比为2%，稀释剂中挥发性有机物占比为100%，耐弧漆、稀释剂使用时配比为10：1，使用时挥发性有机物占比为10.91%（其中，甲苯占比为1.36%，二甲苯占比为3.18%），密度约0.9477g/c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挥发性有机物含量为103.4g/L</w:t>
                  </w:r>
                </w:p>
              </w:tc>
            </w:tr>
            <w:tr w14:paraId="221F2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70" w:type="dxa"/>
                  <w:vMerge w:val="continue"/>
                  <w:noWrap w:val="0"/>
                  <w:vAlign w:val="center"/>
                </w:tcPr>
                <w:p w14:paraId="04CB60F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100" w:type="dxa"/>
                  <w:noWrap w:val="0"/>
                  <w:vAlign w:val="center"/>
                </w:tcPr>
                <w:p w14:paraId="0C7EC02A">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val="en-US" w:eastAsia="zh-CN"/>
                    </w:rPr>
                  </w:pPr>
                  <w:r>
                    <w:rPr>
                      <w:rFonts w:hint="eastAsia"/>
                      <w:color w:val="auto"/>
                      <w:lang w:val="en-US" w:eastAsia="zh-CN"/>
                    </w:rPr>
                    <w:t>颜料</w:t>
                  </w:r>
                </w:p>
              </w:tc>
              <w:tc>
                <w:tcPr>
                  <w:tcW w:w="1500" w:type="dxa"/>
                  <w:noWrap w:val="0"/>
                  <w:vAlign w:val="center"/>
                </w:tcPr>
                <w:p w14:paraId="20A1DE7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lang w:val="en-US" w:eastAsia="zh-CN"/>
                    </w:rPr>
                  </w:pPr>
                  <w:r>
                    <w:rPr>
                      <w:rFonts w:hint="eastAsia"/>
                      <w:color w:val="auto"/>
                      <w:lang w:val="en-US" w:eastAsia="zh-CN"/>
                    </w:rPr>
                    <w:t>20</w:t>
                  </w:r>
                </w:p>
              </w:tc>
              <w:tc>
                <w:tcPr>
                  <w:tcW w:w="1323" w:type="dxa"/>
                  <w:vMerge w:val="continue"/>
                  <w:noWrap w:val="0"/>
                  <w:vAlign w:val="center"/>
                </w:tcPr>
                <w:p w14:paraId="2F7B43B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384" w:type="dxa"/>
                  <w:vMerge w:val="continue"/>
                  <w:noWrap w:val="0"/>
                  <w:vAlign w:val="center"/>
                </w:tcPr>
                <w:p w14:paraId="5197F70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p>
              </w:tc>
            </w:tr>
            <w:tr w14:paraId="67DF0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70" w:type="dxa"/>
                  <w:vMerge w:val="continue"/>
                  <w:noWrap w:val="0"/>
                  <w:vAlign w:val="center"/>
                </w:tcPr>
                <w:p w14:paraId="44E0D7E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100" w:type="dxa"/>
                  <w:noWrap w:val="0"/>
                  <w:vAlign w:val="center"/>
                </w:tcPr>
                <w:p w14:paraId="30E755D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lang w:val="en-US" w:eastAsia="zh-CN"/>
                    </w:rPr>
                  </w:pPr>
                  <w:r>
                    <w:rPr>
                      <w:rFonts w:hint="eastAsia"/>
                      <w:color w:val="auto"/>
                      <w:lang w:val="en-US" w:eastAsia="zh-CN"/>
                    </w:rPr>
                    <w:t>碳酸钙</w:t>
                  </w:r>
                </w:p>
              </w:tc>
              <w:tc>
                <w:tcPr>
                  <w:tcW w:w="1500" w:type="dxa"/>
                  <w:noWrap w:val="0"/>
                  <w:vAlign w:val="center"/>
                </w:tcPr>
                <w:p w14:paraId="3913E6A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lang w:val="en-US" w:eastAsia="zh-CN"/>
                    </w:rPr>
                  </w:pPr>
                  <w:r>
                    <w:rPr>
                      <w:rFonts w:hint="eastAsia"/>
                      <w:color w:val="auto"/>
                      <w:lang w:val="en-US" w:eastAsia="zh-CN"/>
                    </w:rPr>
                    <w:t>10</w:t>
                  </w:r>
                </w:p>
              </w:tc>
              <w:tc>
                <w:tcPr>
                  <w:tcW w:w="1323" w:type="dxa"/>
                  <w:vMerge w:val="continue"/>
                  <w:noWrap w:val="0"/>
                  <w:vAlign w:val="center"/>
                </w:tcPr>
                <w:p w14:paraId="2C96886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384" w:type="dxa"/>
                  <w:vMerge w:val="continue"/>
                  <w:noWrap w:val="0"/>
                  <w:vAlign w:val="center"/>
                </w:tcPr>
                <w:p w14:paraId="4CBEEC3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p>
              </w:tc>
            </w:tr>
            <w:tr w14:paraId="5D8D8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70" w:type="dxa"/>
                  <w:vMerge w:val="continue"/>
                  <w:noWrap w:val="0"/>
                  <w:vAlign w:val="center"/>
                </w:tcPr>
                <w:p w14:paraId="4BD90DF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100" w:type="dxa"/>
                  <w:noWrap w:val="0"/>
                  <w:vAlign w:val="center"/>
                </w:tcPr>
                <w:p w14:paraId="42854AF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lang w:val="en-US" w:eastAsia="zh-CN"/>
                    </w:rPr>
                  </w:pPr>
                  <w:r>
                    <w:rPr>
                      <w:rFonts w:hint="eastAsia"/>
                      <w:color w:val="auto"/>
                      <w:lang w:val="en-US" w:eastAsia="zh-CN"/>
                    </w:rPr>
                    <w:t>助剂（1-丁烯）</w:t>
                  </w:r>
                </w:p>
              </w:tc>
              <w:tc>
                <w:tcPr>
                  <w:tcW w:w="1500" w:type="dxa"/>
                  <w:noWrap w:val="0"/>
                  <w:vAlign w:val="center"/>
                </w:tcPr>
                <w:p w14:paraId="302195C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val="en-US" w:eastAsia="zh-CN"/>
                    </w:rPr>
                  </w:pPr>
                  <w:r>
                    <w:rPr>
                      <w:rFonts w:hint="eastAsia"/>
                      <w:color w:val="auto"/>
                      <w:lang w:val="en-US" w:eastAsia="zh-CN"/>
                    </w:rPr>
                    <w:t>2</w:t>
                  </w:r>
                </w:p>
              </w:tc>
              <w:tc>
                <w:tcPr>
                  <w:tcW w:w="1323" w:type="dxa"/>
                  <w:vMerge w:val="continue"/>
                  <w:noWrap w:val="0"/>
                  <w:vAlign w:val="center"/>
                </w:tcPr>
                <w:p w14:paraId="42F3CD1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384" w:type="dxa"/>
                  <w:vMerge w:val="continue"/>
                  <w:noWrap w:val="0"/>
                  <w:vAlign w:val="center"/>
                </w:tcPr>
                <w:p w14:paraId="2BAE0BC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p>
              </w:tc>
            </w:tr>
            <w:tr w14:paraId="689C8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70" w:type="dxa"/>
                  <w:vMerge w:val="restart"/>
                  <w:noWrap w:val="0"/>
                  <w:vAlign w:val="center"/>
                </w:tcPr>
                <w:p w14:paraId="66C874E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稀释剂</w:t>
                  </w:r>
                </w:p>
              </w:tc>
              <w:tc>
                <w:tcPr>
                  <w:tcW w:w="2100" w:type="dxa"/>
                  <w:noWrap w:val="0"/>
                  <w:vAlign w:val="center"/>
                </w:tcPr>
                <w:p w14:paraId="7BBF530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乙酸丁酯</w:t>
                  </w:r>
                </w:p>
              </w:tc>
              <w:tc>
                <w:tcPr>
                  <w:tcW w:w="1500" w:type="dxa"/>
                  <w:noWrap w:val="0"/>
                  <w:vAlign w:val="center"/>
                </w:tcPr>
                <w:p w14:paraId="6C5C2AD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35-45</w:t>
                  </w:r>
                </w:p>
              </w:tc>
              <w:tc>
                <w:tcPr>
                  <w:tcW w:w="1323" w:type="dxa"/>
                  <w:vMerge w:val="restart"/>
                  <w:noWrap w:val="0"/>
                  <w:vAlign w:val="center"/>
                </w:tcPr>
                <w:p w14:paraId="06A9575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0.87g/cm</w:t>
                  </w:r>
                  <w:r>
                    <w:rPr>
                      <w:rFonts w:hint="eastAsia"/>
                      <w:color w:val="auto"/>
                      <w:vertAlign w:val="superscript"/>
                      <w:lang w:val="en-US" w:eastAsia="zh-CN"/>
                    </w:rPr>
                    <w:t>3</w:t>
                  </w:r>
                </w:p>
              </w:tc>
              <w:tc>
                <w:tcPr>
                  <w:tcW w:w="2384" w:type="dxa"/>
                  <w:vMerge w:val="continue"/>
                  <w:noWrap w:val="0"/>
                  <w:vAlign w:val="center"/>
                </w:tcPr>
                <w:p w14:paraId="3E1924A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p>
              </w:tc>
            </w:tr>
            <w:tr w14:paraId="74373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70" w:type="dxa"/>
                  <w:vMerge w:val="continue"/>
                  <w:noWrap w:val="0"/>
                  <w:vAlign w:val="center"/>
                </w:tcPr>
                <w:p w14:paraId="3EDDBAE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100" w:type="dxa"/>
                  <w:noWrap w:val="0"/>
                  <w:vAlign w:val="center"/>
                </w:tcPr>
                <w:p w14:paraId="05DA65D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二甲苯异构体混合物</w:t>
                  </w:r>
                </w:p>
              </w:tc>
              <w:tc>
                <w:tcPr>
                  <w:tcW w:w="1500" w:type="dxa"/>
                  <w:noWrap w:val="0"/>
                  <w:vAlign w:val="center"/>
                </w:tcPr>
                <w:p w14:paraId="4973977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25-35</w:t>
                  </w:r>
                </w:p>
              </w:tc>
              <w:tc>
                <w:tcPr>
                  <w:tcW w:w="1323" w:type="dxa"/>
                  <w:vMerge w:val="continue"/>
                  <w:noWrap w:val="0"/>
                  <w:vAlign w:val="center"/>
                </w:tcPr>
                <w:p w14:paraId="6D38E39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384" w:type="dxa"/>
                  <w:vMerge w:val="continue"/>
                  <w:noWrap w:val="0"/>
                  <w:vAlign w:val="center"/>
                </w:tcPr>
                <w:p w14:paraId="116912B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p>
              </w:tc>
            </w:tr>
            <w:tr w14:paraId="2250C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70" w:type="dxa"/>
                  <w:vMerge w:val="continue"/>
                  <w:noWrap w:val="0"/>
                  <w:vAlign w:val="center"/>
                </w:tcPr>
                <w:p w14:paraId="23F6FA6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100" w:type="dxa"/>
                  <w:noWrap w:val="0"/>
                  <w:vAlign w:val="center"/>
                </w:tcPr>
                <w:p w14:paraId="26A79A2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丙二醇甲醚醋酸酯</w:t>
                  </w:r>
                </w:p>
              </w:tc>
              <w:tc>
                <w:tcPr>
                  <w:tcW w:w="1500" w:type="dxa"/>
                  <w:noWrap w:val="0"/>
                  <w:vAlign w:val="center"/>
                </w:tcPr>
                <w:p w14:paraId="445160D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5-15</w:t>
                  </w:r>
                </w:p>
              </w:tc>
              <w:tc>
                <w:tcPr>
                  <w:tcW w:w="1323" w:type="dxa"/>
                  <w:vMerge w:val="continue"/>
                  <w:noWrap w:val="0"/>
                  <w:vAlign w:val="center"/>
                </w:tcPr>
                <w:p w14:paraId="0AF1D8F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384" w:type="dxa"/>
                  <w:vMerge w:val="continue"/>
                  <w:noWrap w:val="0"/>
                  <w:vAlign w:val="center"/>
                </w:tcPr>
                <w:p w14:paraId="6E89A46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p>
              </w:tc>
            </w:tr>
            <w:tr w14:paraId="264F5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0" w:type="dxa"/>
                  <w:vMerge w:val="continue"/>
                  <w:noWrap w:val="0"/>
                  <w:vAlign w:val="center"/>
                </w:tcPr>
                <w:p w14:paraId="5829231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100" w:type="dxa"/>
                  <w:noWrap w:val="0"/>
                  <w:vAlign w:val="center"/>
                </w:tcPr>
                <w:p w14:paraId="625A832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甲苯</w:t>
                  </w:r>
                </w:p>
              </w:tc>
              <w:tc>
                <w:tcPr>
                  <w:tcW w:w="1500" w:type="dxa"/>
                  <w:noWrap w:val="0"/>
                  <w:vAlign w:val="center"/>
                </w:tcPr>
                <w:p w14:paraId="2A18DD5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5-15</w:t>
                  </w:r>
                </w:p>
              </w:tc>
              <w:tc>
                <w:tcPr>
                  <w:tcW w:w="1323" w:type="dxa"/>
                  <w:vMerge w:val="continue"/>
                  <w:noWrap w:val="0"/>
                  <w:vAlign w:val="center"/>
                </w:tcPr>
                <w:p w14:paraId="7243182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384" w:type="dxa"/>
                  <w:vMerge w:val="continue"/>
                  <w:noWrap w:val="0"/>
                  <w:vAlign w:val="center"/>
                </w:tcPr>
                <w:p w14:paraId="58EABB2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p>
              </w:tc>
            </w:tr>
            <w:tr w14:paraId="280D4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70" w:type="dxa"/>
                  <w:vMerge w:val="continue"/>
                  <w:noWrap w:val="0"/>
                  <w:vAlign w:val="center"/>
                </w:tcPr>
                <w:p w14:paraId="2001F60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100" w:type="dxa"/>
                  <w:noWrap w:val="0"/>
                  <w:vAlign w:val="center"/>
                </w:tcPr>
                <w:p w14:paraId="50D742E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三甲苯</w:t>
                  </w:r>
                </w:p>
              </w:tc>
              <w:tc>
                <w:tcPr>
                  <w:tcW w:w="1500" w:type="dxa"/>
                  <w:noWrap w:val="0"/>
                  <w:vAlign w:val="center"/>
                </w:tcPr>
                <w:p w14:paraId="19351C6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5-10</w:t>
                  </w:r>
                </w:p>
              </w:tc>
              <w:tc>
                <w:tcPr>
                  <w:tcW w:w="1323" w:type="dxa"/>
                  <w:vMerge w:val="continue"/>
                  <w:noWrap w:val="0"/>
                  <w:vAlign w:val="center"/>
                </w:tcPr>
                <w:p w14:paraId="620C2D2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384" w:type="dxa"/>
                  <w:vMerge w:val="continue"/>
                  <w:noWrap w:val="0"/>
                  <w:vAlign w:val="center"/>
                </w:tcPr>
                <w:p w14:paraId="56F2220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p>
              </w:tc>
            </w:tr>
            <w:tr w14:paraId="6E18D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0" w:type="dxa"/>
                  <w:vMerge w:val="continue"/>
                  <w:noWrap w:val="0"/>
                  <w:vAlign w:val="center"/>
                </w:tcPr>
                <w:p w14:paraId="06ED56E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100" w:type="dxa"/>
                  <w:noWrap w:val="0"/>
                  <w:vAlign w:val="center"/>
                </w:tcPr>
                <w:p w14:paraId="218DFED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环己酮</w:t>
                  </w:r>
                </w:p>
              </w:tc>
              <w:tc>
                <w:tcPr>
                  <w:tcW w:w="1500" w:type="dxa"/>
                  <w:noWrap w:val="0"/>
                  <w:vAlign w:val="center"/>
                </w:tcPr>
                <w:p w14:paraId="095AEC9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5-10</w:t>
                  </w:r>
                </w:p>
              </w:tc>
              <w:tc>
                <w:tcPr>
                  <w:tcW w:w="1323" w:type="dxa"/>
                  <w:noWrap w:val="0"/>
                  <w:vAlign w:val="center"/>
                </w:tcPr>
                <w:p w14:paraId="032BB96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p>
              </w:tc>
              <w:tc>
                <w:tcPr>
                  <w:tcW w:w="2384" w:type="dxa"/>
                  <w:vMerge w:val="continue"/>
                  <w:noWrap w:val="0"/>
                  <w:vAlign w:val="center"/>
                </w:tcPr>
                <w:p w14:paraId="4D05D8E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p>
              </w:tc>
            </w:tr>
          </w:tbl>
          <w:p w14:paraId="1DF3C5BB">
            <w:pPr>
              <w:pStyle w:val="33"/>
              <w:bidi w:val="0"/>
              <w:rPr>
                <w:rFonts w:hint="default"/>
                <w:color w:val="auto"/>
                <w:lang w:val="en-US" w:eastAsia="zh-CN"/>
              </w:rPr>
            </w:pPr>
            <w:r>
              <w:rPr>
                <w:rFonts w:hint="default"/>
                <w:color w:val="auto"/>
                <w:lang w:val="en-US" w:eastAsia="zh-CN"/>
              </w:rPr>
              <w:t>表</w:t>
            </w:r>
            <w:r>
              <w:rPr>
                <w:rFonts w:hint="eastAsia"/>
                <w:color w:val="auto"/>
                <w:lang w:val="en-US" w:eastAsia="zh-CN"/>
              </w:rPr>
              <w:t>20</w:t>
            </w:r>
            <w:r>
              <w:rPr>
                <w:rFonts w:hint="default"/>
                <w:color w:val="auto"/>
                <w:lang w:val="en-US" w:eastAsia="zh-CN"/>
              </w:rPr>
              <w:t xml:space="preserve"> </w:t>
            </w:r>
            <w:r>
              <w:rPr>
                <w:rFonts w:hint="eastAsia"/>
                <w:color w:val="auto"/>
                <w:lang w:val="en-US" w:eastAsia="zh-CN"/>
              </w:rPr>
              <w:t xml:space="preserve"> 腻子</w:t>
            </w:r>
            <w:r>
              <w:rPr>
                <w:rFonts w:hint="default"/>
                <w:color w:val="auto"/>
                <w:lang w:val="en-US" w:eastAsia="zh-CN"/>
              </w:rPr>
              <w:t>主要成分一览表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606"/>
              <w:gridCol w:w="2600"/>
              <w:gridCol w:w="1940"/>
            </w:tblGrid>
            <w:tr w14:paraId="7656A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131" w:type="dxa"/>
                  <w:noWrap w:val="0"/>
                  <w:vAlign w:val="center"/>
                </w:tcPr>
                <w:p w14:paraId="2A15E478">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组成</w:t>
                  </w:r>
                </w:p>
              </w:tc>
              <w:tc>
                <w:tcPr>
                  <w:tcW w:w="2606" w:type="dxa"/>
                  <w:noWrap w:val="0"/>
                  <w:vAlign w:val="center"/>
                </w:tcPr>
                <w:p w14:paraId="0404FB89">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主要成分名称</w:t>
                  </w:r>
                </w:p>
              </w:tc>
              <w:tc>
                <w:tcPr>
                  <w:tcW w:w="2600" w:type="dxa"/>
                  <w:noWrap w:val="0"/>
                  <w:vAlign w:val="center"/>
                </w:tcPr>
                <w:p w14:paraId="36FD5F37">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zh-CN"/>
                    </w:rPr>
                    <w:t>主要成分</w:t>
                  </w:r>
                  <w:r>
                    <w:rPr>
                      <w:rFonts w:hint="eastAsia"/>
                      <w:color w:val="auto"/>
                      <w:lang w:val="en-US" w:eastAsia="zh-CN"/>
                    </w:rPr>
                    <w:t>质</w:t>
                  </w:r>
                  <w:r>
                    <w:rPr>
                      <w:rFonts w:hint="default"/>
                      <w:color w:val="auto"/>
                      <w:lang w:val="zh-CN"/>
                    </w:rPr>
                    <w:t>量百分比（%）</w:t>
                  </w:r>
                </w:p>
              </w:tc>
              <w:tc>
                <w:tcPr>
                  <w:tcW w:w="1940" w:type="dxa"/>
                  <w:noWrap w:val="0"/>
                  <w:vAlign w:val="center"/>
                </w:tcPr>
                <w:p w14:paraId="6A6A17D7">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zh-CN"/>
                    </w:rPr>
                  </w:pPr>
                  <w:r>
                    <w:rPr>
                      <w:rFonts w:hint="default"/>
                      <w:color w:val="auto"/>
                      <w:lang w:val="en-US" w:eastAsia="zh-CN"/>
                    </w:rPr>
                    <w:t>挥发性有机物含量</w:t>
                  </w:r>
                </w:p>
              </w:tc>
            </w:tr>
            <w:tr w14:paraId="10622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31" w:type="dxa"/>
                  <w:vMerge w:val="restart"/>
                  <w:noWrap w:val="0"/>
                  <w:vAlign w:val="center"/>
                </w:tcPr>
                <w:p w14:paraId="0B1C9AFE">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r>
                    <w:rPr>
                      <w:rFonts w:hint="eastAsia"/>
                      <w:color w:val="auto"/>
                      <w:lang w:val="en-US" w:eastAsia="zh-CN"/>
                    </w:rPr>
                    <w:t>腻子</w:t>
                  </w:r>
                </w:p>
              </w:tc>
              <w:tc>
                <w:tcPr>
                  <w:tcW w:w="2606" w:type="dxa"/>
                  <w:noWrap w:val="0"/>
                  <w:vAlign w:val="center"/>
                </w:tcPr>
                <w:p w14:paraId="64E01CBD">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eastAsia="宋体"/>
                      <w:color w:val="auto"/>
                      <w:lang w:val="en-US" w:eastAsia="zh-CN"/>
                    </w:rPr>
                  </w:pPr>
                  <w:r>
                    <w:rPr>
                      <w:rFonts w:hint="eastAsia"/>
                      <w:color w:val="auto"/>
                      <w:lang w:val="en-US" w:eastAsia="zh-CN"/>
                    </w:rPr>
                    <w:t>不饱和聚酯树脂</w:t>
                  </w:r>
                </w:p>
              </w:tc>
              <w:tc>
                <w:tcPr>
                  <w:tcW w:w="2600" w:type="dxa"/>
                  <w:noWrap w:val="0"/>
                  <w:vAlign w:val="center"/>
                </w:tcPr>
                <w:p w14:paraId="293E5B10">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eastAsia="宋体"/>
                      <w:color w:val="auto"/>
                      <w:lang w:val="en-US" w:eastAsia="zh-CN"/>
                    </w:rPr>
                  </w:pPr>
                  <w:r>
                    <w:rPr>
                      <w:rFonts w:hint="eastAsia"/>
                      <w:color w:val="auto"/>
                      <w:lang w:val="en-US" w:eastAsia="zh-CN"/>
                    </w:rPr>
                    <w:t>33</w:t>
                  </w:r>
                </w:p>
              </w:tc>
              <w:tc>
                <w:tcPr>
                  <w:tcW w:w="1940" w:type="dxa"/>
                  <w:vMerge w:val="restart"/>
                  <w:noWrap w:val="0"/>
                  <w:vAlign w:val="center"/>
                </w:tcPr>
                <w:p w14:paraId="039508A2">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r>
                    <w:rPr>
                      <w:rFonts w:hint="eastAsia"/>
                      <w:color w:val="auto"/>
                      <w:lang w:val="en-US" w:eastAsia="zh-CN"/>
                    </w:rPr>
                    <w:t>8%</w:t>
                  </w:r>
                </w:p>
              </w:tc>
            </w:tr>
            <w:tr w14:paraId="770E3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31" w:type="dxa"/>
                  <w:vMerge w:val="continue"/>
                  <w:noWrap w:val="0"/>
                  <w:vAlign w:val="center"/>
                </w:tcPr>
                <w:p w14:paraId="0E9B6A6C">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p>
              </w:tc>
              <w:tc>
                <w:tcPr>
                  <w:tcW w:w="2606" w:type="dxa"/>
                  <w:noWrap w:val="0"/>
                  <w:vAlign w:val="center"/>
                </w:tcPr>
                <w:p w14:paraId="38FF666E">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eastAsia" w:eastAsia="宋体"/>
                      <w:color w:val="auto"/>
                      <w:lang w:val="en-US" w:eastAsia="zh-CN"/>
                    </w:rPr>
                  </w:pPr>
                  <w:r>
                    <w:rPr>
                      <w:rFonts w:hint="eastAsia"/>
                      <w:color w:val="auto"/>
                      <w:lang w:val="en-US" w:eastAsia="zh-CN"/>
                    </w:rPr>
                    <w:t>滑石粉</w:t>
                  </w:r>
                </w:p>
              </w:tc>
              <w:tc>
                <w:tcPr>
                  <w:tcW w:w="2600" w:type="dxa"/>
                  <w:noWrap w:val="0"/>
                  <w:vAlign w:val="center"/>
                </w:tcPr>
                <w:p w14:paraId="0336D260">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eastAsia="宋体"/>
                      <w:color w:val="auto"/>
                      <w:lang w:val="en-US" w:eastAsia="zh-CN"/>
                    </w:rPr>
                  </w:pPr>
                  <w:r>
                    <w:rPr>
                      <w:rFonts w:hint="eastAsia"/>
                      <w:color w:val="auto"/>
                      <w:lang w:val="en-US" w:eastAsia="zh-CN"/>
                    </w:rPr>
                    <w:t>58</w:t>
                  </w:r>
                </w:p>
              </w:tc>
              <w:tc>
                <w:tcPr>
                  <w:tcW w:w="1940" w:type="dxa"/>
                  <w:vMerge w:val="continue"/>
                  <w:noWrap w:val="0"/>
                  <w:vAlign w:val="center"/>
                </w:tcPr>
                <w:p w14:paraId="1DFEB075">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r w14:paraId="4AAB4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1" w:type="dxa"/>
                  <w:vMerge w:val="continue"/>
                  <w:noWrap w:val="0"/>
                  <w:vAlign w:val="center"/>
                </w:tcPr>
                <w:p w14:paraId="620F20F3">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color w:val="auto"/>
                      <w:lang w:val="zh-CN"/>
                    </w:rPr>
                  </w:pPr>
                </w:p>
              </w:tc>
              <w:tc>
                <w:tcPr>
                  <w:tcW w:w="2606" w:type="dxa"/>
                  <w:noWrap w:val="0"/>
                  <w:vAlign w:val="center"/>
                </w:tcPr>
                <w:p w14:paraId="3F41B862">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default" w:eastAsia="宋体"/>
                      <w:color w:val="auto"/>
                      <w:lang w:val="en-US" w:eastAsia="zh-CN"/>
                    </w:rPr>
                  </w:pPr>
                  <w:r>
                    <w:rPr>
                      <w:rFonts w:hint="eastAsia"/>
                      <w:color w:val="auto"/>
                      <w:lang w:val="en-US" w:eastAsia="zh-CN"/>
                    </w:rPr>
                    <w:t>助剂等有机溶剂的混合物</w:t>
                  </w:r>
                </w:p>
              </w:tc>
              <w:tc>
                <w:tcPr>
                  <w:tcW w:w="2600" w:type="dxa"/>
                  <w:noWrap w:val="0"/>
                  <w:vAlign w:val="center"/>
                </w:tcPr>
                <w:p w14:paraId="0055B073">
                  <w:pPr>
                    <w:pStyle w:val="31"/>
                    <w:keepNext w:val="0"/>
                    <w:keepLines w:val="0"/>
                    <w:pageBreakBefore w:val="0"/>
                    <w:widowControl w:val="0"/>
                    <w:kinsoku/>
                    <w:wordWrap/>
                    <w:overflowPunct/>
                    <w:topLinePunct w:val="0"/>
                    <w:autoSpaceDE/>
                    <w:autoSpaceDN/>
                    <w:bidi w:val="0"/>
                    <w:adjustRightInd/>
                    <w:snapToGrid/>
                    <w:spacing w:before="20" w:after="20"/>
                    <w:ind w:firstLine="0" w:firstLineChars="0"/>
                    <w:textAlignment w:val="auto"/>
                    <w:rPr>
                      <w:rFonts w:hint="eastAsia" w:eastAsia="宋体"/>
                      <w:color w:val="auto"/>
                      <w:lang w:val="en-US" w:eastAsia="zh-CN"/>
                    </w:rPr>
                  </w:pPr>
                  <w:r>
                    <w:rPr>
                      <w:rFonts w:hint="eastAsia"/>
                      <w:color w:val="auto"/>
                      <w:lang w:val="en-US" w:eastAsia="zh-CN"/>
                    </w:rPr>
                    <w:t>8</w:t>
                  </w:r>
                </w:p>
              </w:tc>
              <w:tc>
                <w:tcPr>
                  <w:tcW w:w="1940" w:type="dxa"/>
                  <w:vMerge w:val="continue"/>
                  <w:noWrap w:val="0"/>
                  <w:vAlign w:val="center"/>
                </w:tcPr>
                <w:p w14:paraId="57AFC8CF">
                  <w:pPr>
                    <w:pStyle w:val="31"/>
                    <w:keepNext w:val="0"/>
                    <w:keepLines w:val="0"/>
                    <w:pageBreakBefore w:val="0"/>
                    <w:widowControl w:val="0"/>
                    <w:kinsoku/>
                    <w:wordWrap/>
                    <w:overflowPunct/>
                    <w:topLinePunct w:val="0"/>
                    <w:autoSpaceDE/>
                    <w:autoSpaceDN/>
                    <w:bidi w:val="0"/>
                    <w:adjustRightInd/>
                    <w:snapToGrid/>
                    <w:spacing w:before="20" w:after="20"/>
                    <w:textAlignment w:val="auto"/>
                    <w:rPr>
                      <w:rFonts w:hint="default"/>
                      <w:color w:val="auto"/>
                      <w:lang w:val="en-US" w:eastAsia="zh-CN"/>
                    </w:rPr>
                  </w:pPr>
                </w:p>
              </w:tc>
            </w:tr>
          </w:tbl>
          <w:p w14:paraId="36F72633">
            <w:pPr>
              <w:bidi w:val="0"/>
              <w:rPr>
                <w:rFonts w:hint="default" w:ascii="Times New Roman" w:eastAsia="宋体"/>
                <w:color w:val="auto"/>
                <w:sz w:val="24"/>
                <w:szCs w:val="24"/>
                <w:highlight w:val="none"/>
                <w:lang w:val="en-US" w:eastAsia="zh-CN"/>
              </w:rPr>
            </w:pPr>
            <w:r>
              <w:rPr>
                <w:rFonts w:hint="eastAsia"/>
                <w:color w:val="auto"/>
                <w:lang w:val="en-US" w:eastAsia="zh-CN"/>
              </w:rPr>
              <w:t>根据建设单位提供漆料VOCs检测报告及成分信息，本项目所用底漆</w:t>
            </w:r>
            <w:r>
              <w:rPr>
                <w:rFonts w:hint="eastAsia" w:ascii="Times New Roman" w:eastAsia="宋体"/>
                <w:color w:val="auto"/>
                <w:sz w:val="24"/>
                <w:szCs w:val="24"/>
                <w:highlight w:val="none"/>
                <w:lang w:val="en-US" w:eastAsia="zh-CN"/>
              </w:rPr>
              <w:t>VOCs含量为</w:t>
            </w:r>
            <w:r>
              <w:rPr>
                <w:rFonts w:hint="eastAsia" w:ascii="Times New Roman"/>
                <w:color w:val="auto"/>
                <w:sz w:val="24"/>
                <w:szCs w:val="24"/>
                <w:highlight w:val="none"/>
                <w:lang w:val="en-US" w:eastAsia="zh-CN"/>
              </w:rPr>
              <w:t>420</w:t>
            </w:r>
            <w:r>
              <w:rPr>
                <w:rFonts w:hint="eastAsia" w:ascii="Times New Roman" w:eastAsia="宋体"/>
                <w:color w:val="auto"/>
                <w:sz w:val="24"/>
                <w:szCs w:val="24"/>
                <w:highlight w:val="none"/>
                <w:lang w:val="en-US" w:eastAsia="zh-CN"/>
              </w:rPr>
              <w:t>g/L，面漆VOCs含量为</w:t>
            </w:r>
            <w:r>
              <w:rPr>
                <w:rFonts w:hint="eastAsia" w:ascii="Times New Roman"/>
                <w:color w:val="auto"/>
                <w:sz w:val="24"/>
                <w:szCs w:val="24"/>
                <w:highlight w:val="none"/>
                <w:lang w:val="en-US" w:eastAsia="zh-CN"/>
              </w:rPr>
              <w:t>314</w:t>
            </w:r>
            <w:r>
              <w:rPr>
                <w:rFonts w:hint="eastAsia" w:ascii="Times New Roman" w:eastAsia="宋体"/>
                <w:color w:val="auto"/>
                <w:sz w:val="24"/>
                <w:szCs w:val="24"/>
                <w:highlight w:val="none"/>
                <w:lang w:val="en-US" w:eastAsia="zh-CN"/>
              </w:rPr>
              <w:t>g/L，耐弧漆VOCs含量为</w:t>
            </w:r>
            <w:r>
              <w:rPr>
                <w:rFonts w:hint="eastAsia" w:ascii="Times New Roman"/>
                <w:color w:val="auto"/>
                <w:sz w:val="24"/>
                <w:szCs w:val="24"/>
                <w:highlight w:val="none"/>
                <w:lang w:val="en-US" w:eastAsia="zh-CN"/>
              </w:rPr>
              <w:t>103.4</w:t>
            </w:r>
            <w:r>
              <w:rPr>
                <w:rFonts w:hint="eastAsia" w:ascii="Times New Roman" w:eastAsia="宋体"/>
                <w:color w:val="auto"/>
                <w:sz w:val="24"/>
                <w:szCs w:val="24"/>
                <w:highlight w:val="none"/>
                <w:lang w:val="en-US" w:eastAsia="zh-CN"/>
              </w:rPr>
              <w:t>g/L，满足低挥发性有机化合物含量涂料产品技术要求》（GB/T38597-2020）表2中工业防护涂料</w:t>
            </w:r>
            <w:r>
              <w:rPr>
                <w:rFonts w:hint="eastAsia" w:ascii="宋体" w:hAnsi="宋体" w:eastAsia="宋体" w:cs="宋体"/>
                <w:color w:val="auto"/>
                <w:sz w:val="24"/>
                <w:szCs w:val="24"/>
                <w:highlight w:val="none"/>
                <w:lang w:val="en-US" w:eastAsia="zh-CN"/>
              </w:rPr>
              <w:t>－</w:t>
            </w:r>
            <w:r>
              <w:rPr>
                <w:rFonts w:hint="eastAsia" w:ascii="Times New Roman" w:eastAsia="宋体"/>
                <w:color w:val="auto"/>
                <w:sz w:val="24"/>
                <w:szCs w:val="24"/>
                <w:highlight w:val="none"/>
                <w:lang w:val="en-US" w:eastAsia="zh-CN"/>
              </w:rPr>
              <w:t>机械设备涂料</w:t>
            </w:r>
            <w:r>
              <w:rPr>
                <w:rFonts w:hint="eastAsia" w:ascii="宋体" w:hAnsi="宋体" w:eastAsia="宋体" w:cs="宋体"/>
                <w:color w:val="auto"/>
                <w:sz w:val="24"/>
                <w:szCs w:val="24"/>
                <w:highlight w:val="none"/>
                <w:lang w:val="en-US" w:eastAsia="zh-CN"/>
              </w:rPr>
              <w:t>－工程机械和农业机械涂料</w:t>
            </w:r>
            <w:r>
              <w:rPr>
                <w:rFonts w:hint="default" w:ascii="Times New Roman" w:hAnsi="Times New Roman" w:eastAsia="宋体" w:cs="Times New Roman"/>
                <w:color w:val="auto"/>
                <w:sz w:val="24"/>
                <w:szCs w:val="24"/>
                <w:highlight w:val="none"/>
                <w:lang w:val="en-US" w:eastAsia="zh-CN"/>
              </w:rPr>
              <w:t>VOC</w:t>
            </w:r>
            <w:r>
              <w:rPr>
                <w:rFonts w:hint="eastAsia" w:ascii="Times New Roman" w:hAnsi="Times New Roman" w:eastAsia="宋体" w:cs="Times New Roman"/>
                <w:color w:val="auto"/>
                <w:sz w:val="24"/>
                <w:szCs w:val="24"/>
                <w:highlight w:val="none"/>
                <w:lang w:val="en-US" w:eastAsia="zh-CN"/>
              </w:rPr>
              <w:t>限量值</w:t>
            </w:r>
            <w:r>
              <w:rPr>
                <w:rFonts w:hint="eastAsia" w:ascii="宋体" w:hAnsi="宋体" w:eastAsia="宋体" w:cs="宋体"/>
                <w:color w:val="auto"/>
                <w:sz w:val="24"/>
                <w:szCs w:val="24"/>
                <w:highlight w:val="none"/>
                <w:lang w:val="en-US" w:eastAsia="zh-CN"/>
              </w:rPr>
              <w:t>（含零部件涂料）－底漆：</w:t>
            </w:r>
            <w:r>
              <w:rPr>
                <w:rFonts w:hint="default" w:ascii="Times New Roman" w:hAnsi="Times New Roman" w:eastAsia="宋体" w:cs="Times New Roman"/>
                <w:color w:val="auto"/>
                <w:sz w:val="24"/>
                <w:szCs w:val="24"/>
                <w:highlight w:val="none"/>
                <w:lang w:val="en-US" w:eastAsia="zh-CN"/>
              </w:rPr>
              <w:t>420</w:t>
            </w:r>
            <w:r>
              <w:rPr>
                <w:rFonts w:hint="eastAsia" w:ascii="Times New Roman" w:hAnsi="Times New Roman" w:eastAsia="宋体" w:cs="Times New Roman"/>
                <w:color w:val="auto"/>
                <w:sz w:val="24"/>
                <w:szCs w:val="24"/>
                <w:highlight w:val="none"/>
                <w:lang w:val="en-US" w:eastAsia="zh-CN"/>
              </w:rPr>
              <w:t>g/L，面漆（双组分）：</w:t>
            </w:r>
            <w:r>
              <w:rPr>
                <w:rFonts w:hint="default" w:ascii="Times New Roman" w:hAnsi="Times New Roman" w:eastAsia="宋体" w:cs="Times New Roman"/>
                <w:color w:val="auto"/>
                <w:sz w:val="24"/>
                <w:szCs w:val="24"/>
                <w:highlight w:val="none"/>
                <w:lang w:val="en-US" w:eastAsia="zh-CN"/>
              </w:rPr>
              <w:t>420</w:t>
            </w:r>
            <w:r>
              <w:rPr>
                <w:rFonts w:hint="eastAsia" w:ascii="Times New Roman" w:hAnsi="Times New Roman" w:eastAsia="宋体" w:cs="Times New Roman"/>
                <w:color w:val="auto"/>
                <w:sz w:val="24"/>
                <w:szCs w:val="24"/>
                <w:highlight w:val="none"/>
                <w:lang w:val="en-US" w:eastAsia="zh-CN"/>
              </w:rPr>
              <w:t>g/L的要求。</w:t>
            </w:r>
          </w:p>
          <w:p w14:paraId="5199A4D8">
            <w:pPr>
              <w:bidi w:val="0"/>
              <w:rPr>
                <w:rFonts w:hint="default" w:eastAsia="宋体"/>
                <w:color w:val="auto"/>
                <w:lang w:val="en-US" w:eastAsia="zh-CN"/>
              </w:rPr>
            </w:pPr>
            <w:r>
              <w:rPr>
                <w:rFonts w:hint="eastAsia"/>
                <w:color w:val="auto"/>
                <w:lang w:val="en-US" w:eastAsia="zh-CN"/>
              </w:rPr>
              <w:t>本项目建成后，全厂主要原辅材料及能源消耗情况见下表。</w:t>
            </w:r>
          </w:p>
          <w:p w14:paraId="1DBECC68">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表</w:t>
            </w:r>
            <w:r>
              <w:rPr>
                <w:rFonts w:hint="eastAsia"/>
                <w:b/>
                <w:bCs/>
                <w:color w:val="auto"/>
                <w:sz w:val="21"/>
                <w:szCs w:val="21"/>
                <w:highlight w:val="none"/>
                <w:lang w:val="en-US" w:eastAsia="zh-CN"/>
              </w:rPr>
              <w:t>21  本项目建成后全厂原辅材料及能源消耗变化情况</w:t>
            </w:r>
            <w:r>
              <w:rPr>
                <w:rFonts w:hint="default"/>
                <w:b/>
                <w:bCs/>
                <w:color w:val="auto"/>
                <w:sz w:val="21"/>
                <w:szCs w:val="21"/>
                <w:highlight w:val="none"/>
              </w:rPr>
              <w:t>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26"/>
              <w:gridCol w:w="700"/>
              <w:gridCol w:w="1200"/>
              <w:gridCol w:w="1250"/>
              <w:gridCol w:w="783"/>
              <w:gridCol w:w="702"/>
              <w:gridCol w:w="714"/>
              <w:gridCol w:w="651"/>
              <w:gridCol w:w="900"/>
              <w:gridCol w:w="751"/>
            </w:tblGrid>
            <w:tr w14:paraId="2B531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8" w:hRule="atLeast"/>
                <w:jc w:val="center"/>
              </w:trPr>
              <w:tc>
                <w:tcPr>
                  <w:tcW w:w="626" w:type="dxa"/>
                  <w:vAlign w:val="center"/>
                </w:tcPr>
                <w:p w14:paraId="4CD5ED7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序号</w:t>
                  </w:r>
                </w:p>
              </w:tc>
              <w:tc>
                <w:tcPr>
                  <w:tcW w:w="1900" w:type="dxa"/>
                  <w:gridSpan w:val="2"/>
                  <w:vAlign w:val="center"/>
                </w:tcPr>
                <w:p w14:paraId="2E97784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w:t>
                  </w:r>
                </w:p>
              </w:tc>
              <w:tc>
                <w:tcPr>
                  <w:tcW w:w="1250" w:type="dxa"/>
                  <w:vAlign w:val="center"/>
                </w:tcPr>
                <w:p w14:paraId="194A45F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单位</w:t>
                  </w:r>
                </w:p>
              </w:tc>
              <w:tc>
                <w:tcPr>
                  <w:tcW w:w="1485" w:type="dxa"/>
                  <w:gridSpan w:val="2"/>
                  <w:vAlign w:val="center"/>
                </w:tcPr>
                <w:p w14:paraId="2714DDB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现有工程</w:t>
                  </w:r>
                </w:p>
              </w:tc>
              <w:tc>
                <w:tcPr>
                  <w:tcW w:w="1365" w:type="dxa"/>
                  <w:gridSpan w:val="2"/>
                  <w:vAlign w:val="center"/>
                </w:tcPr>
                <w:p w14:paraId="4751BBA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本项目完成后全厂</w:t>
                  </w:r>
                </w:p>
              </w:tc>
              <w:tc>
                <w:tcPr>
                  <w:tcW w:w="1651" w:type="dxa"/>
                  <w:gridSpan w:val="2"/>
                  <w:vAlign w:val="center"/>
                </w:tcPr>
                <w:p w14:paraId="20C92E92">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变化量</w:t>
                  </w:r>
                </w:p>
              </w:tc>
            </w:tr>
            <w:tr w14:paraId="4DEF5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626" w:type="dxa"/>
                  <w:vAlign w:val="center"/>
                </w:tcPr>
                <w:p w14:paraId="37167EFC">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5973D34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涨紧轮</w:t>
                  </w:r>
                </w:p>
              </w:tc>
              <w:tc>
                <w:tcPr>
                  <w:tcW w:w="1250" w:type="dxa"/>
                  <w:vAlign w:val="center"/>
                </w:tcPr>
                <w:p w14:paraId="12A365F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043CC2C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120000</w:t>
                  </w:r>
                </w:p>
              </w:tc>
              <w:tc>
                <w:tcPr>
                  <w:tcW w:w="1365" w:type="dxa"/>
                  <w:gridSpan w:val="2"/>
                  <w:vAlign w:val="center"/>
                </w:tcPr>
                <w:p w14:paraId="2E0753E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120000</w:t>
                  </w:r>
                </w:p>
              </w:tc>
              <w:tc>
                <w:tcPr>
                  <w:tcW w:w="1651" w:type="dxa"/>
                  <w:gridSpan w:val="2"/>
                  <w:vAlign w:val="center"/>
                </w:tcPr>
                <w:p w14:paraId="755F4602">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2F58D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79" w:hRule="atLeast"/>
                <w:jc w:val="center"/>
              </w:trPr>
              <w:tc>
                <w:tcPr>
                  <w:tcW w:w="626" w:type="dxa"/>
                  <w:vAlign w:val="center"/>
                </w:tcPr>
                <w:p w14:paraId="62B54928">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43C02CE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涨紧轮轴承盖</w:t>
                  </w:r>
                </w:p>
              </w:tc>
              <w:tc>
                <w:tcPr>
                  <w:tcW w:w="1250" w:type="dxa"/>
                  <w:vAlign w:val="center"/>
                </w:tcPr>
                <w:p w14:paraId="72327D9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248C203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120000</w:t>
                  </w:r>
                </w:p>
              </w:tc>
              <w:tc>
                <w:tcPr>
                  <w:tcW w:w="1365" w:type="dxa"/>
                  <w:gridSpan w:val="2"/>
                  <w:vAlign w:val="center"/>
                </w:tcPr>
                <w:p w14:paraId="144426A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120000</w:t>
                  </w:r>
                </w:p>
              </w:tc>
              <w:tc>
                <w:tcPr>
                  <w:tcW w:w="1651" w:type="dxa"/>
                  <w:gridSpan w:val="2"/>
                  <w:vAlign w:val="center"/>
                </w:tcPr>
                <w:p w14:paraId="19783CFD">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r>
            <w:tr w14:paraId="2330F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9" w:hRule="atLeast"/>
                <w:jc w:val="center"/>
              </w:trPr>
              <w:tc>
                <w:tcPr>
                  <w:tcW w:w="626" w:type="dxa"/>
                  <w:vAlign w:val="center"/>
                </w:tcPr>
                <w:p w14:paraId="583801E4">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36EF2D1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悬挂连接座</w:t>
                  </w:r>
                </w:p>
              </w:tc>
              <w:tc>
                <w:tcPr>
                  <w:tcW w:w="1250" w:type="dxa"/>
                  <w:vAlign w:val="center"/>
                </w:tcPr>
                <w:p w14:paraId="7324F06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6534747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120000</w:t>
                  </w:r>
                </w:p>
              </w:tc>
              <w:tc>
                <w:tcPr>
                  <w:tcW w:w="1365" w:type="dxa"/>
                  <w:gridSpan w:val="2"/>
                  <w:vAlign w:val="center"/>
                </w:tcPr>
                <w:p w14:paraId="5F67D98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120000</w:t>
                  </w:r>
                </w:p>
              </w:tc>
              <w:tc>
                <w:tcPr>
                  <w:tcW w:w="1651" w:type="dxa"/>
                  <w:gridSpan w:val="2"/>
                  <w:vAlign w:val="center"/>
                </w:tcPr>
                <w:p w14:paraId="6E4B4F8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r>
            <w:tr w14:paraId="1D07B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2A917E4F">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050594C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承重连杆</w:t>
                  </w:r>
                </w:p>
              </w:tc>
              <w:tc>
                <w:tcPr>
                  <w:tcW w:w="1250" w:type="dxa"/>
                  <w:vAlign w:val="center"/>
                </w:tcPr>
                <w:p w14:paraId="1DFA33D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379F55F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90000</w:t>
                  </w:r>
                </w:p>
              </w:tc>
              <w:tc>
                <w:tcPr>
                  <w:tcW w:w="1365" w:type="dxa"/>
                  <w:gridSpan w:val="2"/>
                  <w:vAlign w:val="center"/>
                </w:tcPr>
                <w:p w14:paraId="559364A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90000</w:t>
                  </w:r>
                </w:p>
              </w:tc>
              <w:tc>
                <w:tcPr>
                  <w:tcW w:w="1651" w:type="dxa"/>
                  <w:gridSpan w:val="2"/>
                  <w:vAlign w:val="center"/>
                </w:tcPr>
                <w:p w14:paraId="71CC3CC7">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r>
            <w:tr w14:paraId="55451C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6" w:hRule="atLeast"/>
                <w:jc w:val="center"/>
              </w:trPr>
              <w:tc>
                <w:tcPr>
                  <w:tcW w:w="626" w:type="dxa"/>
                  <w:vAlign w:val="center"/>
                </w:tcPr>
                <w:p w14:paraId="55C3F6D3">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4B8C90D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连杆轴承座</w:t>
                  </w:r>
                </w:p>
              </w:tc>
              <w:tc>
                <w:tcPr>
                  <w:tcW w:w="1250" w:type="dxa"/>
                  <w:vAlign w:val="center"/>
                </w:tcPr>
                <w:p w14:paraId="3EAE3B7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16B7C95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120000</w:t>
                  </w:r>
                </w:p>
              </w:tc>
              <w:tc>
                <w:tcPr>
                  <w:tcW w:w="1365" w:type="dxa"/>
                  <w:gridSpan w:val="2"/>
                  <w:vAlign w:val="center"/>
                </w:tcPr>
                <w:p w14:paraId="13261B6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120000</w:t>
                  </w:r>
                </w:p>
              </w:tc>
              <w:tc>
                <w:tcPr>
                  <w:tcW w:w="1651" w:type="dxa"/>
                  <w:gridSpan w:val="2"/>
                  <w:vAlign w:val="center"/>
                </w:tcPr>
                <w:p w14:paraId="287A6167">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r>
            <w:tr w14:paraId="64EE4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2" w:hRule="atLeast"/>
                <w:jc w:val="center"/>
              </w:trPr>
              <w:tc>
                <w:tcPr>
                  <w:tcW w:w="626" w:type="dxa"/>
                  <w:vAlign w:val="center"/>
                </w:tcPr>
                <w:p w14:paraId="1EF7768A">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498C88E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隔套</w:t>
                  </w:r>
                </w:p>
              </w:tc>
              <w:tc>
                <w:tcPr>
                  <w:tcW w:w="1250" w:type="dxa"/>
                  <w:vAlign w:val="center"/>
                </w:tcPr>
                <w:p w14:paraId="0E65C0C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024BBD3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420000</w:t>
                  </w:r>
                </w:p>
              </w:tc>
              <w:tc>
                <w:tcPr>
                  <w:tcW w:w="1365" w:type="dxa"/>
                  <w:gridSpan w:val="2"/>
                  <w:vAlign w:val="center"/>
                </w:tcPr>
                <w:p w14:paraId="7965DE3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420000</w:t>
                  </w:r>
                </w:p>
              </w:tc>
              <w:tc>
                <w:tcPr>
                  <w:tcW w:w="1651" w:type="dxa"/>
                  <w:gridSpan w:val="2"/>
                  <w:vAlign w:val="center"/>
                </w:tcPr>
                <w:p w14:paraId="51C86C3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493EE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2" w:hRule="atLeast"/>
                <w:jc w:val="center"/>
              </w:trPr>
              <w:tc>
                <w:tcPr>
                  <w:tcW w:w="626" w:type="dxa"/>
                  <w:vAlign w:val="center"/>
                </w:tcPr>
                <w:p w14:paraId="77ADBEBB">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67F9E30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承重轮轴</w:t>
                  </w:r>
                </w:p>
              </w:tc>
              <w:tc>
                <w:tcPr>
                  <w:tcW w:w="1250" w:type="dxa"/>
                  <w:vAlign w:val="center"/>
                </w:tcPr>
                <w:p w14:paraId="43519D5F">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63131B1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150000</w:t>
                  </w:r>
                </w:p>
              </w:tc>
              <w:tc>
                <w:tcPr>
                  <w:tcW w:w="1365" w:type="dxa"/>
                  <w:gridSpan w:val="2"/>
                  <w:vAlign w:val="center"/>
                </w:tcPr>
                <w:p w14:paraId="5FD8C71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150000</w:t>
                  </w:r>
                </w:p>
              </w:tc>
              <w:tc>
                <w:tcPr>
                  <w:tcW w:w="1651" w:type="dxa"/>
                  <w:gridSpan w:val="2"/>
                  <w:vAlign w:val="center"/>
                </w:tcPr>
                <w:p w14:paraId="3FD5959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5F9F3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626" w:type="dxa"/>
                  <w:vAlign w:val="center"/>
                </w:tcPr>
                <w:p w14:paraId="0C467B94">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70F60AC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承重轮</w:t>
                  </w:r>
                </w:p>
              </w:tc>
              <w:tc>
                <w:tcPr>
                  <w:tcW w:w="1250" w:type="dxa"/>
                  <w:vAlign w:val="center"/>
                </w:tcPr>
                <w:p w14:paraId="341FD03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6E7F9B6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180000</w:t>
                  </w:r>
                </w:p>
              </w:tc>
              <w:tc>
                <w:tcPr>
                  <w:tcW w:w="1365" w:type="dxa"/>
                  <w:gridSpan w:val="2"/>
                  <w:vAlign w:val="center"/>
                </w:tcPr>
                <w:p w14:paraId="17BFDB1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180000</w:t>
                  </w:r>
                </w:p>
              </w:tc>
              <w:tc>
                <w:tcPr>
                  <w:tcW w:w="1651" w:type="dxa"/>
                  <w:gridSpan w:val="2"/>
                  <w:vAlign w:val="center"/>
                </w:tcPr>
                <w:p w14:paraId="29534C8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6F436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1" w:hRule="atLeast"/>
                <w:jc w:val="center"/>
              </w:trPr>
              <w:tc>
                <w:tcPr>
                  <w:tcW w:w="626" w:type="dxa"/>
                  <w:vAlign w:val="center"/>
                </w:tcPr>
                <w:p w14:paraId="28F28452">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06F523B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rPr>
                  </w:pPr>
                  <w:r>
                    <w:rPr>
                      <w:rFonts w:hint="eastAsia"/>
                      <w:color w:val="auto"/>
                      <w:highlight w:val="none"/>
                      <w:lang w:val="en-US" w:eastAsia="zh-CN"/>
                    </w:rPr>
                    <w:t>插座</w:t>
                  </w:r>
                </w:p>
              </w:tc>
              <w:tc>
                <w:tcPr>
                  <w:tcW w:w="1250" w:type="dxa"/>
                  <w:vAlign w:val="center"/>
                </w:tcPr>
                <w:p w14:paraId="544A5F7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rPr>
                  </w:pPr>
                  <w:r>
                    <w:rPr>
                      <w:rFonts w:hint="eastAsia"/>
                      <w:color w:val="auto"/>
                      <w:highlight w:val="none"/>
                      <w:lang w:val="en-US" w:eastAsia="zh-CN"/>
                    </w:rPr>
                    <w:t>个/a</w:t>
                  </w:r>
                </w:p>
              </w:tc>
              <w:tc>
                <w:tcPr>
                  <w:tcW w:w="1485" w:type="dxa"/>
                  <w:gridSpan w:val="2"/>
                  <w:vAlign w:val="center"/>
                </w:tcPr>
                <w:p w14:paraId="4FAC9CDE">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rPr>
                  </w:pPr>
                  <w:r>
                    <w:rPr>
                      <w:rFonts w:hint="eastAsia"/>
                      <w:color w:val="auto"/>
                      <w:highlight w:val="none"/>
                      <w:lang w:val="en-US" w:eastAsia="zh-CN"/>
                    </w:rPr>
                    <w:t>240000</w:t>
                  </w:r>
                </w:p>
              </w:tc>
              <w:tc>
                <w:tcPr>
                  <w:tcW w:w="1365" w:type="dxa"/>
                  <w:gridSpan w:val="2"/>
                  <w:vAlign w:val="center"/>
                </w:tcPr>
                <w:p w14:paraId="4320360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cs="Times New Roman"/>
                      <w:bCs/>
                      <w:color w:val="auto"/>
                      <w:spacing w:val="0"/>
                      <w:kern w:val="2"/>
                      <w:sz w:val="21"/>
                      <w:szCs w:val="21"/>
                      <w:highlight w:val="none"/>
                      <w:lang w:val="en-US" w:eastAsia="zh-CN" w:bidi="ar-SA"/>
                    </w:rPr>
                  </w:pPr>
                  <w:r>
                    <w:rPr>
                      <w:rFonts w:hint="eastAsia"/>
                      <w:color w:val="auto"/>
                      <w:highlight w:val="none"/>
                      <w:lang w:val="en-US" w:eastAsia="zh-CN"/>
                    </w:rPr>
                    <w:t>240000</w:t>
                  </w:r>
                </w:p>
              </w:tc>
              <w:tc>
                <w:tcPr>
                  <w:tcW w:w="1651" w:type="dxa"/>
                  <w:gridSpan w:val="2"/>
                  <w:vAlign w:val="center"/>
                </w:tcPr>
                <w:p w14:paraId="72AE407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72E31E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3" w:hRule="atLeast"/>
                <w:jc w:val="center"/>
              </w:trPr>
              <w:tc>
                <w:tcPr>
                  <w:tcW w:w="626" w:type="dxa"/>
                  <w:vAlign w:val="center"/>
                </w:tcPr>
                <w:p w14:paraId="09E03FE6">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5FC8963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金属电缆接头</w:t>
                  </w:r>
                </w:p>
              </w:tc>
              <w:tc>
                <w:tcPr>
                  <w:tcW w:w="1250" w:type="dxa"/>
                  <w:vAlign w:val="center"/>
                </w:tcPr>
                <w:p w14:paraId="13CF698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snapToGrid w:val="0"/>
                      <w:color w:val="auto"/>
                      <w:spacing w:val="0"/>
                      <w:kern w:val="0"/>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5403B6E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240000</w:t>
                  </w:r>
                </w:p>
              </w:tc>
              <w:tc>
                <w:tcPr>
                  <w:tcW w:w="1365" w:type="dxa"/>
                  <w:gridSpan w:val="2"/>
                  <w:vAlign w:val="center"/>
                </w:tcPr>
                <w:p w14:paraId="3E81B73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240000</w:t>
                  </w:r>
                </w:p>
              </w:tc>
              <w:tc>
                <w:tcPr>
                  <w:tcW w:w="1651" w:type="dxa"/>
                  <w:gridSpan w:val="2"/>
                  <w:vAlign w:val="center"/>
                </w:tcPr>
                <w:p w14:paraId="5D4A56D7">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45516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626" w:type="dxa"/>
                  <w:vAlign w:val="center"/>
                </w:tcPr>
                <w:p w14:paraId="188BB2E7">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5385B95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按钮</w:t>
                  </w:r>
                </w:p>
              </w:tc>
              <w:tc>
                <w:tcPr>
                  <w:tcW w:w="1250" w:type="dxa"/>
                  <w:vAlign w:val="center"/>
                </w:tcPr>
                <w:p w14:paraId="0DDA82E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snapToGrid w:val="0"/>
                      <w:color w:val="auto"/>
                      <w:spacing w:val="0"/>
                      <w:kern w:val="0"/>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53DE9CA6">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180000</w:t>
                  </w:r>
                </w:p>
              </w:tc>
              <w:tc>
                <w:tcPr>
                  <w:tcW w:w="1365" w:type="dxa"/>
                  <w:gridSpan w:val="2"/>
                  <w:vAlign w:val="center"/>
                </w:tcPr>
                <w:p w14:paraId="1157718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180000</w:t>
                  </w:r>
                </w:p>
              </w:tc>
              <w:tc>
                <w:tcPr>
                  <w:tcW w:w="1651" w:type="dxa"/>
                  <w:gridSpan w:val="2"/>
                  <w:vAlign w:val="center"/>
                </w:tcPr>
                <w:p w14:paraId="5A7B3677">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7E754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626" w:type="dxa"/>
                  <w:vAlign w:val="center"/>
                </w:tcPr>
                <w:p w14:paraId="21EC884C">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64882DA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控制箱显示面板支撑柱</w:t>
                  </w:r>
                </w:p>
              </w:tc>
              <w:tc>
                <w:tcPr>
                  <w:tcW w:w="1250" w:type="dxa"/>
                  <w:vAlign w:val="center"/>
                </w:tcPr>
                <w:p w14:paraId="45D3F3F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snapToGrid w:val="0"/>
                      <w:color w:val="auto"/>
                      <w:spacing w:val="0"/>
                      <w:kern w:val="0"/>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5C9856E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60000</w:t>
                  </w:r>
                </w:p>
              </w:tc>
              <w:tc>
                <w:tcPr>
                  <w:tcW w:w="1365" w:type="dxa"/>
                  <w:gridSpan w:val="2"/>
                  <w:vAlign w:val="center"/>
                </w:tcPr>
                <w:p w14:paraId="0CB740A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60000</w:t>
                  </w:r>
                </w:p>
              </w:tc>
              <w:tc>
                <w:tcPr>
                  <w:tcW w:w="1651" w:type="dxa"/>
                  <w:gridSpan w:val="2"/>
                  <w:vAlign w:val="center"/>
                </w:tcPr>
                <w:p w14:paraId="3A8DC74F">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1ECF4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626" w:type="dxa"/>
                  <w:vAlign w:val="center"/>
                </w:tcPr>
                <w:p w14:paraId="78900C60">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3438B1F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操作面板拉手</w:t>
                  </w:r>
                </w:p>
              </w:tc>
              <w:tc>
                <w:tcPr>
                  <w:tcW w:w="1250" w:type="dxa"/>
                  <w:vAlign w:val="center"/>
                </w:tcPr>
                <w:p w14:paraId="2996FAF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snapToGrid w:val="0"/>
                      <w:color w:val="auto"/>
                      <w:spacing w:val="0"/>
                      <w:kern w:val="0"/>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3FE2B5E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30000</w:t>
                  </w:r>
                </w:p>
              </w:tc>
              <w:tc>
                <w:tcPr>
                  <w:tcW w:w="1365" w:type="dxa"/>
                  <w:gridSpan w:val="2"/>
                  <w:vAlign w:val="center"/>
                </w:tcPr>
                <w:p w14:paraId="6AD093F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30000</w:t>
                  </w:r>
                </w:p>
              </w:tc>
              <w:tc>
                <w:tcPr>
                  <w:tcW w:w="1651" w:type="dxa"/>
                  <w:gridSpan w:val="2"/>
                  <w:vAlign w:val="center"/>
                </w:tcPr>
                <w:p w14:paraId="726582E3">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2A82D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626" w:type="dxa"/>
                  <w:vAlign w:val="center"/>
                </w:tcPr>
                <w:p w14:paraId="56A3C456">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42A6681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控制箱天线托盘</w:t>
                  </w:r>
                </w:p>
              </w:tc>
              <w:tc>
                <w:tcPr>
                  <w:tcW w:w="1250" w:type="dxa"/>
                  <w:vAlign w:val="center"/>
                </w:tcPr>
                <w:p w14:paraId="5B3567C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snapToGrid w:val="0"/>
                      <w:color w:val="auto"/>
                      <w:spacing w:val="0"/>
                      <w:kern w:val="0"/>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2DADC7C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15000</w:t>
                  </w:r>
                </w:p>
              </w:tc>
              <w:tc>
                <w:tcPr>
                  <w:tcW w:w="1365" w:type="dxa"/>
                  <w:gridSpan w:val="2"/>
                  <w:vAlign w:val="center"/>
                </w:tcPr>
                <w:p w14:paraId="7C8E6DF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olor w:val="auto"/>
                      <w:highlight w:val="none"/>
                      <w:lang w:val="en-US" w:eastAsia="zh-CN"/>
                    </w:rPr>
                    <w:t>15000</w:t>
                  </w:r>
                </w:p>
              </w:tc>
              <w:tc>
                <w:tcPr>
                  <w:tcW w:w="1651" w:type="dxa"/>
                  <w:gridSpan w:val="2"/>
                  <w:vAlign w:val="center"/>
                </w:tcPr>
                <w:p w14:paraId="7B9319B3">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08D24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626" w:type="dxa"/>
                  <w:vAlign w:val="center"/>
                </w:tcPr>
                <w:p w14:paraId="4809939D">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6255C2E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连接线</w:t>
                  </w:r>
                </w:p>
              </w:tc>
              <w:tc>
                <w:tcPr>
                  <w:tcW w:w="1250" w:type="dxa"/>
                  <w:vAlign w:val="center"/>
                </w:tcPr>
                <w:p w14:paraId="488994A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5FEA3E8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30000</w:t>
                  </w:r>
                </w:p>
              </w:tc>
              <w:tc>
                <w:tcPr>
                  <w:tcW w:w="1365" w:type="dxa"/>
                  <w:gridSpan w:val="2"/>
                  <w:vAlign w:val="center"/>
                </w:tcPr>
                <w:p w14:paraId="396B1A2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30000</w:t>
                  </w:r>
                </w:p>
              </w:tc>
              <w:tc>
                <w:tcPr>
                  <w:tcW w:w="1651" w:type="dxa"/>
                  <w:gridSpan w:val="2"/>
                  <w:vAlign w:val="center"/>
                </w:tcPr>
                <w:p w14:paraId="58385EE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37D05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626" w:type="dxa"/>
                  <w:vAlign w:val="center"/>
                </w:tcPr>
                <w:p w14:paraId="32FB3557">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448898C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3.5寸触摸显示屏</w:t>
                  </w:r>
                </w:p>
              </w:tc>
              <w:tc>
                <w:tcPr>
                  <w:tcW w:w="1250" w:type="dxa"/>
                  <w:vAlign w:val="center"/>
                </w:tcPr>
                <w:p w14:paraId="3402CAD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591DF9A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15000</w:t>
                  </w:r>
                </w:p>
              </w:tc>
              <w:tc>
                <w:tcPr>
                  <w:tcW w:w="1365" w:type="dxa"/>
                  <w:gridSpan w:val="2"/>
                  <w:vAlign w:val="center"/>
                </w:tcPr>
                <w:p w14:paraId="7C23DE6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15000</w:t>
                  </w:r>
                </w:p>
              </w:tc>
              <w:tc>
                <w:tcPr>
                  <w:tcW w:w="1651" w:type="dxa"/>
                  <w:gridSpan w:val="2"/>
                  <w:vAlign w:val="center"/>
                </w:tcPr>
                <w:p w14:paraId="31F88F3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r>
            <w:tr w14:paraId="434BB7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626" w:type="dxa"/>
                  <w:vAlign w:val="center"/>
                </w:tcPr>
                <w:p w14:paraId="451B78FF">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2C67257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壳体</w:t>
                  </w:r>
                </w:p>
              </w:tc>
              <w:tc>
                <w:tcPr>
                  <w:tcW w:w="1250" w:type="dxa"/>
                  <w:vAlign w:val="center"/>
                </w:tcPr>
                <w:p w14:paraId="14D371E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个/a</w:t>
                  </w:r>
                </w:p>
              </w:tc>
              <w:tc>
                <w:tcPr>
                  <w:tcW w:w="1485" w:type="dxa"/>
                  <w:gridSpan w:val="2"/>
                  <w:vAlign w:val="center"/>
                </w:tcPr>
                <w:p w14:paraId="1AD1FA8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3000</w:t>
                  </w:r>
                </w:p>
              </w:tc>
              <w:tc>
                <w:tcPr>
                  <w:tcW w:w="1365" w:type="dxa"/>
                  <w:gridSpan w:val="2"/>
                  <w:vAlign w:val="center"/>
                </w:tcPr>
                <w:p w14:paraId="37FE909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3000</w:t>
                  </w:r>
                </w:p>
              </w:tc>
              <w:tc>
                <w:tcPr>
                  <w:tcW w:w="1651" w:type="dxa"/>
                  <w:gridSpan w:val="2"/>
                  <w:vAlign w:val="center"/>
                </w:tcPr>
                <w:p w14:paraId="3C3A314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0BE4F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97" w:hRule="atLeast"/>
                <w:jc w:val="center"/>
              </w:trPr>
              <w:tc>
                <w:tcPr>
                  <w:tcW w:w="626" w:type="dxa"/>
                  <w:vMerge w:val="restart"/>
                  <w:vAlign w:val="center"/>
                </w:tcPr>
                <w:p w14:paraId="28FE3E8F">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700" w:type="dxa"/>
                  <w:vMerge w:val="restart"/>
                  <w:vAlign w:val="center"/>
                </w:tcPr>
                <w:p w14:paraId="515C0329">
                  <w:pPr>
                    <w:pStyle w:val="36"/>
                    <w:keepNext w:val="0"/>
                    <w:keepLines w:val="0"/>
                    <w:pageBreakBefore w:val="0"/>
                    <w:kinsoku/>
                    <w:wordWrap/>
                    <w:overflowPunct/>
                    <w:topLinePunct w:val="0"/>
                    <w:bidi w:val="0"/>
                    <w:spacing w:line="240" w:lineRule="auto"/>
                    <w:ind w:firstLine="0" w:firstLineChars="0"/>
                    <w:jc w:val="center"/>
                    <w:rPr>
                      <w:rFonts w:hint="eastAsia" w:eastAsia="宋体"/>
                      <w:color w:val="auto"/>
                      <w:highlight w:val="none"/>
                      <w:lang w:val="en-US" w:eastAsia="zh-CN"/>
                    </w:rPr>
                  </w:pPr>
                  <w:r>
                    <w:rPr>
                      <w:rFonts w:hint="eastAsia" w:cs="Times New Roman"/>
                      <w:color w:val="auto"/>
                      <w:sz w:val="21"/>
                      <w:szCs w:val="21"/>
                      <w:highlight w:val="none"/>
                      <w:lang w:val="en-US" w:eastAsia="zh-CN"/>
                    </w:rPr>
                    <w:t>底漆</w:t>
                  </w:r>
                </w:p>
              </w:tc>
              <w:tc>
                <w:tcPr>
                  <w:tcW w:w="1200" w:type="dxa"/>
                  <w:vAlign w:val="center"/>
                </w:tcPr>
                <w:p w14:paraId="41BFB90A">
                  <w:pPr>
                    <w:pStyle w:val="36"/>
                    <w:keepNext w:val="0"/>
                    <w:keepLines w:val="0"/>
                    <w:pageBreakBefore w:val="0"/>
                    <w:kinsoku/>
                    <w:wordWrap/>
                    <w:overflowPunct/>
                    <w:topLinePunct w:val="0"/>
                    <w:bidi w:val="0"/>
                    <w:spacing w:line="240" w:lineRule="auto"/>
                    <w:ind w:firstLine="0" w:firstLineChars="0"/>
                    <w:jc w:val="center"/>
                    <w:rPr>
                      <w:rFonts w:hint="eastAsia" w:eastAsia="宋体"/>
                      <w:color w:val="auto"/>
                      <w:highlight w:val="none"/>
                      <w:lang w:val="en-US" w:eastAsia="zh-CN"/>
                    </w:rPr>
                  </w:pPr>
                  <w:r>
                    <w:rPr>
                      <w:rFonts w:hint="eastAsia" w:cs="Times New Roman"/>
                      <w:color w:val="auto"/>
                      <w:sz w:val="21"/>
                      <w:szCs w:val="21"/>
                      <w:highlight w:val="none"/>
                      <w:lang w:val="en-US" w:eastAsia="zh-CN"/>
                    </w:rPr>
                    <w:t>A组分（主剂）</w:t>
                  </w:r>
                </w:p>
              </w:tc>
              <w:tc>
                <w:tcPr>
                  <w:tcW w:w="1250" w:type="dxa"/>
                  <w:vAlign w:val="center"/>
                </w:tcPr>
                <w:p w14:paraId="09D1C40C">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none"/>
                      <w:lang w:val="en-US" w:eastAsia="zh-CN"/>
                    </w:rPr>
                  </w:pPr>
                  <w:r>
                    <w:rPr>
                      <w:rFonts w:hint="eastAsia" w:cs="Times New Roman"/>
                      <w:color w:val="auto"/>
                      <w:sz w:val="21"/>
                      <w:szCs w:val="21"/>
                      <w:highlight w:val="none"/>
                      <w:lang w:val="en-US" w:eastAsia="zh-CN"/>
                    </w:rPr>
                    <w:t>t/a</w:t>
                  </w:r>
                </w:p>
              </w:tc>
              <w:tc>
                <w:tcPr>
                  <w:tcW w:w="783" w:type="dxa"/>
                  <w:vAlign w:val="center"/>
                </w:tcPr>
                <w:p w14:paraId="60A2661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702" w:type="dxa"/>
                  <w:vMerge w:val="restart"/>
                  <w:vAlign w:val="center"/>
                </w:tcPr>
                <w:p w14:paraId="055E84E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714" w:type="dxa"/>
                  <w:vAlign w:val="center"/>
                </w:tcPr>
                <w:p w14:paraId="07B3F0EC">
                  <w:pPr>
                    <w:pStyle w:val="36"/>
                    <w:keepNext w:val="0"/>
                    <w:keepLines w:val="0"/>
                    <w:pageBreakBefore w:val="0"/>
                    <w:kinsoku/>
                    <w:wordWrap/>
                    <w:overflowPunct/>
                    <w:topLinePunct w:val="0"/>
                    <w:bidi w:val="0"/>
                    <w:spacing w:line="240" w:lineRule="auto"/>
                    <w:ind w:firstLine="0" w:firstLineChars="0"/>
                    <w:jc w:val="center"/>
                    <w:rPr>
                      <w:rFonts w:hint="default" w:cs="Times New Roman"/>
                      <w:bCs/>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2.5</w:t>
                  </w:r>
                </w:p>
              </w:tc>
              <w:tc>
                <w:tcPr>
                  <w:tcW w:w="651" w:type="dxa"/>
                  <w:vMerge w:val="restart"/>
                  <w:vAlign w:val="center"/>
                </w:tcPr>
                <w:p w14:paraId="14AF4DEF">
                  <w:pPr>
                    <w:pStyle w:val="36"/>
                    <w:keepNext w:val="0"/>
                    <w:keepLines w:val="0"/>
                    <w:pageBreakBefore w:val="0"/>
                    <w:kinsoku/>
                    <w:wordWrap/>
                    <w:overflowPunct/>
                    <w:topLinePunct w:val="0"/>
                    <w:bidi w:val="0"/>
                    <w:spacing w:line="240" w:lineRule="auto"/>
                    <w:ind w:firstLine="0" w:firstLineChars="0"/>
                    <w:jc w:val="center"/>
                    <w:rPr>
                      <w:rFonts w:hint="default" w:cs="Times New Roman"/>
                      <w:bCs/>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2.665</w:t>
                  </w:r>
                </w:p>
              </w:tc>
              <w:tc>
                <w:tcPr>
                  <w:tcW w:w="900" w:type="dxa"/>
                  <w:vAlign w:val="center"/>
                </w:tcPr>
                <w:p w14:paraId="1AAF2359">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sz w:val="21"/>
                      <w:szCs w:val="21"/>
                      <w:highlight w:val="none"/>
                      <w:lang w:val="en-US" w:eastAsia="zh-CN"/>
                    </w:rPr>
                    <w:t>2.5</w:t>
                  </w:r>
                </w:p>
              </w:tc>
              <w:tc>
                <w:tcPr>
                  <w:tcW w:w="751" w:type="dxa"/>
                  <w:vMerge w:val="restart"/>
                  <w:vAlign w:val="center"/>
                </w:tcPr>
                <w:p w14:paraId="647DD239">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sz w:val="21"/>
                      <w:szCs w:val="21"/>
                      <w:highlight w:val="none"/>
                      <w:lang w:val="en-US" w:eastAsia="zh-CN"/>
                    </w:rPr>
                    <w:t>2.665</w:t>
                  </w:r>
                </w:p>
              </w:tc>
            </w:tr>
            <w:tr w14:paraId="499E31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97" w:hRule="atLeast"/>
                <w:jc w:val="center"/>
              </w:trPr>
              <w:tc>
                <w:tcPr>
                  <w:tcW w:w="626" w:type="dxa"/>
                  <w:vMerge w:val="continue"/>
                  <w:vAlign w:val="center"/>
                </w:tcPr>
                <w:p w14:paraId="4014738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rPr>
                  </w:pPr>
                </w:p>
              </w:tc>
              <w:tc>
                <w:tcPr>
                  <w:tcW w:w="700" w:type="dxa"/>
                  <w:vMerge w:val="continue"/>
                  <w:vAlign w:val="center"/>
                </w:tcPr>
                <w:p w14:paraId="0C6ECF7A">
                  <w:pPr>
                    <w:pStyle w:val="36"/>
                    <w:keepNext w:val="0"/>
                    <w:keepLines w:val="0"/>
                    <w:pageBreakBefore w:val="0"/>
                    <w:kinsoku/>
                    <w:wordWrap/>
                    <w:overflowPunct/>
                    <w:topLinePunct w:val="0"/>
                    <w:bidi w:val="0"/>
                    <w:spacing w:line="240" w:lineRule="auto"/>
                    <w:ind w:firstLine="0" w:firstLineChars="0"/>
                    <w:jc w:val="center"/>
                    <w:rPr>
                      <w:rFonts w:hint="eastAsia" w:eastAsia="宋体"/>
                      <w:color w:val="auto"/>
                      <w:highlight w:val="none"/>
                      <w:lang w:val="en-US" w:eastAsia="zh-CN"/>
                    </w:rPr>
                  </w:pPr>
                </w:p>
              </w:tc>
              <w:tc>
                <w:tcPr>
                  <w:tcW w:w="1200" w:type="dxa"/>
                  <w:vAlign w:val="center"/>
                </w:tcPr>
                <w:p w14:paraId="6ACF61BC">
                  <w:pPr>
                    <w:pStyle w:val="36"/>
                    <w:keepNext w:val="0"/>
                    <w:keepLines w:val="0"/>
                    <w:pageBreakBefore w:val="0"/>
                    <w:kinsoku/>
                    <w:wordWrap/>
                    <w:overflowPunct/>
                    <w:topLinePunct w:val="0"/>
                    <w:bidi w:val="0"/>
                    <w:spacing w:line="240" w:lineRule="auto"/>
                    <w:ind w:firstLine="0" w:firstLineChars="0"/>
                    <w:jc w:val="center"/>
                    <w:rPr>
                      <w:rFonts w:hint="eastAsia" w:eastAsia="宋体"/>
                      <w:color w:val="auto"/>
                      <w:highlight w:val="none"/>
                      <w:lang w:val="en-US" w:eastAsia="zh-CN"/>
                    </w:rPr>
                  </w:pPr>
                  <w:r>
                    <w:rPr>
                      <w:rFonts w:hint="eastAsia" w:cs="Times New Roman"/>
                      <w:color w:val="auto"/>
                      <w:sz w:val="21"/>
                      <w:szCs w:val="21"/>
                      <w:highlight w:val="none"/>
                      <w:lang w:val="en-US" w:eastAsia="zh-CN"/>
                    </w:rPr>
                    <w:t>B组分（固化剂）</w:t>
                  </w:r>
                </w:p>
              </w:tc>
              <w:tc>
                <w:tcPr>
                  <w:tcW w:w="1250" w:type="dxa"/>
                  <w:vAlign w:val="center"/>
                </w:tcPr>
                <w:p w14:paraId="58BF2762">
                  <w:pPr>
                    <w:pStyle w:val="36"/>
                    <w:keepNext w:val="0"/>
                    <w:keepLines w:val="0"/>
                    <w:pageBreakBefore w:val="0"/>
                    <w:kinsoku/>
                    <w:wordWrap/>
                    <w:overflowPunct/>
                    <w:topLinePunct w:val="0"/>
                    <w:bidi w:val="0"/>
                    <w:spacing w:line="240" w:lineRule="auto"/>
                    <w:ind w:firstLine="0" w:firstLineChars="0"/>
                    <w:jc w:val="center"/>
                    <w:rPr>
                      <w:rFonts w:hint="eastAsia" w:eastAsia="宋体"/>
                      <w:color w:val="auto"/>
                      <w:highlight w:val="none"/>
                      <w:lang w:val="en-US" w:eastAsia="zh-CN"/>
                    </w:rPr>
                  </w:pPr>
                  <w:r>
                    <w:rPr>
                      <w:rFonts w:hint="eastAsia" w:cs="Times New Roman"/>
                      <w:color w:val="auto"/>
                      <w:sz w:val="21"/>
                      <w:szCs w:val="21"/>
                      <w:highlight w:val="none"/>
                      <w:lang w:val="en-US" w:eastAsia="zh-CN"/>
                    </w:rPr>
                    <w:t>t/a</w:t>
                  </w:r>
                </w:p>
              </w:tc>
              <w:tc>
                <w:tcPr>
                  <w:tcW w:w="783" w:type="dxa"/>
                  <w:vAlign w:val="center"/>
                </w:tcPr>
                <w:p w14:paraId="256B1D7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eastAsia="宋体"/>
                      <w:color w:val="auto"/>
                      <w:highlight w:val="none"/>
                      <w:lang w:val="en-US" w:eastAsia="zh-CN"/>
                    </w:rPr>
                  </w:pPr>
                  <w:r>
                    <w:rPr>
                      <w:rFonts w:hint="eastAsia"/>
                      <w:color w:val="auto"/>
                      <w:highlight w:val="none"/>
                      <w:lang w:val="en-US" w:eastAsia="zh-CN"/>
                    </w:rPr>
                    <w:t>0</w:t>
                  </w:r>
                </w:p>
              </w:tc>
              <w:tc>
                <w:tcPr>
                  <w:tcW w:w="702" w:type="dxa"/>
                  <w:vMerge w:val="continue"/>
                  <w:vAlign w:val="center"/>
                </w:tcPr>
                <w:p w14:paraId="55E7554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eastAsia="宋体"/>
                      <w:color w:val="auto"/>
                      <w:highlight w:val="none"/>
                      <w:lang w:val="en-US" w:eastAsia="zh-CN"/>
                    </w:rPr>
                  </w:pPr>
                </w:p>
              </w:tc>
              <w:tc>
                <w:tcPr>
                  <w:tcW w:w="714" w:type="dxa"/>
                  <w:vAlign w:val="center"/>
                </w:tcPr>
                <w:p w14:paraId="4ECD8F1B">
                  <w:pPr>
                    <w:pStyle w:val="36"/>
                    <w:keepNext w:val="0"/>
                    <w:keepLines w:val="0"/>
                    <w:pageBreakBefore w:val="0"/>
                    <w:kinsoku/>
                    <w:wordWrap/>
                    <w:overflowPunct/>
                    <w:topLinePunct w:val="0"/>
                    <w:bidi w:val="0"/>
                    <w:spacing w:line="240" w:lineRule="auto"/>
                    <w:ind w:firstLine="0" w:firstLineChars="0"/>
                    <w:jc w:val="center"/>
                    <w:rPr>
                      <w:rFonts w:hint="eastAsia" w:eastAsia="宋体"/>
                      <w:color w:val="auto"/>
                      <w:highlight w:val="none"/>
                      <w:lang w:val="en-US" w:eastAsia="zh-CN"/>
                    </w:rPr>
                  </w:pPr>
                  <w:r>
                    <w:rPr>
                      <w:rFonts w:hint="eastAsia" w:cs="Times New Roman"/>
                      <w:color w:val="auto"/>
                      <w:sz w:val="21"/>
                      <w:szCs w:val="21"/>
                      <w:highlight w:val="none"/>
                      <w:lang w:val="en-US" w:eastAsia="zh-CN"/>
                    </w:rPr>
                    <w:t>0.165</w:t>
                  </w:r>
                </w:p>
              </w:tc>
              <w:tc>
                <w:tcPr>
                  <w:tcW w:w="651" w:type="dxa"/>
                  <w:vMerge w:val="continue"/>
                  <w:vAlign w:val="center"/>
                </w:tcPr>
                <w:p w14:paraId="6CFD66C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eastAsia="宋体"/>
                      <w:color w:val="auto"/>
                      <w:highlight w:val="none"/>
                      <w:lang w:val="en-US" w:eastAsia="zh-CN"/>
                    </w:rPr>
                  </w:pPr>
                </w:p>
              </w:tc>
              <w:tc>
                <w:tcPr>
                  <w:tcW w:w="900" w:type="dxa"/>
                  <w:vAlign w:val="center"/>
                </w:tcPr>
                <w:p w14:paraId="41BBCB60">
                  <w:pPr>
                    <w:pStyle w:val="36"/>
                    <w:keepNext w:val="0"/>
                    <w:keepLines w:val="0"/>
                    <w:pageBreakBefore w:val="0"/>
                    <w:kinsoku/>
                    <w:wordWrap/>
                    <w:overflowPunct/>
                    <w:topLinePunct w:val="0"/>
                    <w:bidi w:val="0"/>
                    <w:spacing w:line="240" w:lineRule="auto"/>
                    <w:ind w:firstLine="0" w:firstLineChars="0"/>
                    <w:jc w:val="center"/>
                    <w:rPr>
                      <w:rFonts w:hint="eastAsia" w:eastAsia="宋体"/>
                      <w:color w:val="auto"/>
                      <w:highlight w:val="none"/>
                      <w:lang w:val="en-US" w:eastAsia="zh-CN"/>
                    </w:rPr>
                  </w:pPr>
                  <w:r>
                    <w:rPr>
                      <w:rFonts w:hint="eastAsia" w:cs="Times New Roman"/>
                      <w:color w:val="auto"/>
                      <w:sz w:val="21"/>
                      <w:szCs w:val="21"/>
                      <w:highlight w:val="none"/>
                      <w:lang w:val="en-US" w:eastAsia="zh-CN"/>
                    </w:rPr>
                    <w:t>0.165</w:t>
                  </w:r>
                </w:p>
              </w:tc>
              <w:tc>
                <w:tcPr>
                  <w:tcW w:w="751" w:type="dxa"/>
                  <w:vMerge w:val="continue"/>
                  <w:vAlign w:val="center"/>
                </w:tcPr>
                <w:p w14:paraId="20AC9BE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eastAsia="宋体"/>
                      <w:color w:val="auto"/>
                      <w:highlight w:val="none"/>
                      <w:lang w:val="en-US" w:eastAsia="zh-CN"/>
                    </w:rPr>
                  </w:pPr>
                </w:p>
              </w:tc>
            </w:tr>
            <w:tr w14:paraId="52288C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6" w:hRule="atLeast"/>
                <w:jc w:val="center"/>
              </w:trPr>
              <w:tc>
                <w:tcPr>
                  <w:tcW w:w="626" w:type="dxa"/>
                  <w:vMerge w:val="restart"/>
                  <w:vAlign w:val="center"/>
                </w:tcPr>
                <w:p w14:paraId="3825346B">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700" w:type="dxa"/>
                  <w:vMerge w:val="restart"/>
                  <w:vAlign w:val="center"/>
                </w:tcPr>
                <w:p w14:paraId="152FC2FA">
                  <w:pPr>
                    <w:pStyle w:val="31"/>
                    <w:bidi w:val="0"/>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面漆</w:t>
                  </w:r>
                </w:p>
              </w:tc>
              <w:tc>
                <w:tcPr>
                  <w:tcW w:w="1200" w:type="dxa"/>
                  <w:vAlign w:val="center"/>
                </w:tcPr>
                <w:p w14:paraId="19C2052A">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A组分（主剂）</w:t>
                  </w:r>
                </w:p>
              </w:tc>
              <w:tc>
                <w:tcPr>
                  <w:tcW w:w="1250" w:type="dxa"/>
                  <w:vAlign w:val="center"/>
                </w:tcPr>
                <w:p w14:paraId="4DCBE919">
                  <w:pPr>
                    <w:pStyle w:val="31"/>
                    <w:bidi w:val="0"/>
                    <w:ind w:firstLine="0" w:firstLineChars="0"/>
                    <w:rPr>
                      <w:rFonts w:hint="eastAsia" w:ascii="Times New Roman" w:hAnsi="Times New Roman" w:eastAsia="宋体" w:cs="Times New Roman"/>
                      <w:bCs/>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783" w:type="dxa"/>
                  <w:vAlign w:val="center"/>
                </w:tcPr>
                <w:p w14:paraId="5A7E642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eastAsia="宋体"/>
                      <w:color w:val="auto"/>
                      <w:highlight w:val="none"/>
                      <w:lang w:val="en-US" w:eastAsia="zh-CN"/>
                    </w:rPr>
                  </w:pPr>
                  <w:r>
                    <w:rPr>
                      <w:rFonts w:hint="eastAsia"/>
                      <w:color w:val="auto"/>
                      <w:highlight w:val="none"/>
                      <w:lang w:val="en-US" w:eastAsia="zh-CN"/>
                    </w:rPr>
                    <w:t>0</w:t>
                  </w:r>
                </w:p>
              </w:tc>
              <w:tc>
                <w:tcPr>
                  <w:tcW w:w="702" w:type="dxa"/>
                  <w:vMerge w:val="restart"/>
                  <w:vAlign w:val="center"/>
                </w:tcPr>
                <w:p w14:paraId="7DBFA9BE">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eastAsia="宋体"/>
                      <w:color w:val="auto"/>
                      <w:highlight w:val="none"/>
                      <w:lang w:val="en-US" w:eastAsia="zh-CN"/>
                    </w:rPr>
                  </w:pPr>
                  <w:r>
                    <w:rPr>
                      <w:rFonts w:hint="eastAsia"/>
                      <w:color w:val="auto"/>
                      <w:highlight w:val="none"/>
                      <w:lang w:val="en-US" w:eastAsia="zh-CN"/>
                    </w:rPr>
                    <w:t>0</w:t>
                  </w:r>
                </w:p>
              </w:tc>
              <w:tc>
                <w:tcPr>
                  <w:tcW w:w="714" w:type="dxa"/>
                  <w:vAlign w:val="center"/>
                </w:tcPr>
                <w:p w14:paraId="6735B82D">
                  <w:pPr>
                    <w:pStyle w:val="31"/>
                    <w:bidi w:val="0"/>
                    <w:ind w:firstLine="0" w:firstLineChars="0"/>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2.5</w:t>
                  </w:r>
                </w:p>
              </w:tc>
              <w:tc>
                <w:tcPr>
                  <w:tcW w:w="651" w:type="dxa"/>
                  <w:vMerge w:val="restart"/>
                  <w:vAlign w:val="center"/>
                </w:tcPr>
                <w:p w14:paraId="48386CBA">
                  <w:pPr>
                    <w:pStyle w:val="31"/>
                    <w:bidi w:val="0"/>
                    <w:ind w:firstLine="0" w:firstLineChars="0"/>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2.705</w:t>
                  </w:r>
                </w:p>
              </w:tc>
              <w:tc>
                <w:tcPr>
                  <w:tcW w:w="900" w:type="dxa"/>
                  <w:vAlign w:val="center"/>
                </w:tcPr>
                <w:p w14:paraId="4EC98885">
                  <w:pPr>
                    <w:pStyle w:val="31"/>
                    <w:bidi w:val="0"/>
                    <w:ind w:firstLine="0" w:firstLineChars="0"/>
                    <w:rPr>
                      <w:rFonts w:hint="default" w:ascii="Times New Roman" w:hAnsi="Times New Roman" w:cs="Times New Roman"/>
                      <w:color w:val="auto"/>
                      <w:kern w:val="0"/>
                      <w:sz w:val="21"/>
                      <w:szCs w:val="21"/>
                      <w:highlight w:val="none"/>
                      <w:lang w:val="en-US" w:eastAsia="zh-CN"/>
                    </w:rPr>
                  </w:pPr>
                  <w:r>
                    <w:rPr>
                      <w:rFonts w:hint="eastAsia"/>
                      <w:color w:val="auto"/>
                      <w:lang w:val="en-US" w:eastAsia="zh-CN"/>
                    </w:rPr>
                    <w:t>2.5</w:t>
                  </w:r>
                </w:p>
              </w:tc>
              <w:tc>
                <w:tcPr>
                  <w:tcW w:w="751" w:type="dxa"/>
                  <w:vMerge w:val="restart"/>
                  <w:vAlign w:val="center"/>
                </w:tcPr>
                <w:p w14:paraId="3DC85A7B">
                  <w:pPr>
                    <w:pStyle w:val="31"/>
                    <w:bidi w:val="0"/>
                    <w:ind w:firstLine="0" w:firstLineChars="0"/>
                    <w:rPr>
                      <w:rFonts w:hint="default" w:ascii="Times New Roman" w:hAnsi="Times New Roman" w:cs="Times New Roman"/>
                      <w:color w:val="auto"/>
                      <w:kern w:val="0"/>
                      <w:sz w:val="21"/>
                      <w:szCs w:val="21"/>
                      <w:highlight w:val="none"/>
                      <w:lang w:val="en-US" w:eastAsia="zh-CN"/>
                    </w:rPr>
                  </w:pPr>
                  <w:r>
                    <w:rPr>
                      <w:rFonts w:hint="eastAsia"/>
                      <w:color w:val="auto"/>
                      <w:lang w:val="en-US" w:eastAsia="zh-CN"/>
                    </w:rPr>
                    <w:t>2.705</w:t>
                  </w:r>
                </w:p>
              </w:tc>
            </w:tr>
            <w:tr w14:paraId="2455C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6" w:hRule="atLeast"/>
                <w:jc w:val="center"/>
              </w:trPr>
              <w:tc>
                <w:tcPr>
                  <w:tcW w:w="626" w:type="dxa"/>
                  <w:vMerge w:val="continue"/>
                  <w:vAlign w:val="center"/>
                </w:tcPr>
                <w:p w14:paraId="6692D520">
                  <w:pPr>
                    <w:pStyle w:val="36"/>
                    <w:keepNext w:val="0"/>
                    <w:keepLines w:val="0"/>
                    <w:pageBreakBefore w:val="0"/>
                    <w:widowControl w:val="0"/>
                    <w:kinsoku/>
                    <w:wordWrap/>
                    <w:overflowPunct/>
                    <w:topLinePunct w:val="0"/>
                    <w:bidi w:val="0"/>
                    <w:spacing w:line="240" w:lineRule="auto"/>
                    <w:ind w:left="-24" w:leftChars="-10" w:right="-24" w:rightChars="-10" w:firstLine="0" w:firstLineChars="0"/>
                    <w:jc w:val="center"/>
                    <w:rPr>
                      <w:color w:val="auto"/>
                    </w:rPr>
                  </w:pPr>
                </w:p>
              </w:tc>
              <w:tc>
                <w:tcPr>
                  <w:tcW w:w="700" w:type="dxa"/>
                  <w:vMerge w:val="continue"/>
                  <w:vAlign w:val="center"/>
                </w:tcPr>
                <w:p w14:paraId="43545C45">
                  <w:pPr>
                    <w:pStyle w:val="31"/>
                    <w:bidi w:val="0"/>
                    <w:ind w:firstLine="0" w:firstLineChars="0"/>
                    <w:rPr>
                      <w:color w:val="auto"/>
                    </w:rPr>
                  </w:pPr>
                </w:p>
              </w:tc>
              <w:tc>
                <w:tcPr>
                  <w:tcW w:w="1200" w:type="dxa"/>
                  <w:vAlign w:val="center"/>
                </w:tcPr>
                <w:p w14:paraId="53D9C814">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B组分（固化剂）</w:t>
                  </w:r>
                </w:p>
              </w:tc>
              <w:tc>
                <w:tcPr>
                  <w:tcW w:w="1250" w:type="dxa"/>
                  <w:vAlign w:val="center"/>
                </w:tcPr>
                <w:p w14:paraId="1C00E818">
                  <w:pPr>
                    <w:pStyle w:val="31"/>
                    <w:bidi w:val="0"/>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t/a</w:t>
                  </w:r>
                </w:p>
              </w:tc>
              <w:tc>
                <w:tcPr>
                  <w:tcW w:w="783" w:type="dxa"/>
                  <w:vAlign w:val="center"/>
                </w:tcPr>
                <w:p w14:paraId="5F80E8F1">
                  <w:pPr>
                    <w:pStyle w:val="36"/>
                    <w:keepNext w:val="0"/>
                    <w:keepLines w:val="0"/>
                    <w:pageBreakBefore w:val="0"/>
                    <w:widowControl w:val="0"/>
                    <w:kinsoku/>
                    <w:wordWrap/>
                    <w:overflowPunct/>
                    <w:topLinePunct w:val="0"/>
                    <w:bidi w:val="0"/>
                    <w:spacing w:line="240" w:lineRule="auto"/>
                    <w:ind w:left="-24" w:leftChars="-10" w:right="-24" w:rightChars="-1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702" w:type="dxa"/>
                  <w:vMerge w:val="continue"/>
                  <w:vAlign w:val="center"/>
                </w:tcPr>
                <w:p w14:paraId="0CA14FC0">
                  <w:pPr>
                    <w:pStyle w:val="36"/>
                    <w:keepNext w:val="0"/>
                    <w:keepLines w:val="0"/>
                    <w:pageBreakBefore w:val="0"/>
                    <w:widowControl w:val="0"/>
                    <w:kinsoku/>
                    <w:wordWrap/>
                    <w:overflowPunct/>
                    <w:topLinePunct w:val="0"/>
                    <w:bidi w:val="0"/>
                    <w:spacing w:line="240" w:lineRule="auto"/>
                    <w:ind w:left="-24" w:leftChars="-10" w:right="-24" w:rightChars="-10" w:firstLine="0" w:firstLineChars="0"/>
                    <w:jc w:val="center"/>
                    <w:rPr>
                      <w:rFonts w:hint="eastAsia" w:ascii="Times New Roman" w:hAnsi="Times New Roman" w:eastAsia="宋体" w:cs="Times New Roman"/>
                      <w:color w:val="auto"/>
                      <w:kern w:val="0"/>
                      <w:sz w:val="21"/>
                      <w:szCs w:val="21"/>
                      <w:highlight w:val="none"/>
                      <w:lang w:val="en-US" w:eastAsia="zh-CN" w:bidi="ar-SA"/>
                    </w:rPr>
                  </w:pPr>
                </w:p>
              </w:tc>
              <w:tc>
                <w:tcPr>
                  <w:tcW w:w="714" w:type="dxa"/>
                  <w:vAlign w:val="center"/>
                </w:tcPr>
                <w:p w14:paraId="2750E537">
                  <w:pPr>
                    <w:pStyle w:val="31"/>
                    <w:bidi w:val="0"/>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0.205</w:t>
                  </w:r>
                </w:p>
              </w:tc>
              <w:tc>
                <w:tcPr>
                  <w:tcW w:w="651" w:type="dxa"/>
                  <w:vMerge w:val="continue"/>
                  <w:vAlign w:val="center"/>
                </w:tcPr>
                <w:p w14:paraId="187029CB">
                  <w:pPr>
                    <w:pStyle w:val="36"/>
                    <w:keepNext w:val="0"/>
                    <w:keepLines w:val="0"/>
                    <w:pageBreakBefore w:val="0"/>
                    <w:widowControl w:val="0"/>
                    <w:kinsoku/>
                    <w:wordWrap/>
                    <w:overflowPunct/>
                    <w:topLinePunct w:val="0"/>
                    <w:bidi w:val="0"/>
                    <w:spacing w:line="240" w:lineRule="auto"/>
                    <w:ind w:left="-24" w:leftChars="-10" w:right="-24" w:rightChars="-10" w:firstLine="0" w:firstLineChars="0"/>
                    <w:jc w:val="center"/>
                    <w:rPr>
                      <w:rFonts w:hint="eastAsia" w:ascii="Times New Roman" w:hAnsi="Times New Roman" w:eastAsia="宋体" w:cs="Times New Roman"/>
                      <w:color w:val="auto"/>
                      <w:kern w:val="0"/>
                      <w:sz w:val="21"/>
                      <w:szCs w:val="21"/>
                      <w:highlight w:val="none"/>
                      <w:lang w:val="en-US" w:eastAsia="zh-CN" w:bidi="ar-SA"/>
                    </w:rPr>
                  </w:pPr>
                </w:p>
              </w:tc>
              <w:tc>
                <w:tcPr>
                  <w:tcW w:w="900" w:type="dxa"/>
                  <w:vAlign w:val="center"/>
                </w:tcPr>
                <w:p w14:paraId="6127B3F2">
                  <w:pPr>
                    <w:pStyle w:val="31"/>
                    <w:bidi w:val="0"/>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0.205</w:t>
                  </w:r>
                </w:p>
              </w:tc>
              <w:tc>
                <w:tcPr>
                  <w:tcW w:w="751" w:type="dxa"/>
                  <w:vMerge w:val="continue"/>
                  <w:vAlign w:val="center"/>
                </w:tcPr>
                <w:p w14:paraId="2E01D8F9">
                  <w:pPr>
                    <w:pStyle w:val="36"/>
                    <w:keepNext w:val="0"/>
                    <w:keepLines w:val="0"/>
                    <w:pageBreakBefore w:val="0"/>
                    <w:widowControl w:val="0"/>
                    <w:kinsoku/>
                    <w:wordWrap/>
                    <w:overflowPunct/>
                    <w:topLinePunct w:val="0"/>
                    <w:bidi w:val="0"/>
                    <w:spacing w:line="240" w:lineRule="auto"/>
                    <w:ind w:left="-24" w:leftChars="-10" w:right="-24" w:rightChars="-10" w:firstLine="0" w:firstLineChars="0"/>
                    <w:jc w:val="center"/>
                    <w:rPr>
                      <w:rFonts w:hint="eastAsia" w:ascii="Times New Roman" w:hAnsi="Times New Roman" w:eastAsia="宋体" w:cs="Times New Roman"/>
                      <w:color w:val="auto"/>
                      <w:kern w:val="0"/>
                      <w:sz w:val="21"/>
                      <w:szCs w:val="21"/>
                      <w:highlight w:val="none"/>
                      <w:lang w:val="en-US" w:eastAsia="zh-CN" w:bidi="ar-SA"/>
                    </w:rPr>
                  </w:pPr>
                </w:p>
              </w:tc>
            </w:tr>
            <w:tr w14:paraId="611D6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44515747">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14EAE4B0">
                  <w:pPr>
                    <w:pStyle w:val="31"/>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耐弧漆</w:t>
                  </w:r>
                </w:p>
              </w:tc>
              <w:tc>
                <w:tcPr>
                  <w:tcW w:w="1250" w:type="dxa"/>
                  <w:vAlign w:val="center"/>
                </w:tcPr>
                <w:p w14:paraId="1F93842A">
                  <w:pPr>
                    <w:pStyle w:val="31"/>
                    <w:bidi w:val="0"/>
                    <w:ind w:firstLine="0" w:firstLineChars="0"/>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485" w:type="dxa"/>
                  <w:gridSpan w:val="2"/>
                  <w:vAlign w:val="center"/>
                </w:tcPr>
                <w:p w14:paraId="4CBC9829">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365" w:type="dxa"/>
                  <w:gridSpan w:val="2"/>
                  <w:vAlign w:val="center"/>
                </w:tcPr>
                <w:p w14:paraId="0CF412FF">
                  <w:pPr>
                    <w:pStyle w:val="31"/>
                    <w:bidi w:val="0"/>
                    <w:ind w:firstLine="0" w:firstLineChars="0"/>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2.5</w:t>
                  </w:r>
                </w:p>
              </w:tc>
              <w:tc>
                <w:tcPr>
                  <w:tcW w:w="1651" w:type="dxa"/>
                  <w:gridSpan w:val="2"/>
                  <w:vAlign w:val="center"/>
                </w:tcPr>
                <w:p w14:paraId="77EBC13A">
                  <w:pPr>
                    <w:pStyle w:val="31"/>
                    <w:bidi w:val="0"/>
                    <w:ind w:firstLine="0" w:firstLineChars="0"/>
                    <w:rPr>
                      <w:rFonts w:hint="default" w:ascii="Times New Roman" w:hAnsi="Times New Roman" w:cs="Times New Roman"/>
                      <w:color w:val="auto"/>
                      <w:kern w:val="0"/>
                      <w:sz w:val="21"/>
                      <w:szCs w:val="21"/>
                      <w:highlight w:val="none"/>
                      <w:lang w:val="en-US" w:eastAsia="zh-CN"/>
                    </w:rPr>
                  </w:pPr>
                  <w:r>
                    <w:rPr>
                      <w:rFonts w:hint="eastAsia"/>
                      <w:color w:val="auto"/>
                      <w:lang w:val="en-US" w:eastAsia="zh-CN"/>
                    </w:rPr>
                    <w:t>+2.5</w:t>
                  </w:r>
                </w:p>
              </w:tc>
            </w:tr>
            <w:tr w14:paraId="5DAB98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2CBD592D">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1F755956">
                  <w:pPr>
                    <w:pStyle w:val="31"/>
                    <w:bidi w:val="0"/>
                    <w:ind w:firstLine="0" w:firstLineChars="0"/>
                    <w:rPr>
                      <w:rFonts w:hint="eastAsia" w:cs="Times New Roman"/>
                      <w:color w:val="auto"/>
                      <w:sz w:val="21"/>
                      <w:szCs w:val="21"/>
                      <w:highlight w:val="none"/>
                      <w:lang w:val="en-US" w:eastAsia="zh-CN"/>
                    </w:rPr>
                  </w:pPr>
                  <w:r>
                    <w:rPr>
                      <w:rFonts w:hint="eastAsia"/>
                      <w:color w:val="auto"/>
                      <w:lang w:val="en-US" w:eastAsia="zh-CN"/>
                    </w:rPr>
                    <w:t>稀释剂</w:t>
                  </w:r>
                </w:p>
              </w:tc>
              <w:tc>
                <w:tcPr>
                  <w:tcW w:w="1250" w:type="dxa"/>
                  <w:vAlign w:val="center"/>
                </w:tcPr>
                <w:p w14:paraId="09EEEEEE">
                  <w:pPr>
                    <w:pStyle w:val="31"/>
                    <w:bidi w:val="0"/>
                    <w:ind w:firstLine="0" w:firstLineChars="0"/>
                    <w:rPr>
                      <w:rFonts w:hint="eastAsia" w:cs="Times New Roman"/>
                      <w:bCs/>
                      <w:color w:val="auto"/>
                      <w:spacing w:val="0"/>
                      <w:sz w:val="21"/>
                      <w:szCs w:val="21"/>
                      <w:highlight w:val="none"/>
                      <w:lang w:val="en-US" w:eastAsia="zh-CN"/>
                    </w:rPr>
                  </w:pPr>
                  <w:r>
                    <w:rPr>
                      <w:rFonts w:hint="eastAsia" w:cs="Times New Roman"/>
                      <w:color w:val="auto"/>
                      <w:sz w:val="21"/>
                      <w:szCs w:val="21"/>
                      <w:highlight w:val="none"/>
                      <w:lang w:val="en-US" w:eastAsia="zh-CN"/>
                    </w:rPr>
                    <w:t>t/a</w:t>
                  </w:r>
                </w:p>
              </w:tc>
              <w:tc>
                <w:tcPr>
                  <w:tcW w:w="1485" w:type="dxa"/>
                  <w:gridSpan w:val="2"/>
                  <w:vAlign w:val="center"/>
                </w:tcPr>
                <w:p w14:paraId="13B076DD">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365" w:type="dxa"/>
                  <w:gridSpan w:val="2"/>
                  <w:vAlign w:val="center"/>
                </w:tcPr>
                <w:p w14:paraId="2CB9B823">
                  <w:pPr>
                    <w:pStyle w:val="31"/>
                    <w:bidi w:val="0"/>
                    <w:ind w:firstLine="0" w:firstLineChars="0"/>
                    <w:rPr>
                      <w:rFonts w:hint="eastAsia" w:cs="Times New Roman"/>
                      <w:bCs/>
                      <w:color w:val="auto"/>
                      <w:spacing w:val="0"/>
                      <w:kern w:val="2"/>
                      <w:sz w:val="21"/>
                      <w:szCs w:val="21"/>
                      <w:highlight w:val="none"/>
                      <w:lang w:val="en-US" w:eastAsia="zh-CN" w:bidi="ar-SA"/>
                    </w:rPr>
                  </w:pPr>
                  <w:r>
                    <w:rPr>
                      <w:rFonts w:hint="eastAsia"/>
                      <w:color w:val="auto"/>
                      <w:lang w:val="en-US" w:eastAsia="zh-CN"/>
                    </w:rPr>
                    <w:t>1</w:t>
                  </w:r>
                </w:p>
              </w:tc>
              <w:tc>
                <w:tcPr>
                  <w:tcW w:w="1651" w:type="dxa"/>
                  <w:gridSpan w:val="2"/>
                  <w:vAlign w:val="center"/>
                </w:tcPr>
                <w:p w14:paraId="76FFF967">
                  <w:pPr>
                    <w:pStyle w:val="31"/>
                    <w:bidi w:val="0"/>
                    <w:ind w:firstLine="0" w:firstLineChars="0"/>
                    <w:rPr>
                      <w:rFonts w:hint="eastAsia" w:cs="Times New Roman"/>
                      <w:color w:val="auto"/>
                      <w:kern w:val="0"/>
                      <w:sz w:val="21"/>
                      <w:szCs w:val="21"/>
                      <w:highlight w:val="none"/>
                      <w:lang w:val="en-US" w:eastAsia="zh-CN"/>
                    </w:rPr>
                  </w:pPr>
                  <w:r>
                    <w:rPr>
                      <w:rFonts w:hint="eastAsia"/>
                      <w:color w:val="auto"/>
                      <w:lang w:val="en-US" w:eastAsia="zh-CN"/>
                    </w:rPr>
                    <w:t>+1</w:t>
                  </w:r>
                </w:p>
              </w:tc>
            </w:tr>
            <w:tr w14:paraId="0435E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6B9EDF40">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6DFA7314">
                  <w:pPr>
                    <w:pStyle w:val="31"/>
                    <w:bidi w:val="0"/>
                    <w:ind w:firstLine="0" w:firstLineChars="0"/>
                    <w:rPr>
                      <w:rFonts w:hint="eastAsia" w:cs="Times New Roman"/>
                      <w:color w:val="auto"/>
                      <w:sz w:val="21"/>
                      <w:szCs w:val="21"/>
                      <w:highlight w:val="none"/>
                      <w:lang w:val="en-US" w:eastAsia="zh-CN"/>
                    </w:rPr>
                  </w:pPr>
                  <w:r>
                    <w:rPr>
                      <w:rFonts w:hint="eastAsia"/>
                      <w:color w:val="auto"/>
                      <w:lang w:val="en-US" w:eastAsia="zh-CN"/>
                    </w:rPr>
                    <w:t>腻子</w:t>
                  </w:r>
                </w:p>
              </w:tc>
              <w:tc>
                <w:tcPr>
                  <w:tcW w:w="1250" w:type="dxa"/>
                  <w:vAlign w:val="center"/>
                </w:tcPr>
                <w:p w14:paraId="61A6FBE8">
                  <w:pPr>
                    <w:pStyle w:val="31"/>
                    <w:bidi w:val="0"/>
                    <w:ind w:firstLine="0" w:firstLineChars="0"/>
                    <w:rPr>
                      <w:rFonts w:hint="eastAsia" w:cs="Times New Roman"/>
                      <w:bCs/>
                      <w:color w:val="auto"/>
                      <w:spacing w:val="0"/>
                      <w:sz w:val="21"/>
                      <w:szCs w:val="21"/>
                      <w:highlight w:val="none"/>
                      <w:lang w:val="en-US" w:eastAsia="zh-CN"/>
                    </w:rPr>
                  </w:pPr>
                  <w:r>
                    <w:rPr>
                      <w:rFonts w:hint="eastAsia" w:cs="Times New Roman"/>
                      <w:color w:val="auto"/>
                      <w:sz w:val="21"/>
                      <w:szCs w:val="21"/>
                      <w:highlight w:val="none"/>
                      <w:lang w:val="en-US" w:eastAsia="zh-CN"/>
                    </w:rPr>
                    <w:t>t/a</w:t>
                  </w:r>
                </w:p>
              </w:tc>
              <w:tc>
                <w:tcPr>
                  <w:tcW w:w="1485" w:type="dxa"/>
                  <w:gridSpan w:val="2"/>
                  <w:vAlign w:val="center"/>
                </w:tcPr>
                <w:p w14:paraId="0F11F94D">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365" w:type="dxa"/>
                  <w:gridSpan w:val="2"/>
                  <w:vAlign w:val="center"/>
                </w:tcPr>
                <w:p w14:paraId="470BDC70">
                  <w:pPr>
                    <w:pStyle w:val="31"/>
                    <w:bidi w:val="0"/>
                    <w:ind w:firstLine="0" w:firstLineChars="0"/>
                    <w:rPr>
                      <w:rFonts w:hint="eastAsia" w:cs="Times New Roman"/>
                      <w:bCs/>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0.65</w:t>
                  </w:r>
                </w:p>
              </w:tc>
              <w:tc>
                <w:tcPr>
                  <w:tcW w:w="1651" w:type="dxa"/>
                  <w:gridSpan w:val="2"/>
                  <w:vAlign w:val="center"/>
                </w:tcPr>
                <w:p w14:paraId="65D26A77">
                  <w:pPr>
                    <w:pStyle w:val="31"/>
                    <w:bidi w:val="0"/>
                    <w:ind w:firstLine="0" w:firstLineChars="0"/>
                    <w:rPr>
                      <w:rFonts w:hint="eastAsia" w:cs="Times New Roman"/>
                      <w:color w:val="auto"/>
                      <w:kern w:val="0"/>
                      <w:sz w:val="21"/>
                      <w:szCs w:val="21"/>
                      <w:highlight w:val="none"/>
                      <w:lang w:val="en-US" w:eastAsia="zh-CN"/>
                    </w:rPr>
                  </w:pPr>
                  <w:r>
                    <w:rPr>
                      <w:rFonts w:hint="eastAsia" w:cs="Times New Roman"/>
                      <w:color w:val="auto"/>
                      <w:sz w:val="21"/>
                      <w:szCs w:val="21"/>
                      <w:highlight w:val="none"/>
                      <w:lang w:val="en-US" w:eastAsia="zh-CN"/>
                    </w:rPr>
                    <w:t>+0.65</w:t>
                  </w:r>
                </w:p>
              </w:tc>
            </w:tr>
            <w:tr w14:paraId="03A4E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79B1B083">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60A48DA0">
                  <w:pPr>
                    <w:pStyle w:val="31"/>
                    <w:bidi w:val="0"/>
                    <w:ind w:firstLine="0" w:firstLineChars="0"/>
                    <w:rPr>
                      <w:rFonts w:hint="default"/>
                      <w:color w:val="auto"/>
                      <w:lang w:val="en-US" w:eastAsia="zh-CN"/>
                    </w:rPr>
                  </w:pPr>
                  <w:r>
                    <w:rPr>
                      <w:rFonts w:hint="eastAsia"/>
                      <w:color w:val="auto"/>
                      <w:lang w:val="en-US" w:eastAsia="zh-CN"/>
                    </w:rPr>
                    <w:t>砂纸</w:t>
                  </w:r>
                </w:p>
              </w:tc>
              <w:tc>
                <w:tcPr>
                  <w:tcW w:w="1250" w:type="dxa"/>
                  <w:vAlign w:val="center"/>
                </w:tcPr>
                <w:p w14:paraId="4BA746B7">
                  <w:pPr>
                    <w:pStyle w:val="31"/>
                    <w:bidi w:val="0"/>
                    <w:ind w:firstLine="0" w:firstLineChars="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张/a</w:t>
                  </w:r>
                </w:p>
              </w:tc>
              <w:tc>
                <w:tcPr>
                  <w:tcW w:w="1485" w:type="dxa"/>
                  <w:gridSpan w:val="2"/>
                  <w:vAlign w:val="center"/>
                </w:tcPr>
                <w:p w14:paraId="345D8413">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365" w:type="dxa"/>
                  <w:gridSpan w:val="2"/>
                  <w:vAlign w:val="center"/>
                </w:tcPr>
                <w:p w14:paraId="16348E6F">
                  <w:pPr>
                    <w:pStyle w:val="31"/>
                    <w:bidi w:val="0"/>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800</w:t>
                  </w:r>
                </w:p>
              </w:tc>
              <w:tc>
                <w:tcPr>
                  <w:tcW w:w="1651" w:type="dxa"/>
                  <w:gridSpan w:val="2"/>
                  <w:vAlign w:val="center"/>
                </w:tcPr>
                <w:p w14:paraId="62031FDA">
                  <w:pPr>
                    <w:pStyle w:val="31"/>
                    <w:bidi w:val="0"/>
                    <w:ind w:firstLine="0" w:firstLineChars="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+800</w:t>
                  </w:r>
                </w:p>
              </w:tc>
            </w:tr>
            <w:tr w14:paraId="1585DD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53DE2DF3">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1FAC6836">
                  <w:pPr>
                    <w:pStyle w:val="31"/>
                    <w:bidi w:val="0"/>
                    <w:ind w:firstLine="0" w:firstLineChars="0"/>
                    <w:rPr>
                      <w:rFonts w:hint="eastAsia" w:cs="Times New Roman"/>
                      <w:color w:val="auto"/>
                      <w:sz w:val="21"/>
                      <w:szCs w:val="21"/>
                      <w:highlight w:val="none"/>
                      <w:lang w:val="en-US" w:eastAsia="zh-CN"/>
                    </w:rPr>
                  </w:pPr>
                  <w:r>
                    <w:rPr>
                      <w:rFonts w:hint="eastAsia"/>
                      <w:color w:val="auto"/>
                      <w:highlight w:val="none"/>
                      <w:lang w:val="en-US" w:eastAsia="zh-CN"/>
                    </w:rPr>
                    <w:t>纸盒</w:t>
                  </w:r>
                </w:p>
              </w:tc>
              <w:tc>
                <w:tcPr>
                  <w:tcW w:w="1250" w:type="dxa"/>
                  <w:vAlign w:val="center"/>
                </w:tcPr>
                <w:p w14:paraId="5F38FF06">
                  <w:pPr>
                    <w:pStyle w:val="31"/>
                    <w:bidi w:val="0"/>
                    <w:ind w:firstLine="0" w:firstLineChars="0"/>
                    <w:rPr>
                      <w:rFonts w:hint="eastAsia" w:cs="Times New Roman"/>
                      <w:bCs/>
                      <w:color w:val="auto"/>
                      <w:spacing w:val="0"/>
                      <w:sz w:val="21"/>
                      <w:szCs w:val="21"/>
                      <w:highlight w:val="none"/>
                      <w:lang w:val="en-US" w:eastAsia="zh-CN"/>
                    </w:rPr>
                  </w:pPr>
                  <w:r>
                    <w:rPr>
                      <w:rFonts w:hint="eastAsia" w:cs="Times New Roman"/>
                      <w:color w:val="auto"/>
                      <w:sz w:val="21"/>
                      <w:szCs w:val="21"/>
                      <w:highlight w:val="none"/>
                      <w:lang w:val="en-US" w:eastAsia="zh-CN"/>
                    </w:rPr>
                    <w:t>t/a</w:t>
                  </w:r>
                </w:p>
              </w:tc>
              <w:tc>
                <w:tcPr>
                  <w:tcW w:w="1485" w:type="dxa"/>
                  <w:gridSpan w:val="2"/>
                  <w:vAlign w:val="center"/>
                </w:tcPr>
                <w:p w14:paraId="1BA11A03">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365" w:type="dxa"/>
                  <w:gridSpan w:val="2"/>
                  <w:vAlign w:val="center"/>
                </w:tcPr>
                <w:p w14:paraId="3FB58357">
                  <w:pPr>
                    <w:pStyle w:val="31"/>
                    <w:bidi w:val="0"/>
                    <w:ind w:firstLine="0" w:firstLineChars="0"/>
                    <w:rPr>
                      <w:rFonts w:hint="eastAsia" w:cs="Times New Roman"/>
                      <w:bCs/>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1651" w:type="dxa"/>
                  <w:gridSpan w:val="2"/>
                  <w:vAlign w:val="center"/>
                </w:tcPr>
                <w:p w14:paraId="10059C70">
                  <w:pPr>
                    <w:pStyle w:val="31"/>
                    <w:bidi w:val="0"/>
                    <w:ind w:firstLine="0" w:firstLineChars="0"/>
                    <w:rPr>
                      <w:rFonts w:hint="eastAsia" w:cs="Times New Roman"/>
                      <w:color w:val="auto"/>
                      <w:kern w:val="0"/>
                      <w:sz w:val="21"/>
                      <w:szCs w:val="21"/>
                      <w:highlight w:val="none"/>
                      <w:lang w:val="en-US" w:eastAsia="zh-CN"/>
                    </w:rPr>
                  </w:pPr>
                  <w:r>
                    <w:rPr>
                      <w:rFonts w:hint="eastAsia" w:cs="Times New Roman"/>
                      <w:color w:val="auto"/>
                      <w:sz w:val="21"/>
                      <w:szCs w:val="21"/>
                      <w:highlight w:val="none"/>
                      <w:lang w:val="en-US" w:eastAsia="zh-CN"/>
                    </w:rPr>
                    <w:t>+0.5</w:t>
                  </w:r>
                </w:p>
              </w:tc>
            </w:tr>
            <w:tr w14:paraId="2059E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684894E2">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7C7CEDDB">
                  <w:pPr>
                    <w:pStyle w:val="31"/>
                    <w:bidi w:val="0"/>
                    <w:ind w:firstLine="0" w:firstLineChars="0"/>
                    <w:rPr>
                      <w:rFonts w:hint="eastAsia" w:cs="Times New Roman"/>
                      <w:color w:val="auto"/>
                      <w:sz w:val="21"/>
                      <w:szCs w:val="21"/>
                      <w:highlight w:val="none"/>
                      <w:lang w:val="en-US" w:eastAsia="zh-CN"/>
                    </w:rPr>
                  </w:pPr>
                  <w:r>
                    <w:rPr>
                      <w:rFonts w:hint="eastAsia"/>
                      <w:color w:val="auto"/>
                      <w:lang w:val="en-US" w:eastAsia="zh-CN"/>
                    </w:rPr>
                    <w:t>过滤棉</w:t>
                  </w:r>
                </w:p>
              </w:tc>
              <w:tc>
                <w:tcPr>
                  <w:tcW w:w="1250" w:type="dxa"/>
                  <w:vAlign w:val="center"/>
                </w:tcPr>
                <w:p w14:paraId="707BCCE2">
                  <w:pPr>
                    <w:pStyle w:val="31"/>
                    <w:bidi w:val="0"/>
                    <w:ind w:firstLine="0" w:firstLineChars="0"/>
                    <w:rPr>
                      <w:rFonts w:hint="eastAsia" w:cs="Times New Roman"/>
                      <w:bCs/>
                      <w:color w:val="auto"/>
                      <w:spacing w:val="0"/>
                      <w:sz w:val="21"/>
                      <w:szCs w:val="21"/>
                      <w:highlight w:val="none"/>
                      <w:lang w:val="en-US" w:eastAsia="zh-CN"/>
                    </w:rPr>
                  </w:pPr>
                  <w:r>
                    <w:rPr>
                      <w:rFonts w:hint="eastAsia" w:cs="Times New Roman"/>
                      <w:color w:val="auto"/>
                      <w:sz w:val="21"/>
                      <w:szCs w:val="21"/>
                      <w:highlight w:val="none"/>
                      <w:lang w:val="en-US" w:eastAsia="zh-CN"/>
                    </w:rPr>
                    <w:t>t/a</w:t>
                  </w:r>
                </w:p>
              </w:tc>
              <w:tc>
                <w:tcPr>
                  <w:tcW w:w="1485" w:type="dxa"/>
                  <w:gridSpan w:val="2"/>
                  <w:vAlign w:val="center"/>
                </w:tcPr>
                <w:p w14:paraId="2D22DF14">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365" w:type="dxa"/>
                  <w:gridSpan w:val="2"/>
                  <w:vAlign w:val="center"/>
                </w:tcPr>
                <w:p w14:paraId="3D0E6B02">
                  <w:pPr>
                    <w:pStyle w:val="31"/>
                    <w:bidi w:val="0"/>
                    <w:ind w:firstLine="0" w:firstLineChars="0"/>
                    <w:rPr>
                      <w:rFonts w:hint="eastAsia" w:cs="Times New Roman"/>
                      <w:bCs/>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1651" w:type="dxa"/>
                  <w:gridSpan w:val="2"/>
                  <w:vAlign w:val="center"/>
                </w:tcPr>
                <w:p w14:paraId="6731530F">
                  <w:pPr>
                    <w:pStyle w:val="31"/>
                    <w:bidi w:val="0"/>
                    <w:ind w:firstLine="0" w:firstLineChars="0"/>
                    <w:rPr>
                      <w:rFonts w:hint="eastAsia" w:cs="Times New Roman"/>
                      <w:color w:val="auto"/>
                      <w:kern w:val="0"/>
                      <w:sz w:val="21"/>
                      <w:szCs w:val="21"/>
                      <w:highlight w:val="none"/>
                      <w:lang w:val="en-US" w:eastAsia="zh-CN"/>
                    </w:rPr>
                  </w:pPr>
                  <w:r>
                    <w:rPr>
                      <w:rFonts w:hint="eastAsia" w:cs="Times New Roman"/>
                      <w:color w:val="auto"/>
                      <w:sz w:val="21"/>
                      <w:szCs w:val="21"/>
                      <w:highlight w:val="none"/>
                      <w:lang w:val="en-US" w:eastAsia="zh-CN"/>
                    </w:rPr>
                    <w:t>+0.5</w:t>
                  </w:r>
                </w:p>
              </w:tc>
            </w:tr>
            <w:tr w14:paraId="4B0B6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1AFD3E4D">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48C96D45">
                  <w:pPr>
                    <w:pStyle w:val="31"/>
                    <w:bidi w:val="0"/>
                    <w:ind w:firstLine="0" w:firstLineChars="0"/>
                    <w:rPr>
                      <w:rFonts w:hint="default" w:cs="Times New Roman"/>
                      <w:color w:val="auto"/>
                      <w:sz w:val="21"/>
                      <w:szCs w:val="21"/>
                      <w:highlight w:val="none"/>
                      <w:lang w:val="en-US" w:eastAsia="zh-CN"/>
                    </w:rPr>
                  </w:pPr>
                  <w:r>
                    <w:rPr>
                      <w:rFonts w:hint="eastAsia"/>
                      <w:color w:val="auto"/>
                      <w:lang w:val="en-US" w:eastAsia="zh-CN"/>
                    </w:rPr>
                    <w:t>沸石分子筛</w:t>
                  </w:r>
                </w:p>
              </w:tc>
              <w:tc>
                <w:tcPr>
                  <w:tcW w:w="1250" w:type="dxa"/>
                  <w:vAlign w:val="center"/>
                </w:tcPr>
                <w:p w14:paraId="5AA98725">
                  <w:pPr>
                    <w:pStyle w:val="31"/>
                    <w:bidi w:val="0"/>
                    <w:ind w:firstLine="0" w:firstLineChars="0"/>
                    <w:rPr>
                      <w:rFonts w:hint="eastAsia" w:cs="Times New Roman"/>
                      <w:bCs/>
                      <w:color w:val="auto"/>
                      <w:spacing w:val="0"/>
                      <w:sz w:val="21"/>
                      <w:szCs w:val="21"/>
                      <w:highlight w:val="yellow"/>
                      <w:lang w:val="en-US" w:eastAsia="zh-CN"/>
                    </w:rPr>
                  </w:pPr>
                  <w:r>
                    <w:rPr>
                      <w:rFonts w:hint="eastAsia" w:cs="Times New Roman"/>
                      <w:color w:val="auto"/>
                      <w:sz w:val="21"/>
                      <w:szCs w:val="21"/>
                      <w:highlight w:val="none"/>
                      <w:lang w:val="en-US" w:eastAsia="zh-CN"/>
                    </w:rPr>
                    <w:t>t/3a</w:t>
                  </w:r>
                </w:p>
              </w:tc>
              <w:tc>
                <w:tcPr>
                  <w:tcW w:w="1485" w:type="dxa"/>
                  <w:gridSpan w:val="2"/>
                  <w:vAlign w:val="center"/>
                </w:tcPr>
                <w:p w14:paraId="3DF5099B">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yellow"/>
                      <w:lang w:val="en-US" w:eastAsia="zh-CN" w:bidi="ar-SA"/>
                    </w:rPr>
                  </w:pPr>
                  <w:r>
                    <w:rPr>
                      <w:rFonts w:hint="eastAsia" w:cs="Times New Roman"/>
                      <w:bCs/>
                      <w:color w:val="auto"/>
                      <w:spacing w:val="0"/>
                      <w:kern w:val="2"/>
                      <w:sz w:val="21"/>
                      <w:szCs w:val="21"/>
                      <w:highlight w:val="none"/>
                      <w:lang w:val="en-US" w:eastAsia="zh-CN" w:bidi="ar-SA"/>
                    </w:rPr>
                    <w:t>0</w:t>
                  </w:r>
                </w:p>
              </w:tc>
              <w:tc>
                <w:tcPr>
                  <w:tcW w:w="1365" w:type="dxa"/>
                  <w:gridSpan w:val="2"/>
                  <w:vAlign w:val="center"/>
                </w:tcPr>
                <w:p w14:paraId="23786865">
                  <w:pPr>
                    <w:pStyle w:val="31"/>
                    <w:bidi w:val="0"/>
                    <w:ind w:firstLine="0" w:firstLineChars="0"/>
                    <w:rPr>
                      <w:rFonts w:hint="eastAsia" w:cs="Times New Roman"/>
                      <w:bCs/>
                      <w:color w:val="auto"/>
                      <w:spacing w:val="0"/>
                      <w:kern w:val="2"/>
                      <w:sz w:val="21"/>
                      <w:szCs w:val="21"/>
                      <w:highlight w:val="yellow"/>
                      <w:lang w:val="en-US" w:eastAsia="zh-CN" w:bidi="ar-SA"/>
                    </w:rPr>
                  </w:pPr>
                  <w:r>
                    <w:rPr>
                      <w:rFonts w:hint="eastAsia" w:cs="Times New Roman"/>
                      <w:color w:val="auto"/>
                      <w:sz w:val="21"/>
                      <w:szCs w:val="21"/>
                      <w:highlight w:val="none"/>
                      <w:lang w:val="en-US" w:eastAsia="zh-CN"/>
                    </w:rPr>
                    <w:t>2</w:t>
                  </w:r>
                </w:p>
              </w:tc>
              <w:tc>
                <w:tcPr>
                  <w:tcW w:w="1651" w:type="dxa"/>
                  <w:gridSpan w:val="2"/>
                  <w:vAlign w:val="center"/>
                </w:tcPr>
                <w:p w14:paraId="594494DC">
                  <w:pPr>
                    <w:pStyle w:val="31"/>
                    <w:bidi w:val="0"/>
                    <w:ind w:firstLine="0" w:firstLineChars="0"/>
                    <w:rPr>
                      <w:rFonts w:hint="eastAsia" w:cs="Times New Roman"/>
                      <w:color w:val="auto"/>
                      <w:kern w:val="0"/>
                      <w:sz w:val="21"/>
                      <w:szCs w:val="21"/>
                      <w:highlight w:val="yellow"/>
                      <w:lang w:val="en-US" w:eastAsia="zh-CN"/>
                    </w:rPr>
                  </w:pPr>
                  <w:r>
                    <w:rPr>
                      <w:rFonts w:hint="eastAsia" w:cs="Times New Roman"/>
                      <w:color w:val="auto"/>
                      <w:sz w:val="21"/>
                      <w:szCs w:val="21"/>
                      <w:highlight w:val="none"/>
                      <w:lang w:val="en-US" w:eastAsia="zh-CN"/>
                    </w:rPr>
                    <w:t>+2</w:t>
                  </w:r>
                </w:p>
              </w:tc>
            </w:tr>
            <w:tr w14:paraId="76269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125AD181">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66DCEDAB">
                  <w:pPr>
                    <w:pStyle w:val="31"/>
                    <w:bidi w:val="0"/>
                    <w:ind w:firstLine="0" w:firstLineChars="0"/>
                    <w:rPr>
                      <w:rFonts w:hint="eastAsia" w:cs="Times New Roman"/>
                      <w:color w:val="auto"/>
                      <w:sz w:val="21"/>
                      <w:szCs w:val="21"/>
                      <w:highlight w:val="none"/>
                      <w:lang w:val="en-US" w:eastAsia="zh-CN"/>
                    </w:rPr>
                  </w:pPr>
                  <w:r>
                    <w:rPr>
                      <w:rFonts w:hint="eastAsia"/>
                      <w:color w:val="auto"/>
                      <w:lang w:val="en-US" w:eastAsia="zh-CN"/>
                    </w:rPr>
                    <w:t>催化剂</w:t>
                  </w:r>
                </w:p>
              </w:tc>
              <w:tc>
                <w:tcPr>
                  <w:tcW w:w="1250" w:type="dxa"/>
                  <w:vAlign w:val="center"/>
                </w:tcPr>
                <w:p w14:paraId="3FA0DCC8">
                  <w:pPr>
                    <w:pStyle w:val="31"/>
                    <w:bidi w:val="0"/>
                    <w:ind w:firstLine="0" w:firstLineChars="0"/>
                    <w:rPr>
                      <w:rFonts w:hint="eastAsia" w:cs="Times New Roman"/>
                      <w:bCs/>
                      <w:color w:val="auto"/>
                      <w:spacing w:val="0"/>
                      <w:sz w:val="21"/>
                      <w:szCs w:val="21"/>
                      <w:highlight w:val="none"/>
                      <w:lang w:val="en-US" w:eastAsia="zh-CN"/>
                    </w:rPr>
                  </w:pPr>
                  <w:r>
                    <w:rPr>
                      <w:rFonts w:hint="eastAsia" w:cs="Times New Roman"/>
                      <w:color w:val="auto"/>
                      <w:sz w:val="21"/>
                      <w:szCs w:val="21"/>
                      <w:highlight w:val="none"/>
                      <w:lang w:val="en-US" w:eastAsia="zh-CN"/>
                    </w:rPr>
                    <w:t>t/3a</w:t>
                  </w:r>
                </w:p>
              </w:tc>
              <w:tc>
                <w:tcPr>
                  <w:tcW w:w="1485" w:type="dxa"/>
                  <w:gridSpan w:val="2"/>
                  <w:vAlign w:val="center"/>
                </w:tcPr>
                <w:p w14:paraId="3C916BC6">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365" w:type="dxa"/>
                  <w:gridSpan w:val="2"/>
                  <w:vAlign w:val="center"/>
                </w:tcPr>
                <w:p w14:paraId="1D196178">
                  <w:pPr>
                    <w:pStyle w:val="31"/>
                    <w:bidi w:val="0"/>
                    <w:ind w:firstLine="0" w:firstLineChars="0"/>
                    <w:rPr>
                      <w:rFonts w:hint="eastAsia" w:cs="Times New Roman"/>
                      <w:bCs/>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1.8</w:t>
                  </w:r>
                </w:p>
              </w:tc>
              <w:tc>
                <w:tcPr>
                  <w:tcW w:w="1651" w:type="dxa"/>
                  <w:gridSpan w:val="2"/>
                  <w:vAlign w:val="center"/>
                </w:tcPr>
                <w:p w14:paraId="429A8CE8">
                  <w:pPr>
                    <w:pStyle w:val="31"/>
                    <w:bidi w:val="0"/>
                    <w:ind w:firstLine="0" w:firstLineChars="0"/>
                    <w:rPr>
                      <w:rFonts w:hint="eastAsia" w:cs="Times New Roman"/>
                      <w:color w:val="auto"/>
                      <w:kern w:val="0"/>
                      <w:sz w:val="21"/>
                      <w:szCs w:val="21"/>
                      <w:highlight w:val="none"/>
                      <w:lang w:val="en-US" w:eastAsia="zh-CN"/>
                    </w:rPr>
                  </w:pPr>
                  <w:r>
                    <w:rPr>
                      <w:rFonts w:hint="eastAsia" w:cs="Times New Roman"/>
                      <w:color w:val="auto"/>
                      <w:sz w:val="21"/>
                      <w:szCs w:val="21"/>
                      <w:highlight w:val="none"/>
                      <w:lang w:val="en-US" w:eastAsia="zh-CN"/>
                    </w:rPr>
                    <w:t>+1.8</w:t>
                  </w:r>
                </w:p>
              </w:tc>
            </w:tr>
            <w:tr w14:paraId="5AC0E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70E3E973">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54E8066E">
                  <w:pPr>
                    <w:pStyle w:val="31"/>
                    <w:bidi w:val="0"/>
                    <w:ind w:firstLine="0" w:firstLineChars="0"/>
                    <w:rPr>
                      <w:rFonts w:hint="eastAsia" w:cs="Times New Roman"/>
                      <w:color w:val="auto"/>
                      <w:sz w:val="21"/>
                      <w:szCs w:val="21"/>
                      <w:highlight w:val="none"/>
                      <w:lang w:val="en-US" w:eastAsia="zh-CN"/>
                    </w:rPr>
                  </w:pPr>
                  <w:r>
                    <w:rPr>
                      <w:rFonts w:hint="eastAsia"/>
                      <w:color w:val="auto"/>
                      <w:lang w:val="en-US" w:eastAsia="zh-CN"/>
                    </w:rPr>
                    <w:t>布袋</w:t>
                  </w:r>
                </w:p>
              </w:tc>
              <w:tc>
                <w:tcPr>
                  <w:tcW w:w="1250" w:type="dxa"/>
                  <w:vAlign w:val="center"/>
                </w:tcPr>
                <w:p w14:paraId="27652A8F">
                  <w:pPr>
                    <w:pStyle w:val="31"/>
                    <w:bidi w:val="0"/>
                    <w:ind w:firstLine="0" w:firstLineChars="0"/>
                    <w:rPr>
                      <w:rFonts w:hint="eastAsia" w:cs="Times New Roman"/>
                      <w:bCs/>
                      <w:color w:val="auto"/>
                      <w:spacing w:val="0"/>
                      <w:sz w:val="21"/>
                      <w:szCs w:val="21"/>
                      <w:highlight w:val="none"/>
                      <w:lang w:val="en-US" w:eastAsia="zh-CN"/>
                    </w:rPr>
                  </w:pPr>
                  <w:r>
                    <w:rPr>
                      <w:rFonts w:hint="eastAsia" w:cs="Times New Roman"/>
                      <w:color w:val="auto"/>
                      <w:sz w:val="21"/>
                      <w:szCs w:val="21"/>
                      <w:highlight w:val="none"/>
                      <w:lang w:val="en-US" w:eastAsia="zh-CN"/>
                    </w:rPr>
                    <w:t>t/a</w:t>
                  </w:r>
                </w:p>
              </w:tc>
              <w:tc>
                <w:tcPr>
                  <w:tcW w:w="1485" w:type="dxa"/>
                  <w:gridSpan w:val="2"/>
                  <w:vAlign w:val="center"/>
                </w:tcPr>
                <w:p w14:paraId="610F8DFA">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365" w:type="dxa"/>
                  <w:gridSpan w:val="2"/>
                  <w:vAlign w:val="center"/>
                </w:tcPr>
                <w:p w14:paraId="39F610EB">
                  <w:pPr>
                    <w:pStyle w:val="31"/>
                    <w:bidi w:val="0"/>
                    <w:ind w:firstLine="0" w:firstLineChars="0"/>
                    <w:rPr>
                      <w:rFonts w:hint="eastAsia" w:cs="Times New Roman"/>
                      <w:bCs/>
                      <w:color w:val="auto"/>
                      <w:spacing w:val="0"/>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651" w:type="dxa"/>
                  <w:gridSpan w:val="2"/>
                  <w:vAlign w:val="center"/>
                </w:tcPr>
                <w:p w14:paraId="345B2C72">
                  <w:pPr>
                    <w:pStyle w:val="31"/>
                    <w:bidi w:val="0"/>
                    <w:ind w:firstLine="0" w:firstLineChars="0"/>
                    <w:rPr>
                      <w:rFonts w:hint="eastAsia" w:cs="Times New Roman"/>
                      <w:color w:val="auto"/>
                      <w:kern w:val="0"/>
                      <w:sz w:val="21"/>
                      <w:szCs w:val="21"/>
                      <w:highlight w:val="none"/>
                      <w:lang w:val="en-US" w:eastAsia="zh-CN"/>
                    </w:rPr>
                  </w:pPr>
                  <w:r>
                    <w:rPr>
                      <w:rFonts w:hint="eastAsia" w:cs="Times New Roman"/>
                      <w:color w:val="auto"/>
                      <w:sz w:val="21"/>
                      <w:szCs w:val="21"/>
                      <w:highlight w:val="none"/>
                      <w:lang w:val="en-US" w:eastAsia="zh-CN"/>
                    </w:rPr>
                    <w:t>+0.1</w:t>
                  </w:r>
                </w:p>
              </w:tc>
            </w:tr>
            <w:tr w14:paraId="332A9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11B7068D">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4C5D7B0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s="Times New Roman"/>
                      <w:color w:val="auto"/>
                      <w:sz w:val="21"/>
                      <w:szCs w:val="21"/>
                      <w:highlight w:val="none"/>
                      <w:lang w:val="en-US" w:eastAsia="zh-CN"/>
                    </w:rPr>
                  </w:pPr>
                  <w:r>
                    <w:rPr>
                      <w:rFonts w:hint="eastAsia"/>
                      <w:color w:val="auto"/>
                      <w:highlight w:val="none"/>
                      <w:lang w:val="en-US" w:eastAsia="zh-CN"/>
                    </w:rPr>
                    <w:t>水</w:t>
                  </w:r>
                </w:p>
              </w:tc>
              <w:tc>
                <w:tcPr>
                  <w:tcW w:w="1250" w:type="dxa"/>
                  <w:vAlign w:val="center"/>
                </w:tcPr>
                <w:p w14:paraId="4BB94D3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s="Times New Roman"/>
                      <w:bCs/>
                      <w:color w:val="auto"/>
                      <w:spacing w:val="0"/>
                      <w:sz w:val="21"/>
                      <w:szCs w:val="21"/>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p>
              </w:tc>
              <w:tc>
                <w:tcPr>
                  <w:tcW w:w="1485" w:type="dxa"/>
                  <w:gridSpan w:val="2"/>
                  <w:vAlign w:val="center"/>
                </w:tcPr>
                <w:p w14:paraId="4A3D196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s="Times New Roman"/>
                      <w:bCs/>
                      <w:color w:val="auto"/>
                      <w:spacing w:val="0"/>
                      <w:kern w:val="2"/>
                      <w:sz w:val="21"/>
                      <w:szCs w:val="21"/>
                      <w:highlight w:val="none"/>
                      <w:lang w:val="en-US" w:eastAsia="zh-CN" w:bidi="ar-SA"/>
                    </w:rPr>
                  </w:pPr>
                  <w:r>
                    <w:rPr>
                      <w:rFonts w:hint="eastAsia"/>
                      <w:color w:val="auto"/>
                      <w:highlight w:val="none"/>
                      <w:lang w:val="en-US" w:eastAsia="zh-CN"/>
                    </w:rPr>
                    <w:t>5333.4</w:t>
                  </w:r>
                </w:p>
              </w:tc>
              <w:tc>
                <w:tcPr>
                  <w:tcW w:w="1365" w:type="dxa"/>
                  <w:gridSpan w:val="2"/>
                  <w:vAlign w:val="center"/>
                </w:tcPr>
                <w:p w14:paraId="0340517F">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651" w:type="dxa"/>
                  <w:gridSpan w:val="2"/>
                  <w:vAlign w:val="center"/>
                </w:tcPr>
                <w:p w14:paraId="7F67F49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277F7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626" w:type="dxa"/>
                  <w:vAlign w:val="center"/>
                </w:tcPr>
                <w:p w14:paraId="18FCB615">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900" w:type="dxa"/>
                  <w:gridSpan w:val="2"/>
                  <w:vAlign w:val="center"/>
                </w:tcPr>
                <w:p w14:paraId="3199912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s="Times New Roman"/>
                      <w:color w:val="auto"/>
                      <w:sz w:val="21"/>
                      <w:szCs w:val="21"/>
                      <w:highlight w:val="none"/>
                      <w:lang w:val="en-US" w:eastAsia="zh-CN"/>
                    </w:rPr>
                  </w:pPr>
                  <w:r>
                    <w:rPr>
                      <w:rFonts w:hint="eastAsia"/>
                      <w:color w:val="auto"/>
                      <w:highlight w:val="none"/>
                      <w:lang w:val="en-US" w:eastAsia="zh-CN"/>
                    </w:rPr>
                    <w:t>电</w:t>
                  </w:r>
                </w:p>
              </w:tc>
              <w:tc>
                <w:tcPr>
                  <w:tcW w:w="1250" w:type="dxa"/>
                  <w:vAlign w:val="center"/>
                </w:tcPr>
                <w:p w14:paraId="32365AD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s="Times New Roman"/>
                      <w:bCs/>
                      <w:color w:val="auto"/>
                      <w:spacing w:val="0"/>
                      <w:sz w:val="21"/>
                      <w:szCs w:val="21"/>
                      <w:highlight w:val="none"/>
                      <w:lang w:val="en-US" w:eastAsia="zh-CN"/>
                    </w:rPr>
                  </w:pPr>
                  <w:r>
                    <w:rPr>
                      <w:rFonts w:hint="eastAsia"/>
                      <w:color w:val="auto"/>
                      <w:highlight w:val="none"/>
                      <w:lang w:val="en-US" w:eastAsia="zh-CN"/>
                    </w:rPr>
                    <w:t>万kWh/a</w:t>
                  </w:r>
                </w:p>
              </w:tc>
              <w:tc>
                <w:tcPr>
                  <w:tcW w:w="1485" w:type="dxa"/>
                  <w:gridSpan w:val="2"/>
                  <w:vAlign w:val="center"/>
                </w:tcPr>
                <w:p w14:paraId="0C59B9AF">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s="Times New Roman"/>
                      <w:bCs/>
                      <w:color w:val="auto"/>
                      <w:spacing w:val="0"/>
                      <w:kern w:val="2"/>
                      <w:sz w:val="21"/>
                      <w:szCs w:val="21"/>
                      <w:highlight w:val="none"/>
                      <w:lang w:val="en-US" w:eastAsia="zh-CN" w:bidi="ar-SA"/>
                    </w:rPr>
                  </w:pPr>
                  <w:r>
                    <w:rPr>
                      <w:rFonts w:hint="eastAsia" w:ascii="Times New Roman" w:hAnsi="Times New Roman" w:cs="Times New Roman"/>
                      <w:color w:val="auto"/>
                      <w:highlight w:val="none"/>
                      <w:lang w:val="en-US" w:eastAsia="zh-CN"/>
                    </w:rPr>
                    <w:t>30</w:t>
                  </w:r>
                </w:p>
              </w:tc>
              <w:tc>
                <w:tcPr>
                  <w:tcW w:w="1365" w:type="dxa"/>
                  <w:gridSpan w:val="2"/>
                  <w:vAlign w:val="center"/>
                </w:tcPr>
                <w:p w14:paraId="66DA5003">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50</w:t>
                  </w:r>
                </w:p>
              </w:tc>
              <w:tc>
                <w:tcPr>
                  <w:tcW w:w="1651" w:type="dxa"/>
                  <w:gridSpan w:val="2"/>
                  <w:vAlign w:val="center"/>
                </w:tcPr>
                <w:p w14:paraId="12CDF18D">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p>
              </w:tc>
            </w:tr>
          </w:tbl>
          <w:p w14:paraId="7EF8BF9B">
            <w:pPr>
              <w:bidi w:val="0"/>
              <w:rPr>
                <w:rFonts w:hint="default"/>
                <w:color w:val="auto"/>
                <w:highlight w:val="none"/>
              </w:rPr>
            </w:pPr>
            <w:r>
              <w:rPr>
                <w:rFonts w:hint="eastAsia"/>
                <w:color w:val="auto"/>
                <w:highlight w:val="none"/>
                <w:lang w:val="en-US" w:eastAsia="zh-CN"/>
              </w:rPr>
              <w:t>9、本项目</w:t>
            </w:r>
            <w:r>
              <w:rPr>
                <w:rFonts w:hint="default"/>
                <w:color w:val="auto"/>
                <w:highlight w:val="none"/>
              </w:rPr>
              <w:t>主要生产设备见下表。</w:t>
            </w:r>
          </w:p>
          <w:p w14:paraId="2DC1770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表22  本项目主要生产设备、设施一览表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9"/>
              <w:gridCol w:w="797"/>
              <w:gridCol w:w="859"/>
              <w:gridCol w:w="1603"/>
              <w:gridCol w:w="1170"/>
              <w:gridCol w:w="1065"/>
              <w:gridCol w:w="855"/>
              <w:gridCol w:w="1389"/>
            </w:tblGrid>
            <w:tr w14:paraId="7658A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39" w:type="dxa"/>
                  <w:tcBorders>
                    <w:tl2br w:val="nil"/>
                    <w:tr2bl w:val="nil"/>
                  </w:tcBorders>
                  <w:noWrap w:val="0"/>
                  <w:vAlign w:val="center"/>
                </w:tcPr>
                <w:p w14:paraId="2CD02F0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序号</w:t>
                  </w:r>
                </w:p>
              </w:tc>
              <w:tc>
                <w:tcPr>
                  <w:tcW w:w="797" w:type="dxa"/>
                  <w:tcBorders>
                    <w:tl2br w:val="nil"/>
                    <w:tr2bl w:val="nil"/>
                  </w:tcBorders>
                  <w:noWrap w:val="0"/>
                  <w:vAlign w:val="center"/>
                </w:tcPr>
                <w:p w14:paraId="696EDA1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eastAsia="zh-CN"/>
                    </w:rPr>
                    <w:t>主要</w:t>
                  </w:r>
                  <w:r>
                    <w:rPr>
                      <w:rFonts w:hint="eastAsia" w:ascii="Times New Roman" w:hAnsi="Times New Roman" w:cs="Times New Roman"/>
                      <w:bCs/>
                      <w:color w:val="auto"/>
                      <w:sz w:val="21"/>
                      <w:szCs w:val="21"/>
                      <w:highlight w:val="none"/>
                      <w:lang w:val="en-US" w:eastAsia="zh-CN"/>
                    </w:rPr>
                    <w:t>生产单元</w:t>
                  </w:r>
                </w:p>
              </w:tc>
              <w:tc>
                <w:tcPr>
                  <w:tcW w:w="859" w:type="dxa"/>
                  <w:tcBorders>
                    <w:tl2br w:val="nil"/>
                    <w:tr2bl w:val="nil"/>
                  </w:tcBorders>
                  <w:noWrap w:val="0"/>
                  <w:vAlign w:val="center"/>
                </w:tcPr>
                <w:p w14:paraId="7223FFB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主要工艺</w:t>
                  </w:r>
                </w:p>
              </w:tc>
              <w:tc>
                <w:tcPr>
                  <w:tcW w:w="1603" w:type="dxa"/>
                  <w:tcBorders>
                    <w:tl2br w:val="nil"/>
                    <w:tr2bl w:val="nil"/>
                  </w:tcBorders>
                  <w:noWrap w:val="0"/>
                  <w:vAlign w:val="center"/>
                </w:tcPr>
                <w:p w14:paraId="4040CD2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名称</w:t>
                  </w:r>
                </w:p>
              </w:tc>
              <w:tc>
                <w:tcPr>
                  <w:tcW w:w="2235" w:type="dxa"/>
                  <w:gridSpan w:val="2"/>
                  <w:tcBorders>
                    <w:tl2br w:val="nil"/>
                    <w:tr2bl w:val="nil"/>
                  </w:tcBorders>
                  <w:noWrap w:val="0"/>
                  <w:vAlign w:val="center"/>
                </w:tcPr>
                <w:p w14:paraId="30C8CC7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设备参数</w:t>
                  </w:r>
                </w:p>
              </w:tc>
              <w:tc>
                <w:tcPr>
                  <w:tcW w:w="855" w:type="dxa"/>
                  <w:tcBorders>
                    <w:tl2br w:val="nil"/>
                    <w:tr2bl w:val="nil"/>
                  </w:tcBorders>
                  <w:noWrap w:val="0"/>
                  <w:vAlign w:val="center"/>
                </w:tcPr>
                <w:p w14:paraId="655F426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bCs/>
                      <w:color w:val="auto"/>
                      <w:sz w:val="21"/>
                      <w:szCs w:val="21"/>
                      <w:highlight w:val="none"/>
                    </w:rPr>
                    <w:t>数量</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val="en-US" w:eastAsia="zh-CN"/>
                    </w:rPr>
                    <w:t>台/套</w:t>
                  </w:r>
                  <w:r>
                    <w:rPr>
                      <w:rFonts w:hint="eastAsia" w:ascii="Times New Roman" w:hAnsi="Times New Roman" w:cs="Times New Roman"/>
                      <w:bCs/>
                      <w:color w:val="auto"/>
                      <w:sz w:val="21"/>
                      <w:szCs w:val="21"/>
                      <w:highlight w:val="none"/>
                      <w:lang w:eastAsia="zh-CN"/>
                    </w:rPr>
                    <w:t>）</w:t>
                  </w:r>
                </w:p>
              </w:tc>
              <w:tc>
                <w:tcPr>
                  <w:tcW w:w="1389" w:type="dxa"/>
                  <w:tcBorders>
                    <w:tl2br w:val="nil"/>
                    <w:tr2bl w:val="nil"/>
                  </w:tcBorders>
                  <w:noWrap w:val="0"/>
                  <w:vAlign w:val="center"/>
                </w:tcPr>
                <w:p w14:paraId="77B27B2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备注</w:t>
                  </w:r>
                </w:p>
              </w:tc>
            </w:tr>
            <w:tr w14:paraId="2E7C4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12EAE9D9">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tcBorders>
                    <w:tl2br w:val="nil"/>
                    <w:tr2bl w:val="nil"/>
                  </w:tcBorders>
                  <w:noWrap w:val="0"/>
                  <w:vAlign w:val="center"/>
                </w:tcPr>
                <w:p w14:paraId="6AC5514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预处理</w:t>
                  </w:r>
                </w:p>
              </w:tc>
              <w:tc>
                <w:tcPr>
                  <w:tcW w:w="859" w:type="dxa"/>
                  <w:tcBorders>
                    <w:tl2br w:val="nil"/>
                    <w:tr2bl w:val="nil"/>
                  </w:tcBorders>
                  <w:noWrap w:val="0"/>
                  <w:vAlign w:val="center"/>
                </w:tcPr>
                <w:p w14:paraId="63FB59E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机械预处理</w:t>
                  </w:r>
                </w:p>
              </w:tc>
              <w:tc>
                <w:tcPr>
                  <w:tcW w:w="1603" w:type="dxa"/>
                  <w:tcBorders>
                    <w:tl2br w:val="nil"/>
                    <w:tr2bl w:val="nil"/>
                  </w:tcBorders>
                  <w:noWrap w:val="0"/>
                  <w:vAlign w:val="center"/>
                </w:tcPr>
                <w:p w14:paraId="4AE0BA0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角磨机</w:t>
                  </w:r>
                </w:p>
              </w:tc>
              <w:tc>
                <w:tcPr>
                  <w:tcW w:w="2235" w:type="dxa"/>
                  <w:gridSpan w:val="2"/>
                  <w:tcBorders>
                    <w:tl2br w:val="nil"/>
                    <w:tr2bl w:val="nil"/>
                  </w:tcBorders>
                  <w:noWrap w:val="0"/>
                  <w:vAlign w:val="center"/>
                </w:tcPr>
                <w:p w14:paraId="07991A1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7E6B980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w:t>
                  </w:r>
                </w:p>
              </w:tc>
              <w:tc>
                <w:tcPr>
                  <w:tcW w:w="1389" w:type="dxa"/>
                  <w:tcBorders>
                    <w:tl2br w:val="nil"/>
                    <w:tr2bl w:val="nil"/>
                  </w:tcBorders>
                  <w:noWrap w:val="0"/>
                  <w:vAlign w:val="center"/>
                </w:tcPr>
                <w:p w14:paraId="0BF6054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本项目新增，置于打磨房内</w:t>
                  </w:r>
                </w:p>
              </w:tc>
            </w:tr>
            <w:tr w14:paraId="79056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6FAD5510">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restart"/>
                  <w:tcBorders>
                    <w:tl2br w:val="nil"/>
                    <w:tr2bl w:val="nil"/>
                  </w:tcBorders>
                  <w:noWrap w:val="0"/>
                  <w:vAlign w:val="center"/>
                </w:tcPr>
                <w:p w14:paraId="6B07269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涂装</w:t>
                  </w:r>
                </w:p>
              </w:tc>
              <w:tc>
                <w:tcPr>
                  <w:tcW w:w="859" w:type="dxa"/>
                  <w:tcBorders>
                    <w:tl2br w:val="nil"/>
                    <w:tr2bl w:val="nil"/>
                  </w:tcBorders>
                  <w:noWrap w:val="0"/>
                  <w:vAlign w:val="center"/>
                </w:tcPr>
                <w:p w14:paraId="4A265E5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喷漆</w:t>
                  </w:r>
                </w:p>
              </w:tc>
              <w:tc>
                <w:tcPr>
                  <w:tcW w:w="1603" w:type="dxa"/>
                  <w:tcBorders>
                    <w:tl2br w:val="nil"/>
                    <w:tr2bl w:val="nil"/>
                  </w:tcBorders>
                  <w:noWrap w:val="0"/>
                  <w:vAlign w:val="center"/>
                </w:tcPr>
                <w:p w14:paraId="5E95088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喷漆房</w:t>
                  </w:r>
                </w:p>
              </w:tc>
              <w:tc>
                <w:tcPr>
                  <w:tcW w:w="1170" w:type="dxa"/>
                  <w:tcBorders>
                    <w:tl2br w:val="nil"/>
                    <w:tr2bl w:val="nil"/>
                  </w:tcBorders>
                  <w:noWrap w:val="0"/>
                  <w:vAlign w:val="center"/>
                </w:tcPr>
                <w:p w14:paraId="28FB3DB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尺寸：6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m</w:t>
                  </w:r>
                </w:p>
              </w:tc>
              <w:tc>
                <w:tcPr>
                  <w:tcW w:w="1065" w:type="dxa"/>
                  <w:vMerge w:val="restart"/>
                  <w:tcBorders>
                    <w:tl2br w:val="nil"/>
                    <w:tr2bl w:val="nil"/>
                  </w:tcBorders>
                  <w:noWrap w:val="0"/>
                  <w:vAlign w:val="center"/>
                </w:tcPr>
                <w:p w14:paraId="2F84507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排风量：30000m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/h</w:t>
                  </w:r>
                </w:p>
              </w:tc>
              <w:tc>
                <w:tcPr>
                  <w:tcW w:w="855" w:type="dxa"/>
                  <w:tcBorders>
                    <w:tl2br w:val="nil"/>
                    <w:tr2bl w:val="nil"/>
                  </w:tcBorders>
                  <w:noWrap w:val="0"/>
                  <w:vAlign w:val="center"/>
                </w:tcPr>
                <w:p w14:paraId="3EF48C7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389" w:type="dxa"/>
                  <w:tcBorders>
                    <w:tl2br w:val="nil"/>
                    <w:tr2bl w:val="nil"/>
                  </w:tcBorders>
                  <w:noWrap w:val="0"/>
                  <w:vAlign w:val="center"/>
                </w:tcPr>
                <w:p w14:paraId="6C4682B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本项目新增，内置八把喷枪</w:t>
                  </w:r>
                </w:p>
              </w:tc>
            </w:tr>
            <w:tr w14:paraId="21515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2C587A92">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23C60AC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tcBorders>
                    <w:tl2br w:val="nil"/>
                    <w:tr2bl w:val="nil"/>
                  </w:tcBorders>
                  <w:noWrap w:val="0"/>
                  <w:vAlign w:val="center"/>
                </w:tcPr>
                <w:p w14:paraId="1CEBC68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烘干/晾干</w:t>
                  </w:r>
                </w:p>
              </w:tc>
              <w:tc>
                <w:tcPr>
                  <w:tcW w:w="1603" w:type="dxa"/>
                  <w:tcBorders>
                    <w:tl2br w:val="nil"/>
                    <w:tr2bl w:val="nil"/>
                  </w:tcBorders>
                  <w:noWrap w:val="0"/>
                  <w:vAlign w:val="center"/>
                </w:tcPr>
                <w:p w14:paraId="64801B1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烘干房</w:t>
                  </w:r>
                </w:p>
              </w:tc>
              <w:tc>
                <w:tcPr>
                  <w:tcW w:w="1170" w:type="dxa"/>
                  <w:tcBorders>
                    <w:tl2br w:val="nil"/>
                    <w:tr2bl w:val="nil"/>
                  </w:tcBorders>
                  <w:noWrap w:val="0"/>
                  <w:vAlign w:val="center"/>
                </w:tcPr>
                <w:p w14:paraId="0EE2C3B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尺寸：5</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m</w:t>
                  </w:r>
                </w:p>
              </w:tc>
              <w:tc>
                <w:tcPr>
                  <w:tcW w:w="1065" w:type="dxa"/>
                  <w:vMerge w:val="continue"/>
                  <w:tcBorders>
                    <w:tl2br w:val="nil"/>
                    <w:tr2bl w:val="nil"/>
                  </w:tcBorders>
                  <w:noWrap w:val="0"/>
                  <w:vAlign w:val="center"/>
                </w:tcPr>
                <w:p w14:paraId="21A3857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5" w:type="dxa"/>
                  <w:tcBorders>
                    <w:tl2br w:val="nil"/>
                    <w:tr2bl w:val="nil"/>
                  </w:tcBorders>
                  <w:noWrap w:val="0"/>
                  <w:vAlign w:val="center"/>
                </w:tcPr>
                <w:p w14:paraId="7B84874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389" w:type="dxa"/>
                  <w:tcBorders>
                    <w:tl2br w:val="nil"/>
                    <w:tr2bl w:val="nil"/>
                  </w:tcBorders>
                  <w:noWrap w:val="0"/>
                  <w:vAlign w:val="center"/>
                </w:tcPr>
                <w:p w14:paraId="77A1558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本项目新增，用于喷漆后烘干/晾干</w:t>
                  </w:r>
                </w:p>
              </w:tc>
            </w:tr>
            <w:tr w14:paraId="1C768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3355852D">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restart"/>
                  <w:tcBorders>
                    <w:tl2br w:val="nil"/>
                    <w:tr2bl w:val="nil"/>
                  </w:tcBorders>
                  <w:noWrap w:val="0"/>
                  <w:vAlign w:val="center"/>
                </w:tcPr>
                <w:p w14:paraId="2291673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试验</w:t>
                  </w:r>
                </w:p>
              </w:tc>
              <w:tc>
                <w:tcPr>
                  <w:tcW w:w="859" w:type="dxa"/>
                  <w:vMerge w:val="restart"/>
                  <w:tcBorders>
                    <w:tl2br w:val="nil"/>
                    <w:tr2bl w:val="nil"/>
                  </w:tcBorders>
                  <w:noWrap w:val="0"/>
                  <w:vAlign w:val="center"/>
                </w:tcPr>
                <w:p w14:paraId="39202B1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高压试验</w:t>
                  </w:r>
                </w:p>
              </w:tc>
              <w:tc>
                <w:tcPr>
                  <w:tcW w:w="1603" w:type="dxa"/>
                  <w:tcBorders>
                    <w:tl2br w:val="nil"/>
                    <w:tr2bl w:val="nil"/>
                  </w:tcBorders>
                  <w:noWrap w:val="0"/>
                  <w:vAlign w:val="center"/>
                </w:tcPr>
                <w:p w14:paraId="707D487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感应调压器</w:t>
                  </w:r>
                </w:p>
              </w:tc>
              <w:tc>
                <w:tcPr>
                  <w:tcW w:w="2235" w:type="dxa"/>
                  <w:gridSpan w:val="2"/>
                  <w:tcBorders>
                    <w:tl2br w:val="nil"/>
                    <w:tr2bl w:val="nil"/>
                  </w:tcBorders>
                  <w:noWrap w:val="0"/>
                  <w:vAlign w:val="center"/>
                </w:tcPr>
                <w:p w14:paraId="08EC937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10kV/6.5-12kV/5750kVA</w:t>
                  </w:r>
                </w:p>
              </w:tc>
              <w:tc>
                <w:tcPr>
                  <w:tcW w:w="855" w:type="dxa"/>
                  <w:tcBorders>
                    <w:tl2br w:val="nil"/>
                    <w:tr2bl w:val="nil"/>
                  </w:tcBorders>
                  <w:noWrap w:val="0"/>
                  <w:vAlign w:val="center"/>
                </w:tcPr>
                <w:p w14:paraId="685A642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19BC6FD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64D11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4CDA0E70">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6A32805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3179C97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0A32FB7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变频调速用油浸式整流变压器</w:t>
                  </w:r>
                </w:p>
              </w:tc>
              <w:tc>
                <w:tcPr>
                  <w:tcW w:w="2235" w:type="dxa"/>
                  <w:gridSpan w:val="2"/>
                  <w:tcBorders>
                    <w:tl2br w:val="nil"/>
                    <w:tr2bl w:val="nil"/>
                  </w:tcBorders>
                  <w:noWrap w:val="0"/>
                  <w:vAlign w:val="center"/>
                </w:tcPr>
                <w:p w14:paraId="5584377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10kV/6kV</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3.3kV</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/5600kVA</w:t>
                  </w:r>
                </w:p>
              </w:tc>
              <w:tc>
                <w:tcPr>
                  <w:tcW w:w="855" w:type="dxa"/>
                  <w:tcBorders>
                    <w:tl2br w:val="nil"/>
                    <w:tr2bl w:val="nil"/>
                  </w:tcBorders>
                  <w:noWrap w:val="0"/>
                  <w:vAlign w:val="center"/>
                </w:tcPr>
                <w:p w14:paraId="041DAC2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3D7E20A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1D684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0FBDD6F1">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019BCE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1C10110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62239CD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干式变压器</w:t>
                  </w:r>
                </w:p>
              </w:tc>
              <w:tc>
                <w:tcPr>
                  <w:tcW w:w="2235" w:type="dxa"/>
                  <w:gridSpan w:val="2"/>
                  <w:tcBorders>
                    <w:tl2br w:val="nil"/>
                    <w:tr2bl w:val="nil"/>
                  </w:tcBorders>
                  <w:noWrap w:val="0"/>
                  <w:vAlign w:val="center"/>
                </w:tcPr>
                <w:p w14:paraId="66D3288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10kV/2×1.75kV/2500kVA</w:t>
                  </w:r>
                </w:p>
              </w:tc>
              <w:tc>
                <w:tcPr>
                  <w:tcW w:w="855" w:type="dxa"/>
                  <w:tcBorders>
                    <w:tl2br w:val="nil"/>
                    <w:tr2bl w:val="nil"/>
                  </w:tcBorders>
                  <w:noWrap w:val="0"/>
                  <w:vAlign w:val="center"/>
                </w:tcPr>
                <w:p w14:paraId="2F78B5D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6F6F384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3F08B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39" w:type="dxa"/>
                  <w:tcBorders>
                    <w:tl2br w:val="nil"/>
                    <w:tr2bl w:val="nil"/>
                  </w:tcBorders>
                  <w:noWrap w:val="0"/>
                  <w:vAlign w:val="center"/>
                </w:tcPr>
                <w:p w14:paraId="3FE1A5DA">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D2F645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6D6DDC4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0E81658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油浸变压器</w:t>
                  </w:r>
                </w:p>
              </w:tc>
              <w:tc>
                <w:tcPr>
                  <w:tcW w:w="2235" w:type="dxa"/>
                  <w:gridSpan w:val="2"/>
                  <w:tcBorders>
                    <w:tl2br w:val="nil"/>
                    <w:tr2bl w:val="nil"/>
                  </w:tcBorders>
                  <w:noWrap w:val="0"/>
                  <w:vAlign w:val="center"/>
                </w:tcPr>
                <w:p w14:paraId="5F15E21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10kV/380V/1500kVA</w:t>
                  </w:r>
                </w:p>
              </w:tc>
              <w:tc>
                <w:tcPr>
                  <w:tcW w:w="855" w:type="dxa"/>
                  <w:tcBorders>
                    <w:tl2br w:val="nil"/>
                    <w:tr2bl w:val="nil"/>
                  </w:tcBorders>
                  <w:noWrap w:val="0"/>
                  <w:vAlign w:val="center"/>
                </w:tcPr>
                <w:p w14:paraId="335129A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4D6C855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30CB6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30179FC4">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1B28FF6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1E70DB0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6BEB851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干式整流变压器</w:t>
                  </w:r>
                </w:p>
              </w:tc>
              <w:tc>
                <w:tcPr>
                  <w:tcW w:w="2235" w:type="dxa"/>
                  <w:gridSpan w:val="2"/>
                  <w:tcBorders>
                    <w:tl2br w:val="nil"/>
                    <w:tr2bl w:val="nil"/>
                  </w:tcBorders>
                  <w:noWrap w:val="0"/>
                  <w:vAlign w:val="center"/>
                </w:tcPr>
                <w:p w14:paraId="3C30234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380V/6kV/1500kVA</w:t>
                  </w:r>
                </w:p>
              </w:tc>
              <w:tc>
                <w:tcPr>
                  <w:tcW w:w="855" w:type="dxa"/>
                  <w:tcBorders>
                    <w:tl2br w:val="nil"/>
                    <w:tr2bl w:val="nil"/>
                  </w:tcBorders>
                  <w:noWrap w:val="0"/>
                  <w:vAlign w:val="center"/>
                </w:tcPr>
                <w:p w14:paraId="0F801C0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544EED7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5BD71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074C69E2">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39BD286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5BA0AED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43F8152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干式整流变压器</w:t>
                  </w:r>
                </w:p>
              </w:tc>
              <w:tc>
                <w:tcPr>
                  <w:tcW w:w="2235" w:type="dxa"/>
                  <w:gridSpan w:val="2"/>
                  <w:tcBorders>
                    <w:tl2br w:val="nil"/>
                    <w:tr2bl w:val="nil"/>
                  </w:tcBorders>
                  <w:noWrap w:val="0"/>
                  <w:vAlign w:val="center"/>
                </w:tcPr>
                <w:p w14:paraId="5F143A2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380V/660V/1500kVA</w:t>
                  </w:r>
                </w:p>
              </w:tc>
              <w:tc>
                <w:tcPr>
                  <w:tcW w:w="855" w:type="dxa"/>
                  <w:tcBorders>
                    <w:tl2br w:val="nil"/>
                    <w:tr2bl w:val="nil"/>
                  </w:tcBorders>
                  <w:noWrap w:val="0"/>
                  <w:vAlign w:val="center"/>
                </w:tcPr>
                <w:p w14:paraId="6A2374B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3100986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2B279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39" w:type="dxa"/>
                  <w:tcBorders>
                    <w:tl2br w:val="nil"/>
                    <w:tr2bl w:val="nil"/>
                  </w:tcBorders>
                  <w:noWrap w:val="0"/>
                  <w:vAlign w:val="center"/>
                </w:tcPr>
                <w:p w14:paraId="68EE0F11">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2665DFD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23F24F2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4DAFEBC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主进线柜</w:t>
                  </w:r>
                </w:p>
              </w:tc>
              <w:tc>
                <w:tcPr>
                  <w:tcW w:w="2235" w:type="dxa"/>
                  <w:gridSpan w:val="2"/>
                  <w:tcBorders>
                    <w:tl2br w:val="nil"/>
                    <w:tr2bl w:val="nil"/>
                  </w:tcBorders>
                  <w:noWrap w:val="0"/>
                  <w:vAlign w:val="center"/>
                </w:tcPr>
                <w:p w14:paraId="3AA8C14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10kV/400A</w:t>
                  </w:r>
                </w:p>
              </w:tc>
              <w:tc>
                <w:tcPr>
                  <w:tcW w:w="855" w:type="dxa"/>
                  <w:tcBorders>
                    <w:tl2br w:val="nil"/>
                    <w:tr2bl w:val="nil"/>
                  </w:tcBorders>
                  <w:noWrap w:val="0"/>
                  <w:vAlign w:val="center"/>
                </w:tcPr>
                <w:p w14:paraId="53B9EDC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35CD33D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5DE1D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9" w:type="dxa"/>
                  <w:tcBorders>
                    <w:tl2br w:val="nil"/>
                    <w:tr2bl w:val="nil"/>
                  </w:tcBorders>
                  <w:noWrap w:val="0"/>
                  <w:vAlign w:val="center"/>
                </w:tcPr>
                <w:p w14:paraId="08742E51">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FE3478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622E4A8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561160B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主进线限流柜</w:t>
                  </w:r>
                </w:p>
              </w:tc>
              <w:tc>
                <w:tcPr>
                  <w:tcW w:w="2235" w:type="dxa"/>
                  <w:gridSpan w:val="2"/>
                  <w:tcBorders>
                    <w:tl2br w:val="nil"/>
                    <w:tr2bl w:val="nil"/>
                  </w:tcBorders>
                  <w:noWrap w:val="0"/>
                  <w:vAlign w:val="center"/>
                </w:tcPr>
                <w:p w14:paraId="498082E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57D4A1C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215899C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2195A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67A6D287">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5723C6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0FEA0BB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22FCD09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陪试变压器进线柜</w:t>
                  </w:r>
                </w:p>
              </w:tc>
              <w:tc>
                <w:tcPr>
                  <w:tcW w:w="2235" w:type="dxa"/>
                  <w:gridSpan w:val="2"/>
                  <w:tcBorders>
                    <w:tl2br w:val="nil"/>
                    <w:tr2bl w:val="nil"/>
                  </w:tcBorders>
                  <w:noWrap w:val="0"/>
                  <w:vAlign w:val="center"/>
                </w:tcPr>
                <w:p w14:paraId="1A566FC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10kV/400A</w:t>
                  </w:r>
                </w:p>
              </w:tc>
              <w:tc>
                <w:tcPr>
                  <w:tcW w:w="855" w:type="dxa"/>
                  <w:tcBorders>
                    <w:tl2br w:val="nil"/>
                    <w:tr2bl w:val="nil"/>
                  </w:tcBorders>
                  <w:noWrap w:val="0"/>
                  <w:vAlign w:val="center"/>
                </w:tcPr>
                <w:p w14:paraId="07E236A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7486AB4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5E747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124E1AB7">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3E7EA9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06D3B57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0DCA59F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被试调压器进线柜</w:t>
                  </w:r>
                </w:p>
              </w:tc>
              <w:tc>
                <w:tcPr>
                  <w:tcW w:w="2235" w:type="dxa"/>
                  <w:gridSpan w:val="2"/>
                  <w:tcBorders>
                    <w:tl2br w:val="nil"/>
                    <w:tr2bl w:val="nil"/>
                  </w:tcBorders>
                  <w:noWrap w:val="0"/>
                  <w:vAlign w:val="center"/>
                </w:tcPr>
                <w:p w14:paraId="43A8EEE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10kV/400A</w:t>
                  </w:r>
                </w:p>
              </w:tc>
              <w:tc>
                <w:tcPr>
                  <w:tcW w:w="855" w:type="dxa"/>
                  <w:tcBorders>
                    <w:tl2br w:val="nil"/>
                    <w:tr2bl w:val="nil"/>
                  </w:tcBorders>
                  <w:noWrap w:val="0"/>
                  <w:vAlign w:val="center"/>
                </w:tcPr>
                <w:p w14:paraId="53EFA54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6FDF21E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7BE34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6B7BA38A">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4185B74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6E94D15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323EE0C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陪试变压器出线柜</w:t>
                  </w:r>
                </w:p>
              </w:tc>
              <w:tc>
                <w:tcPr>
                  <w:tcW w:w="2235" w:type="dxa"/>
                  <w:gridSpan w:val="2"/>
                  <w:tcBorders>
                    <w:tl2br w:val="nil"/>
                    <w:tr2bl w:val="nil"/>
                  </w:tcBorders>
                  <w:noWrap w:val="0"/>
                  <w:vAlign w:val="center"/>
                </w:tcPr>
                <w:p w14:paraId="553808F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10kV/400A</w:t>
                  </w:r>
                </w:p>
              </w:tc>
              <w:tc>
                <w:tcPr>
                  <w:tcW w:w="855" w:type="dxa"/>
                  <w:tcBorders>
                    <w:tl2br w:val="nil"/>
                    <w:tr2bl w:val="nil"/>
                  </w:tcBorders>
                  <w:noWrap w:val="0"/>
                  <w:vAlign w:val="center"/>
                </w:tcPr>
                <w:p w14:paraId="16CA1AF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1389" w:type="dxa"/>
                  <w:tcBorders>
                    <w:tl2br w:val="nil"/>
                    <w:tr2bl w:val="nil"/>
                  </w:tcBorders>
                  <w:noWrap w:val="0"/>
                  <w:vAlign w:val="center"/>
                </w:tcPr>
                <w:p w14:paraId="5248C12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42C96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9" w:type="dxa"/>
                  <w:tcBorders>
                    <w:tl2br w:val="nil"/>
                    <w:tr2bl w:val="nil"/>
                  </w:tcBorders>
                  <w:noWrap w:val="0"/>
                  <w:vAlign w:val="center"/>
                </w:tcPr>
                <w:p w14:paraId="738DBB6C">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0B68855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3DEE4DB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7EF617D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被试出线柜</w:t>
                  </w:r>
                </w:p>
              </w:tc>
              <w:tc>
                <w:tcPr>
                  <w:tcW w:w="2235" w:type="dxa"/>
                  <w:gridSpan w:val="2"/>
                  <w:tcBorders>
                    <w:tl2br w:val="nil"/>
                    <w:tr2bl w:val="nil"/>
                  </w:tcBorders>
                  <w:noWrap w:val="0"/>
                  <w:vAlign w:val="center"/>
                </w:tcPr>
                <w:p w14:paraId="7B33CDA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1140V/400A</w:t>
                  </w:r>
                </w:p>
              </w:tc>
              <w:tc>
                <w:tcPr>
                  <w:tcW w:w="855" w:type="dxa"/>
                  <w:tcBorders>
                    <w:tl2br w:val="nil"/>
                    <w:tr2bl w:val="nil"/>
                  </w:tcBorders>
                  <w:noWrap w:val="0"/>
                  <w:vAlign w:val="center"/>
                </w:tcPr>
                <w:p w14:paraId="7F135D5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7F770B3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1D4F7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0FB71317">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DCC137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4937DB7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7BEB2A3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被试变压器出线柜</w:t>
                  </w:r>
                </w:p>
              </w:tc>
              <w:tc>
                <w:tcPr>
                  <w:tcW w:w="2235" w:type="dxa"/>
                  <w:gridSpan w:val="2"/>
                  <w:tcBorders>
                    <w:tl2br w:val="nil"/>
                    <w:tr2bl w:val="nil"/>
                  </w:tcBorders>
                  <w:noWrap w:val="0"/>
                  <w:vAlign w:val="center"/>
                </w:tcPr>
                <w:p w14:paraId="2DC27D0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2×1700/3.3kV/400A</w:t>
                  </w:r>
                </w:p>
              </w:tc>
              <w:tc>
                <w:tcPr>
                  <w:tcW w:w="855" w:type="dxa"/>
                  <w:tcBorders>
                    <w:tl2br w:val="nil"/>
                    <w:tr2bl w:val="nil"/>
                  </w:tcBorders>
                  <w:noWrap w:val="0"/>
                  <w:vAlign w:val="center"/>
                </w:tcPr>
                <w:p w14:paraId="6FF5DC4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72D0877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3F68B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5CCA7DB6">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06BDAD1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1C46442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394A854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陪试高压变频器</w:t>
                  </w:r>
                </w:p>
              </w:tc>
              <w:tc>
                <w:tcPr>
                  <w:tcW w:w="2235" w:type="dxa"/>
                  <w:gridSpan w:val="2"/>
                  <w:tcBorders>
                    <w:tl2br w:val="nil"/>
                    <w:tr2bl w:val="nil"/>
                  </w:tcBorders>
                  <w:noWrap w:val="0"/>
                  <w:vAlign w:val="center"/>
                </w:tcPr>
                <w:p w14:paraId="5A632C5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3.3kV/4000kW</w:t>
                  </w:r>
                </w:p>
              </w:tc>
              <w:tc>
                <w:tcPr>
                  <w:tcW w:w="855" w:type="dxa"/>
                  <w:tcBorders>
                    <w:tl2br w:val="nil"/>
                    <w:tr2bl w:val="nil"/>
                  </w:tcBorders>
                  <w:noWrap w:val="0"/>
                  <w:vAlign w:val="center"/>
                </w:tcPr>
                <w:p w14:paraId="131EDE0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39F5C68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2535F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76F4CEF7">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00FD507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6DC4858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733FBF4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陪试机水箱及控制</w:t>
                  </w:r>
                </w:p>
              </w:tc>
              <w:tc>
                <w:tcPr>
                  <w:tcW w:w="2235" w:type="dxa"/>
                  <w:gridSpan w:val="2"/>
                  <w:tcBorders>
                    <w:tl2br w:val="nil"/>
                    <w:tr2bl w:val="nil"/>
                  </w:tcBorders>
                  <w:noWrap w:val="0"/>
                  <w:vAlign w:val="center"/>
                </w:tcPr>
                <w:p w14:paraId="341B423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LQB-100KC</w:t>
                  </w:r>
                </w:p>
              </w:tc>
              <w:tc>
                <w:tcPr>
                  <w:tcW w:w="855" w:type="dxa"/>
                  <w:tcBorders>
                    <w:tl2br w:val="nil"/>
                    <w:tr2bl w:val="nil"/>
                  </w:tcBorders>
                  <w:noWrap w:val="0"/>
                  <w:vAlign w:val="center"/>
                </w:tcPr>
                <w:p w14:paraId="2381158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1389" w:type="dxa"/>
                  <w:tcBorders>
                    <w:tl2br w:val="nil"/>
                    <w:tr2bl w:val="nil"/>
                  </w:tcBorders>
                  <w:noWrap w:val="0"/>
                  <w:vAlign w:val="center"/>
                </w:tcPr>
                <w:p w14:paraId="5BE5171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0BC4C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39" w:type="dxa"/>
                  <w:tcBorders>
                    <w:tl2br w:val="nil"/>
                    <w:tr2bl w:val="nil"/>
                  </w:tcBorders>
                  <w:noWrap w:val="0"/>
                  <w:vAlign w:val="center"/>
                </w:tcPr>
                <w:p w14:paraId="7531B542">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483DA3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3460479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091048D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输出仪表柜</w:t>
                  </w:r>
                </w:p>
              </w:tc>
              <w:tc>
                <w:tcPr>
                  <w:tcW w:w="2235" w:type="dxa"/>
                  <w:gridSpan w:val="2"/>
                  <w:tcBorders>
                    <w:tl2br w:val="nil"/>
                    <w:tr2bl w:val="nil"/>
                  </w:tcBorders>
                  <w:noWrap w:val="0"/>
                  <w:vAlign w:val="center"/>
                </w:tcPr>
                <w:p w14:paraId="7FDD40E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55084C2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57A64EA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763CB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9" w:type="dxa"/>
                  <w:tcBorders>
                    <w:tl2br w:val="nil"/>
                    <w:tr2bl w:val="nil"/>
                  </w:tcBorders>
                  <w:noWrap w:val="0"/>
                  <w:vAlign w:val="center"/>
                </w:tcPr>
                <w:p w14:paraId="35448F57">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B5BE38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649A68B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6B66256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监视柜</w:t>
                  </w:r>
                </w:p>
              </w:tc>
              <w:tc>
                <w:tcPr>
                  <w:tcW w:w="2235" w:type="dxa"/>
                  <w:gridSpan w:val="2"/>
                  <w:tcBorders>
                    <w:tl2br w:val="nil"/>
                    <w:tr2bl w:val="nil"/>
                  </w:tcBorders>
                  <w:noWrap w:val="0"/>
                  <w:vAlign w:val="center"/>
                </w:tcPr>
                <w:p w14:paraId="24B45FE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364E4FC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54455C2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64C54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39" w:type="dxa"/>
                  <w:tcBorders>
                    <w:tl2br w:val="nil"/>
                    <w:tr2bl w:val="nil"/>
                  </w:tcBorders>
                  <w:noWrap w:val="0"/>
                  <w:vAlign w:val="center"/>
                </w:tcPr>
                <w:p w14:paraId="1969D043">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4546A53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606E899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1EF012D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低压辅助配电柜</w:t>
                  </w:r>
                </w:p>
              </w:tc>
              <w:tc>
                <w:tcPr>
                  <w:tcW w:w="2235" w:type="dxa"/>
                  <w:gridSpan w:val="2"/>
                  <w:tcBorders>
                    <w:tl2br w:val="nil"/>
                    <w:tr2bl w:val="nil"/>
                  </w:tcBorders>
                  <w:noWrap w:val="0"/>
                  <w:vAlign w:val="center"/>
                </w:tcPr>
                <w:p w14:paraId="3166E10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374FB9B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4F4841F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18C24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39" w:type="dxa"/>
                  <w:tcBorders>
                    <w:tl2br w:val="nil"/>
                    <w:tr2bl w:val="nil"/>
                  </w:tcBorders>
                  <w:noWrap w:val="0"/>
                  <w:vAlign w:val="center"/>
                </w:tcPr>
                <w:p w14:paraId="200E6F74">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B74CA8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301E819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6CF3455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实验电机</w:t>
                  </w:r>
                </w:p>
              </w:tc>
              <w:tc>
                <w:tcPr>
                  <w:tcW w:w="2235" w:type="dxa"/>
                  <w:gridSpan w:val="2"/>
                  <w:tcBorders>
                    <w:tl2br w:val="nil"/>
                    <w:tr2bl w:val="nil"/>
                  </w:tcBorders>
                  <w:noWrap w:val="0"/>
                  <w:vAlign w:val="center"/>
                </w:tcPr>
                <w:p w14:paraId="319E223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393FA57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1389" w:type="dxa"/>
                  <w:tcBorders>
                    <w:tl2br w:val="nil"/>
                    <w:tr2bl w:val="nil"/>
                  </w:tcBorders>
                  <w:noWrap w:val="0"/>
                  <w:vAlign w:val="center"/>
                </w:tcPr>
                <w:p w14:paraId="7832C1F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10357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9" w:type="dxa"/>
                  <w:tcBorders>
                    <w:tl2br w:val="nil"/>
                    <w:tr2bl w:val="nil"/>
                  </w:tcBorders>
                  <w:noWrap w:val="0"/>
                  <w:vAlign w:val="center"/>
                </w:tcPr>
                <w:p w14:paraId="556D3AE2">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65BEC3F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602CFEE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1C152A2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电动机</w:t>
                  </w:r>
                </w:p>
              </w:tc>
              <w:tc>
                <w:tcPr>
                  <w:tcW w:w="2235" w:type="dxa"/>
                  <w:gridSpan w:val="2"/>
                  <w:tcBorders>
                    <w:tl2br w:val="nil"/>
                    <w:tr2bl w:val="nil"/>
                  </w:tcBorders>
                  <w:noWrap w:val="0"/>
                  <w:vAlign w:val="center"/>
                </w:tcPr>
                <w:p w14:paraId="5E4112E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729AEA2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272D121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3DB65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39" w:type="dxa"/>
                  <w:tcBorders>
                    <w:tl2br w:val="nil"/>
                    <w:tr2bl w:val="nil"/>
                  </w:tcBorders>
                  <w:noWrap w:val="0"/>
                  <w:vAlign w:val="center"/>
                </w:tcPr>
                <w:p w14:paraId="5935BB7E">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E2CBAD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7E65E00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7D48837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智能传感器</w:t>
                  </w:r>
                </w:p>
              </w:tc>
              <w:tc>
                <w:tcPr>
                  <w:tcW w:w="2235" w:type="dxa"/>
                  <w:gridSpan w:val="2"/>
                  <w:tcBorders>
                    <w:tl2br w:val="nil"/>
                    <w:tr2bl w:val="nil"/>
                  </w:tcBorders>
                  <w:noWrap w:val="0"/>
                  <w:vAlign w:val="center"/>
                </w:tcPr>
                <w:p w14:paraId="16831EA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5CEAA13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1445396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5AC2D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39" w:type="dxa"/>
                  <w:tcBorders>
                    <w:tl2br w:val="nil"/>
                    <w:tr2bl w:val="nil"/>
                  </w:tcBorders>
                  <w:noWrap w:val="0"/>
                  <w:vAlign w:val="center"/>
                </w:tcPr>
                <w:p w14:paraId="5AA3ADBF">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4F1C9E8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0DEEE89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3CE4E13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电机底座</w:t>
                  </w:r>
                </w:p>
              </w:tc>
              <w:tc>
                <w:tcPr>
                  <w:tcW w:w="2235" w:type="dxa"/>
                  <w:gridSpan w:val="2"/>
                  <w:tcBorders>
                    <w:tl2br w:val="nil"/>
                    <w:tr2bl w:val="nil"/>
                  </w:tcBorders>
                  <w:noWrap w:val="0"/>
                  <w:vAlign w:val="center"/>
                </w:tcPr>
                <w:p w14:paraId="5B6188E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73D6417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41E8DAB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2E735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39" w:type="dxa"/>
                  <w:tcBorders>
                    <w:tl2br w:val="nil"/>
                    <w:tr2bl w:val="nil"/>
                  </w:tcBorders>
                  <w:noWrap w:val="0"/>
                  <w:vAlign w:val="center"/>
                </w:tcPr>
                <w:p w14:paraId="4B6CBBBA">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728DA5E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5CF50F1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603" w:type="dxa"/>
                  <w:tcBorders>
                    <w:tl2br w:val="nil"/>
                    <w:tr2bl w:val="nil"/>
                  </w:tcBorders>
                  <w:noWrap w:val="0"/>
                  <w:vAlign w:val="center"/>
                </w:tcPr>
                <w:p w14:paraId="7E812AD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联轴器</w:t>
                  </w:r>
                </w:p>
              </w:tc>
              <w:tc>
                <w:tcPr>
                  <w:tcW w:w="2235" w:type="dxa"/>
                  <w:gridSpan w:val="2"/>
                  <w:tcBorders>
                    <w:tl2br w:val="nil"/>
                    <w:tr2bl w:val="nil"/>
                  </w:tcBorders>
                  <w:noWrap w:val="0"/>
                  <w:vAlign w:val="center"/>
                </w:tcPr>
                <w:p w14:paraId="4692C25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1748D5A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41064BB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51912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539" w:type="dxa"/>
                  <w:tcBorders>
                    <w:tl2br w:val="nil"/>
                    <w:tr2bl w:val="nil"/>
                  </w:tcBorders>
                  <w:noWrap w:val="0"/>
                  <w:vAlign w:val="center"/>
                </w:tcPr>
                <w:p w14:paraId="056363A2">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restart"/>
                  <w:tcBorders>
                    <w:tl2br w:val="nil"/>
                    <w:tr2bl w:val="nil"/>
                  </w:tcBorders>
                  <w:noWrap w:val="0"/>
                  <w:vAlign w:val="center"/>
                </w:tcPr>
                <w:p w14:paraId="6B765AC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辅助工程</w:t>
                  </w:r>
                </w:p>
              </w:tc>
              <w:tc>
                <w:tcPr>
                  <w:tcW w:w="859" w:type="dxa"/>
                  <w:vMerge w:val="restart"/>
                  <w:tcBorders>
                    <w:tl2br w:val="nil"/>
                    <w:tr2bl w:val="nil"/>
                  </w:tcBorders>
                  <w:noWrap w:val="0"/>
                  <w:vAlign w:val="center"/>
                </w:tcPr>
                <w:p w14:paraId="0D710ED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废气治理设施</w:t>
                  </w:r>
                </w:p>
              </w:tc>
              <w:tc>
                <w:tcPr>
                  <w:tcW w:w="1603" w:type="dxa"/>
                  <w:tcBorders>
                    <w:tl2br w:val="nil"/>
                    <w:tr2bl w:val="nil"/>
                  </w:tcBorders>
                  <w:noWrap w:val="0"/>
                  <w:vAlign w:val="center"/>
                </w:tcPr>
                <w:p w14:paraId="7ED466B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干式喷漆柜+过滤棉箱过滤+</w:t>
                  </w:r>
                  <w:r>
                    <w:rPr>
                      <w:rFonts w:hint="eastAsia" w:ascii="Times New Roman" w:hAnsi="Times New Roman" w:cs="Times New Roman"/>
                      <w:bCs/>
                      <w:color w:val="auto"/>
                      <w:sz w:val="21"/>
                      <w:szCs w:val="21"/>
                      <w:highlight w:val="none"/>
                      <w:lang w:val="en-US" w:eastAsia="zh-CN"/>
                    </w:rPr>
                    <w:t>沸石转轮</w:t>
                  </w:r>
                  <w:r>
                    <w:rPr>
                      <w:rFonts w:hint="default" w:ascii="Times New Roman" w:hAnsi="Times New Roman" w:cs="Times New Roman"/>
                      <w:bCs/>
                      <w:color w:val="auto"/>
                      <w:sz w:val="21"/>
                      <w:szCs w:val="21"/>
                      <w:highlight w:val="none"/>
                      <w:lang w:val="en-US" w:eastAsia="zh-CN"/>
                    </w:rPr>
                    <w:t>+催化燃烧装置</w:t>
                  </w:r>
                </w:p>
              </w:tc>
              <w:tc>
                <w:tcPr>
                  <w:tcW w:w="2235" w:type="dxa"/>
                  <w:gridSpan w:val="2"/>
                  <w:tcBorders>
                    <w:tl2br w:val="nil"/>
                    <w:tr2bl w:val="nil"/>
                  </w:tcBorders>
                  <w:noWrap w:val="0"/>
                  <w:vAlign w:val="center"/>
                </w:tcPr>
                <w:p w14:paraId="3621731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吸附风机风量：30000m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/h；脱附风机风量：3000m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/h</w:t>
                  </w:r>
                </w:p>
              </w:tc>
              <w:tc>
                <w:tcPr>
                  <w:tcW w:w="855" w:type="dxa"/>
                  <w:tcBorders>
                    <w:tl2br w:val="nil"/>
                    <w:tr2bl w:val="nil"/>
                  </w:tcBorders>
                  <w:noWrap w:val="0"/>
                  <w:vAlign w:val="center"/>
                </w:tcPr>
                <w:p w14:paraId="1045CF3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53B6E92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本项目新增，用于调漆、喷漆、烘干/晾干、刮腻子、腻子打磨、除油、漆料及危废储存废气处理</w:t>
                  </w:r>
                </w:p>
              </w:tc>
            </w:tr>
            <w:tr w14:paraId="0FA28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9" w:type="dxa"/>
                  <w:tcBorders>
                    <w:tl2br w:val="nil"/>
                    <w:tr2bl w:val="nil"/>
                  </w:tcBorders>
                  <w:noWrap w:val="0"/>
                  <w:vAlign w:val="center"/>
                </w:tcPr>
                <w:p w14:paraId="24BDD054">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5B34FC8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vMerge w:val="continue"/>
                  <w:tcBorders>
                    <w:tl2br w:val="nil"/>
                    <w:tr2bl w:val="nil"/>
                  </w:tcBorders>
                  <w:noWrap w:val="0"/>
                  <w:vAlign w:val="center"/>
                </w:tcPr>
                <w:p w14:paraId="51C9FF8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3" w:type="dxa"/>
                  <w:tcBorders>
                    <w:tl2br w:val="nil"/>
                    <w:tr2bl w:val="nil"/>
                  </w:tcBorders>
                  <w:noWrap w:val="0"/>
                  <w:vAlign w:val="center"/>
                </w:tcPr>
                <w:p w14:paraId="4436685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脉冲布袋除尘器</w:t>
                  </w:r>
                </w:p>
              </w:tc>
              <w:tc>
                <w:tcPr>
                  <w:tcW w:w="2235" w:type="dxa"/>
                  <w:gridSpan w:val="2"/>
                  <w:tcBorders>
                    <w:tl2br w:val="nil"/>
                    <w:tr2bl w:val="nil"/>
                  </w:tcBorders>
                  <w:noWrap w:val="0"/>
                  <w:vAlign w:val="center"/>
                </w:tcPr>
                <w:p w14:paraId="0FF7652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风机风量：8000m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/h</w:t>
                  </w:r>
                </w:p>
              </w:tc>
              <w:tc>
                <w:tcPr>
                  <w:tcW w:w="855" w:type="dxa"/>
                  <w:tcBorders>
                    <w:tl2br w:val="nil"/>
                    <w:tr2bl w:val="nil"/>
                  </w:tcBorders>
                  <w:noWrap w:val="0"/>
                  <w:vAlign w:val="center"/>
                </w:tcPr>
                <w:p w14:paraId="1E89DE9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89" w:type="dxa"/>
                  <w:tcBorders>
                    <w:tl2br w:val="nil"/>
                    <w:tr2bl w:val="nil"/>
                  </w:tcBorders>
                  <w:noWrap w:val="0"/>
                  <w:vAlign w:val="center"/>
                </w:tcPr>
                <w:p w14:paraId="04D36A9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本项目新增，用于打磨废气处理</w:t>
                  </w:r>
                </w:p>
              </w:tc>
            </w:tr>
            <w:tr w14:paraId="49334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39" w:type="dxa"/>
                  <w:tcBorders>
                    <w:tl2br w:val="nil"/>
                    <w:tr2bl w:val="nil"/>
                  </w:tcBorders>
                  <w:noWrap w:val="0"/>
                  <w:vAlign w:val="center"/>
                </w:tcPr>
                <w:p w14:paraId="1419B1EE">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4AC8254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tcBorders>
                    <w:tl2br w:val="nil"/>
                    <w:tr2bl w:val="nil"/>
                  </w:tcBorders>
                  <w:noWrap w:val="0"/>
                  <w:vAlign w:val="center"/>
                </w:tcPr>
                <w:p w14:paraId="4E9499C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3" w:type="dxa"/>
                  <w:tcBorders>
                    <w:tl2br w:val="nil"/>
                    <w:tr2bl w:val="nil"/>
                  </w:tcBorders>
                  <w:noWrap w:val="0"/>
                  <w:vAlign w:val="center"/>
                </w:tcPr>
                <w:p w14:paraId="402A41A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油烟净化器</w:t>
                  </w:r>
                </w:p>
              </w:tc>
              <w:tc>
                <w:tcPr>
                  <w:tcW w:w="2235" w:type="dxa"/>
                  <w:gridSpan w:val="2"/>
                  <w:tcBorders>
                    <w:tl2br w:val="nil"/>
                    <w:tr2bl w:val="nil"/>
                  </w:tcBorders>
                  <w:noWrap w:val="0"/>
                  <w:vAlign w:val="center"/>
                </w:tcPr>
                <w:p w14:paraId="0E0F628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风机风量：10000m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/h</w:t>
                  </w:r>
                </w:p>
              </w:tc>
              <w:tc>
                <w:tcPr>
                  <w:tcW w:w="855" w:type="dxa"/>
                  <w:tcBorders>
                    <w:tl2br w:val="nil"/>
                    <w:tr2bl w:val="nil"/>
                  </w:tcBorders>
                  <w:noWrap w:val="0"/>
                  <w:vAlign w:val="center"/>
                </w:tcPr>
                <w:p w14:paraId="2D744BA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389" w:type="dxa"/>
                  <w:tcBorders>
                    <w:tl2br w:val="nil"/>
                    <w:tr2bl w:val="nil"/>
                  </w:tcBorders>
                  <w:noWrap w:val="0"/>
                  <w:vAlign w:val="center"/>
                </w:tcPr>
                <w:p w14:paraId="5F50AC8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本项目新增，用于处理食堂废气</w:t>
                  </w:r>
                </w:p>
              </w:tc>
            </w:tr>
            <w:tr w14:paraId="1B628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39" w:type="dxa"/>
                  <w:tcBorders>
                    <w:tl2br w:val="nil"/>
                    <w:tr2bl w:val="nil"/>
                  </w:tcBorders>
                  <w:noWrap w:val="0"/>
                  <w:vAlign w:val="center"/>
                </w:tcPr>
                <w:p w14:paraId="2C79E6B6">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6D7C001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tcBorders>
                    <w:tl2br w:val="nil"/>
                    <w:tr2bl w:val="nil"/>
                  </w:tcBorders>
                  <w:noWrap w:val="0"/>
                  <w:vAlign w:val="center"/>
                </w:tcPr>
                <w:p w14:paraId="74BE467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603" w:type="dxa"/>
                  <w:tcBorders>
                    <w:tl2br w:val="nil"/>
                    <w:tr2bl w:val="nil"/>
                  </w:tcBorders>
                  <w:noWrap w:val="0"/>
                  <w:vAlign w:val="center"/>
                </w:tcPr>
                <w:p w14:paraId="56B519E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行车</w:t>
                  </w:r>
                </w:p>
              </w:tc>
              <w:tc>
                <w:tcPr>
                  <w:tcW w:w="2235" w:type="dxa"/>
                  <w:gridSpan w:val="2"/>
                  <w:tcBorders>
                    <w:tl2br w:val="nil"/>
                    <w:tr2bl w:val="nil"/>
                  </w:tcBorders>
                  <w:noWrap w:val="0"/>
                  <w:vAlign w:val="center"/>
                </w:tcPr>
                <w:p w14:paraId="7805894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13F882B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w:t>
                  </w:r>
                </w:p>
              </w:tc>
              <w:tc>
                <w:tcPr>
                  <w:tcW w:w="1389" w:type="dxa"/>
                  <w:tcBorders>
                    <w:tl2br w:val="nil"/>
                    <w:tr2bl w:val="nil"/>
                  </w:tcBorders>
                  <w:noWrap w:val="0"/>
                  <w:vAlign w:val="center"/>
                </w:tcPr>
                <w:p w14:paraId="26BEC74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cs="宋体"/>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本项目新增</w:t>
                  </w:r>
                </w:p>
              </w:tc>
            </w:tr>
            <w:tr w14:paraId="7ADCE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39" w:type="dxa"/>
                  <w:tcBorders>
                    <w:tl2br w:val="nil"/>
                    <w:tr2bl w:val="nil"/>
                  </w:tcBorders>
                  <w:noWrap w:val="0"/>
                  <w:vAlign w:val="center"/>
                </w:tcPr>
                <w:p w14:paraId="6B395BA5">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14:paraId="19D0458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59" w:type="dxa"/>
                  <w:tcBorders>
                    <w:tl2br w:val="nil"/>
                    <w:tr2bl w:val="nil"/>
                  </w:tcBorders>
                  <w:noWrap w:val="0"/>
                  <w:vAlign w:val="center"/>
                </w:tcPr>
                <w:p w14:paraId="68ACD74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603" w:type="dxa"/>
                  <w:tcBorders>
                    <w:tl2br w:val="nil"/>
                    <w:tr2bl w:val="nil"/>
                  </w:tcBorders>
                  <w:noWrap w:val="0"/>
                  <w:vAlign w:val="center"/>
                </w:tcPr>
                <w:p w14:paraId="540755A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空压机</w:t>
                  </w:r>
                </w:p>
              </w:tc>
              <w:tc>
                <w:tcPr>
                  <w:tcW w:w="2235" w:type="dxa"/>
                  <w:gridSpan w:val="2"/>
                  <w:tcBorders>
                    <w:tl2br w:val="nil"/>
                    <w:tr2bl w:val="nil"/>
                  </w:tcBorders>
                  <w:noWrap w:val="0"/>
                  <w:vAlign w:val="center"/>
                </w:tcPr>
                <w:p w14:paraId="44E0760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855" w:type="dxa"/>
                  <w:tcBorders>
                    <w:tl2br w:val="nil"/>
                    <w:tr2bl w:val="nil"/>
                  </w:tcBorders>
                  <w:noWrap w:val="0"/>
                  <w:vAlign w:val="center"/>
                </w:tcPr>
                <w:p w14:paraId="1BF1301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389" w:type="dxa"/>
                  <w:tcBorders>
                    <w:tl2br w:val="nil"/>
                    <w:tr2bl w:val="nil"/>
                  </w:tcBorders>
                  <w:noWrap w:val="0"/>
                  <w:vAlign w:val="center"/>
                </w:tcPr>
                <w:p w14:paraId="7DC3133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本项目新增</w:t>
                  </w:r>
                </w:p>
              </w:tc>
            </w:tr>
          </w:tbl>
          <w:p w14:paraId="30F82159">
            <w:pPr>
              <w:bidi w:val="0"/>
              <w:rPr>
                <w:rFonts w:hint="default"/>
                <w:color w:val="auto"/>
                <w:lang w:val="en-US" w:eastAsia="zh-CN"/>
              </w:rPr>
            </w:pPr>
            <w:r>
              <w:rPr>
                <w:rFonts w:hint="eastAsia"/>
                <w:color w:val="auto"/>
                <w:lang w:val="en-US" w:eastAsia="zh-CN"/>
              </w:rPr>
              <w:t>本项目拟建设2座喷漆房，每座喷漆房设置4把喷枪，根据建设单位提供资料，每把喷枪的出漆量约20kg/h，企业实际运行时根据实际情况存在同时运行和单独运行的情况，每次最多4把喷枪同时工作，本项目喷漆过程漆料消耗量为8.12t/a，则4把喷枪同时运行时，喷漆工序运行时间为101.5h/a，仅1把喷枪运行时，喷漆工序运行时间为406h/a，本次评价在核算废气排放速率时，按照平均年喷漆203h进行核算。</w:t>
            </w:r>
          </w:p>
          <w:p w14:paraId="5183AE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b/>
                <w:bCs/>
                <w:color w:val="auto"/>
                <w:sz w:val="21"/>
                <w:szCs w:val="21"/>
                <w:highlight w:val="none"/>
                <w:lang w:val="en-US" w:eastAsia="zh-CN"/>
              </w:rPr>
            </w:pPr>
            <w:r>
              <w:rPr>
                <w:rFonts w:hint="eastAsia" w:ascii="Times New Roman" w:eastAsia="宋体"/>
                <w:b/>
                <w:bCs/>
                <w:color w:val="auto"/>
                <w:sz w:val="21"/>
                <w:szCs w:val="21"/>
                <w:highlight w:val="none"/>
                <w:lang w:val="en-US" w:eastAsia="zh-CN"/>
              </w:rPr>
              <w:t>表</w:t>
            </w:r>
            <w:r>
              <w:rPr>
                <w:rFonts w:hint="eastAsia"/>
                <w:b/>
                <w:bCs/>
                <w:color w:val="auto"/>
                <w:sz w:val="21"/>
                <w:szCs w:val="21"/>
                <w:highlight w:val="none"/>
                <w:lang w:val="en-US" w:eastAsia="zh-CN"/>
              </w:rPr>
              <w:t>23</w:t>
            </w:r>
            <w:r>
              <w:rPr>
                <w:rFonts w:hint="eastAsia" w:ascii="Times New Roman" w:eastAsia="宋体"/>
                <w:b/>
                <w:bCs/>
                <w:color w:val="auto"/>
                <w:sz w:val="21"/>
                <w:szCs w:val="21"/>
                <w:highlight w:val="none"/>
                <w:lang w:val="en-US" w:eastAsia="zh-CN"/>
              </w:rPr>
              <w:t xml:space="preserve">  </w:t>
            </w:r>
            <w:r>
              <w:rPr>
                <w:rFonts w:hint="eastAsia"/>
                <w:b/>
                <w:bCs/>
                <w:color w:val="auto"/>
                <w:sz w:val="21"/>
                <w:szCs w:val="21"/>
                <w:highlight w:val="none"/>
                <w:lang w:val="en-US" w:eastAsia="zh-CN"/>
              </w:rPr>
              <w:t>本项目建成后全厂</w:t>
            </w:r>
            <w:r>
              <w:rPr>
                <w:rFonts w:hint="eastAsia" w:ascii="Times New Roman" w:eastAsia="宋体"/>
                <w:b/>
                <w:bCs/>
                <w:color w:val="auto"/>
                <w:sz w:val="21"/>
                <w:szCs w:val="21"/>
                <w:highlight w:val="none"/>
                <w:lang w:val="en-US" w:eastAsia="zh-CN"/>
              </w:rPr>
              <w:t>主要生产设备</w:t>
            </w:r>
            <w:r>
              <w:rPr>
                <w:rFonts w:hint="eastAsia"/>
                <w:b/>
                <w:bCs/>
                <w:color w:val="auto"/>
                <w:sz w:val="21"/>
                <w:szCs w:val="21"/>
                <w:highlight w:val="none"/>
                <w:lang w:val="en-US" w:eastAsia="zh-CN"/>
              </w:rPr>
              <w:t>、设施</w:t>
            </w:r>
            <w:r>
              <w:rPr>
                <w:rFonts w:hint="eastAsia" w:ascii="Times New Roman" w:eastAsia="宋体"/>
                <w:b/>
                <w:bCs/>
                <w:color w:val="auto"/>
                <w:sz w:val="21"/>
                <w:szCs w:val="21"/>
                <w:highlight w:val="none"/>
                <w:lang w:val="en-US" w:eastAsia="zh-CN"/>
              </w:rPr>
              <w:t>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024"/>
              <w:gridCol w:w="1395"/>
              <w:gridCol w:w="1860"/>
              <w:gridCol w:w="1148"/>
            </w:tblGrid>
            <w:tr w14:paraId="74AE3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50" w:type="dxa"/>
                  <w:tcBorders>
                    <w:tl2br w:val="nil"/>
                    <w:tr2bl w:val="nil"/>
                  </w:tcBorders>
                  <w:noWrap w:val="0"/>
                  <w:vAlign w:val="center"/>
                </w:tcPr>
                <w:p w14:paraId="53E8B711">
                  <w:pPr>
                    <w:pStyle w:val="40"/>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序号</w:t>
                  </w:r>
                </w:p>
              </w:tc>
              <w:tc>
                <w:tcPr>
                  <w:tcW w:w="3024" w:type="dxa"/>
                  <w:tcBorders>
                    <w:tl2br w:val="nil"/>
                    <w:tr2bl w:val="nil"/>
                  </w:tcBorders>
                  <w:noWrap w:val="0"/>
                  <w:vAlign w:val="center"/>
                </w:tcPr>
                <w:p w14:paraId="334A35C6">
                  <w:pPr>
                    <w:pStyle w:val="40"/>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名称</w:t>
                  </w:r>
                </w:p>
              </w:tc>
              <w:tc>
                <w:tcPr>
                  <w:tcW w:w="1395" w:type="dxa"/>
                  <w:tcBorders>
                    <w:tl2br w:val="nil"/>
                    <w:tr2bl w:val="nil"/>
                  </w:tcBorders>
                  <w:noWrap w:val="0"/>
                  <w:vAlign w:val="center"/>
                </w:tcPr>
                <w:p w14:paraId="58BAF2C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现有工程</w:t>
                  </w:r>
                  <w:r>
                    <w:rPr>
                      <w:rFonts w:ascii="Times New Roman" w:hAnsi="Times New Roman" w:cs="Times New Roman"/>
                      <w:bCs/>
                      <w:color w:val="auto"/>
                      <w:sz w:val="21"/>
                      <w:szCs w:val="21"/>
                      <w:highlight w:val="none"/>
                    </w:rPr>
                    <w:t>数量</w:t>
                  </w:r>
                  <w:r>
                    <w:rPr>
                      <w:color w:val="auto"/>
                      <w:sz w:val="21"/>
                      <w:szCs w:val="21"/>
                      <w:highlight w:val="none"/>
                    </w:rPr>
                    <w:t>（台</w:t>
                  </w:r>
                  <w:r>
                    <w:rPr>
                      <w:rFonts w:hint="default" w:ascii="Times New Roman" w:hAnsi="Times New Roman" w:cs="Times New Roman"/>
                      <w:color w:val="auto"/>
                      <w:sz w:val="21"/>
                      <w:szCs w:val="21"/>
                      <w:highlight w:val="none"/>
                    </w:rPr>
                    <w:t>/</w:t>
                  </w:r>
                  <w:r>
                    <w:rPr>
                      <w:color w:val="auto"/>
                      <w:sz w:val="21"/>
                      <w:szCs w:val="21"/>
                      <w:highlight w:val="none"/>
                    </w:rPr>
                    <w:t>套）</w:t>
                  </w:r>
                </w:p>
              </w:tc>
              <w:tc>
                <w:tcPr>
                  <w:tcW w:w="1860" w:type="dxa"/>
                  <w:tcBorders>
                    <w:tl2br w:val="nil"/>
                    <w:tr2bl w:val="nil"/>
                  </w:tcBorders>
                  <w:noWrap w:val="0"/>
                  <w:vAlign w:val="center"/>
                </w:tcPr>
                <w:p w14:paraId="1385F85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本项目建成后全厂</w:t>
                  </w:r>
                  <w:r>
                    <w:rPr>
                      <w:rFonts w:ascii="Times New Roman" w:hAnsi="Times New Roman" w:cs="Times New Roman"/>
                      <w:bCs/>
                      <w:color w:val="auto"/>
                      <w:sz w:val="21"/>
                      <w:szCs w:val="21"/>
                      <w:highlight w:val="none"/>
                    </w:rPr>
                    <w:t>数量</w:t>
                  </w:r>
                  <w:r>
                    <w:rPr>
                      <w:color w:val="auto"/>
                      <w:sz w:val="21"/>
                      <w:szCs w:val="21"/>
                      <w:highlight w:val="none"/>
                    </w:rPr>
                    <w:t>（台</w:t>
                  </w:r>
                  <w:r>
                    <w:rPr>
                      <w:rFonts w:hint="default" w:ascii="Times New Roman" w:hAnsi="Times New Roman" w:cs="Times New Roman"/>
                      <w:color w:val="auto"/>
                      <w:sz w:val="21"/>
                      <w:szCs w:val="21"/>
                      <w:highlight w:val="none"/>
                    </w:rPr>
                    <w:t>/</w:t>
                  </w:r>
                  <w:r>
                    <w:rPr>
                      <w:color w:val="auto"/>
                      <w:sz w:val="21"/>
                      <w:szCs w:val="21"/>
                      <w:highlight w:val="none"/>
                    </w:rPr>
                    <w:t>套</w:t>
                  </w:r>
                  <w:r>
                    <w:rPr>
                      <w:rFonts w:hint="eastAsia"/>
                      <w:color w:val="auto"/>
                      <w:sz w:val="21"/>
                      <w:szCs w:val="21"/>
                      <w:highlight w:val="none"/>
                      <w:lang w:eastAsia="zh-CN"/>
                    </w:rPr>
                    <w:t>）</w:t>
                  </w:r>
                </w:p>
              </w:tc>
              <w:tc>
                <w:tcPr>
                  <w:tcW w:w="1148" w:type="dxa"/>
                  <w:tcBorders>
                    <w:tl2br w:val="nil"/>
                    <w:tr2bl w:val="nil"/>
                  </w:tcBorders>
                  <w:noWrap w:val="0"/>
                  <w:vAlign w:val="center"/>
                </w:tcPr>
                <w:p w14:paraId="25B1146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变化量</w:t>
                  </w:r>
                  <w:r>
                    <w:rPr>
                      <w:color w:val="auto"/>
                      <w:sz w:val="21"/>
                      <w:szCs w:val="21"/>
                      <w:highlight w:val="none"/>
                    </w:rPr>
                    <w:t>（台</w:t>
                  </w:r>
                  <w:r>
                    <w:rPr>
                      <w:rFonts w:hint="default" w:ascii="Times New Roman" w:hAnsi="Times New Roman" w:cs="Times New Roman"/>
                      <w:color w:val="auto"/>
                      <w:sz w:val="21"/>
                      <w:szCs w:val="21"/>
                      <w:highlight w:val="none"/>
                    </w:rPr>
                    <w:t>/</w:t>
                  </w:r>
                  <w:r>
                    <w:rPr>
                      <w:color w:val="auto"/>
                      <w:sz w:val="21"/>
                      <w:szCs w:val="21"/>
                      <w:highlight w:val="none"/>
                    </w:rPr>
                    <w:t>套</w:t>
                  </w:r>
                  <w:r>
                    <w:rPr>
                      <w:rFonts w:hint="eastAsia"/>
                      <w:color w:val="auto"/>
                      <w:sz w:val="21"/>
                      <w:szCs w:val="21"/>
                      <w:highlight w:val="none"/>
                      <w:lang w:eastAsia="zh-CN"/>
                    </w:rPr>
                    <w:t>）</w:t>
                  </w:r>
                </w:p>
              </w:tc>
            </w:tr>
            <w:tr w14:paraId="35158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50" w:type="dxa"/>
                  <w:tcBorders>
                    <w:tl2br w:val="nil"/>
                    <w:tr2bl w:val="nil"/>
                  </w:tcBorders>
                  <w:noWrap w:val="0"/>
                  <w:vAlign w:val="center"/>
                </w:tcPr>
                <w:p w14:paraId="6DD45975">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1356309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元器件分类盒</w:t>
                  </w:r>
                </w:p>
              </w:tc>
              <w:tc>
                <w:tcPr>
                  <w:tcW w:w="1395" w:type="dxa"/>
                  <w:tcBorders>
                    <w:tl2br w:val="nil"/>
                    <w:tr2bl w:val="nil"/>
                  </w:tcBorders>
                  <w:noWrap w:val="0"/>
                  <w:vAlign w:val="center"/>
                </w:tcPr>
                <w:p w14:paraId="6CC5138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6</w:t>
                  </w:r>
                </w:p>
              </w:tc>
              <w:tc>
                <w:tcPr>
                  <w:tcW w:w="1860" w:type="dxa"/>
                  <w:tcBorders>
                    <w:tl2br w:val="nil"/>
                    <w:tr2bl w:val="nil"/>
                  </w:tcBorders>
                  <w:noWrap w:val="0"/>
                  <w:vAlign w:val="center"/>
                </w:tcPr>
                <w:p w14:paraId="18BF089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6</w:t>
                  </w:r>
                </w:p>
              </w:tc>
              <w:tc>
                <w:tcPr>
                  <w:tcW w:w="1148" w:type="dxa"/>
                  <w:tcBorders>
                    <w:tl2br w:val="nil"/>
                    <w:tr2bl w:val="nil"/>
                  </w:tcBorders>
                  <w:noWrap w:val="0"/>
                  <w:vAlign w:val="center"/>
                </w:tcPr>
                <w:p w14:paraId="4CD1965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7C9A9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50" w:type="dxa"/>
                  <w:tcBorders>
                    <w:tl2br w:val="nil"/>
                    <w:tr2bl w:val="nil"/>
                  </w:tcBorders>
                  <w:noWrap w:val="0"/>
                  <w:vAlign w:val="center"/>
                </w:tcPr>
                <w:p w14:paraId="669E01A9">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3B96891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工具车</w:t>
                  </w:r>
                </w:p>
              </w:tc>
              <w:tc>
                <w:tcPr>
                  <w:tcW w:w="1395" w:type="dxa"/>
                  <w:tcBorders>
                    <w:tl2br w:val="nil"/>
                    <w:tr2bl w:val="nil"/>
                  </w:tcBorders>
                  <w:noWrap w:val="0"/>
                  <w:vAlign w:val="center"/>
                </w:tcPr>
                <w:p w14:paraId="480DB21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21</w:t>
                  </w:r>
                </w:p>
              </w:tc>
              <w:tc>
                <w:tcPr>
                  <w:tcW w:w="1860" w:type="dxa"/>
                  <w:tcBorders>
                    <w:tl2br w:val="nil"/>
                    <w:tr2bl w:val="nil"/>
                  </w:tcBorders>
                  <w:noWrap w:val="0"/>
                  <w:vAlign w:val="center"/>
                </w:tcPr>
                <w:p w14:paraId="5498BD5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21</w:t>
                  </w:r>
                </w:p>
              </w:tc>
              <w:tc>
                <w:tcPr>
                  <w:tcW w:w="1148" w:type="dxa"/>
                  <w:tcBorders>
                    <w:tl2br w:val="nil"/>
                    <w:tr2bl w:val="nil"/>
                  </w:tcBorders>
                  <w:noWrap w:val="0"/>
                  <w:vAlign w:val="center"/>
                </w:tcPr>
                <w:p w14:paraId="46772AE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2A662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tcBorders>
                    <w:tl2br w:val="nil"/>
                    <w:tr2bl w:val="nil"/>
                  </w:tcBorders>
                  <w:noWrap w:val="0"/>
                  <w:vAlign w:val="center"/>
                </w:tcPr>
                <w:p w14:paraId="77FE28FF">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4E9007A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电路板支架</w:t>
                  </w:r>
                </w:p>
              </w:tc>
              <w:tc>
                <w:tcPr>
                  <w:tcW w:w="1395" w:type="dxa"/>
                  <w:tcBorders>
                    <w:tl2br w:val="nil"/>
                    <w:tr2bl w:val="nil"/>
                  </w:tcBorders>
                  <w:noWrap w:val="0"/>
                  <w:vAlign w:val="center"/>
                </w:tcPr>
                <w:p w14:paraId="48AB328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5</w:t>
                  </w:r>
                </w:p>
              </w:tc>
              <w:tc>
                <w:tcPr>
                  <w:tcW w:w="1860" w:type="dxa"/>
                  <w:tcBorders>
                    <w:tl2br w:val="nil"/>
                    <w:tr2bl w:val="nil"/>
                  </w:tcBorders>
                  <w:noWrap w:val="0"/>
                  <w:vAlign w:val="center"/>
                </w:tcPr>
                <w:p w14:paraId="1BBDE7F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5</w:t>
                  </w:r>
                </w:p>
              </w:tc>
              <w:tc>
                <w:tcPr>
                  <w:tcW w:w="1148" w:type="dxa"/>
                  <w:tcBorders>
                    <w:tl2br w:val="nil"/>
                    <w:tr2bl w:val="nil"/>
                  </w:tcBorders>
                  <w:noWrap w:val="0"/>
                  <w:vAlign w:val="center"/>
                </w:tcPr>
                <w:p w14:paraId="4F51F5D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14D86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50" w:type="dxa"/>
                  <w:tcBorders>
                    <w:tl2br w:val="nil"/>
                    <w:tr2bl w:val="nil"/>
                  </w:tcBorders>
                  <w:noWrap w:val="0"/>
                  <w:vAlign w:val="center"/>
                </w:tcPr>
                <w:p w14:paraId="4456280A">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7BAF3521">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防爆芯支架</w:t>
                  </w:r>
                </w:p>
              </w:tc>
              <w:tc>
                <w:tcPr>
                  <w:tcW w:w="1395" w:type="dxa"/>
                  <w:tcBorders>
                    <w:tl2br w:val="nil"/>
                    <w:tr2bl w:val="nil"/>
                  </w:tcBorders>
                  <w:noWrap w:val="0"/>
                  <w:vAlign w:val="center"/>
                </w:tcPr>
                <w:p w14:paraId="4733B29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17</w:t>
                  </w:r>
                </w:p>
              </w:tc>
              <w:tc>
                <w:tcPr>
                  <w:tcW w:w="1860" w:type="dxa"/>
                  <w:tcBorders>
                    <w:tl2br w:val="nil"/>
                    <w:tr2bl w:val="nil"/>
                  </w:tcBorders>
                  <w:noWrap w:val="0"/>
                  <w:vAlign w:val="center"/>
                </w:tcPr>
                <w:p w14:paraId="0095A41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17</w:t>
                  </w:r>
                </w:p>
              </w:tc>
              <w:tc>
                <w:tcPr>
                  <w:tcW w:w="1148" w:type="dxa"/>
                  <w:tcBorders>
                    <w:tl2br w:val="nil"/>
                    <w:tr2bl w:val="nil"/>
                  </w:tcBorders>
                  <w:noWrap w:val="0"/>
                  <w:vAlign w:val="center"/>
                </w:tcPr>
                <w:p w14:paraId="5641631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0A90C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50" w:type="dxa"/>
                  <w:tcBorders>
                    <w:tl2br w:val="nil"/>
                    <w:tr2bl w:val="nil"/>
                  </w:tcBorders>
                  <w:noWrap w:val="0"/>
                  <w:vAlign w:val="center"/>
                </w:tcPr>
                <w:p w14:paraId="0156C53D">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3F353F0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木托</w:t>
                  </w:r>
                </w:p>
              </w:tc>
              <w:tc>
                <w:tcPr>
                  <w:tcW w:w="1395" w:type="dxa"/>
                  <w:tcBorders>
                    <w:tl2br w:val="nil"/>
                    <w:tr2bl w:val="nil"/>
                  </w:tcBorders>
                  <w:noWrap w:val="0"/>
                  <w:vAlign w:val="center"/>
                </w:tcPr>
                <w:p w14:paraId="573C9FB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20</w:t>
                  </w:r>
                </w:p>
              </w:tc>
              <w:tc>
                <w:tcPr>
                  <w:tcW w:w="1860" w:type="dxa"/>
                  <w:tcBorders>
                    <w:tl2br w:val="nil"/>
                    <w:tr2bl w:val="nil"/>
                  </w:tcBorders>
                  <w:noWrap w:val="0"/>
                  <w:vAlign w:val="center"/>
                </w:tcPr>
                <w:p w14:paraId="1598CEB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20</w:t>
                  </w:r>
                </w:p>
              </w:tc>
              <w:tc>
                <w:tcPr>
                  <w:tcW w:w="1148" w:type="dxa"/>
                  <w:tcBorders>
                    <w:tl2br w:val="nil"/>
                    <w:tr2bl w:val="nil"/>
                  </w:tcBorders>
                  <w:noWrap w:val="0"/>
                  <w:vAlign w:val="center"/>
                </w:tcPr>
                <w:p w14:paraId="5A85354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545F7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50" w:type="dxa"/>
                  <w:tcBorders>
                    <w:tl2br w:val="nil"/>
                    <w:tr2bl w:val="nil"/>
                  </w:tcBorders>
                  <w:noWrap w:val="0"/>
                  <w:vAlign w:val="center"/>
                </w:tcPr>
                <w:p w14:paraId="6174E75B">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6B7E09B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接线架</w:t>
                  </w:r>
                </w:p>
              </w:tc>
              <w:tc>
                <w:tcPr>
                  <w:tcW w:w="1395" w:type="dxa"/>
                  <w:tcBorders>
                    <w:tl2br w:val="nil"/>
                    <w:tr2bl w:val="nil"/>
                  </w:tcBorders>
                  <w:noWrap w:val="0"/>
                  <w:vAlign w:val="center"/>
                </w:tcPr>
                <w:p w14:paraId="0AD7BF4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18</w:t>
                  </w:r>
                </w:p>
              </w:tc>
              <w:tc>
                <w:tcPr>
                  <w:tcW w:w="1860" w:type="dxa"/>
                  <w:tcBorders>
                    <w:tl2br w:val="nil"/>
                    <w:tr2bl w:val="nil"/>
                  </w:tcBorders>
                  <w:noWrap w:val="0"/>
                  <w:vAlign w:val="center"/>
                </w:tcPr>
                <w:p w14:paraId="002E70F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18</w:t>
                  </w:r>
                </w:p>
              </w:tc>
              <w:tc>
                <w:tcPr>
                  <w:tcW w:w="1148" w:type="dxa"/>
                  <w:tcBorders>
                    <w:tl2br w:val="nil"/>
                    <w:tr2bl w:val="nil"/>
                  </w:tcBorders>
                  <w:noWrap w:val="0"/>
                  <w:vAlign w:val="center"/>
                </w:tcPr>
                <w:p w14:paraId="2F4F311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55B41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50" w:type="dxa"/>
                  <w:tcBorders>
                    <w:tl2br w:val="nil"/>
                    <w:tr2bl w:val="nil"/>
                  </w:tcBorders>
                  <w:noWrap w:val="0"/>
                  <w:vAlign w:val="center"/>
                </w:tcPr>
                <w:p w14:paraId="7A98FA91">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282BC61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成品架</w:t>
                  </w:r>
                </w:p>
              </w:tc>
              <w:tc>
                <w:tcPr>
                  <w:tcW w:w="1395" w:type="dxa"/>
                  <w:tcBorders>
                    <w:tl2br w:val="nil"/>
                    <w:tr2bl w:val="nil"/>
                  </w:tcBorders>
                  <w:noWrap w:val="0"/>
                  <w:vAlign w:val="center"/>
                </w:tcPr>
                <w:p w14:paraId="7ABC196A">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5</w:t>
                  </w:r>
                </w:p>
              </w:tc>
              <w:tc>
                <w:tcPr>
                  <w:tcW w:w="1860" w:type="dxa"/>
                  <w:tcBorders>
                    <w:tl2br w:val="nil"/>
                    <w:tr2bl w:val="nil"/>
                  </w:tcBorders>
                  <w:noWrap w:val="0"/>
                  <w:vAlign w:val="center"/>
                </w:tcPr>
                <w:p w14:paraId="28221A9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5</w:t>
                  </w:r>
                </w:p>
              </w:tc>
              <w:tc>
                <w:tcPr>
                  <w:tcW w:w="1148" w:type="dxa"/>
                  <w:tcBorders>
                    <w:tl2br w:val="nil"/>
                    <w:tr2bl w:val="nil"/>
                  </w:tcBorders>
                  <w:noWrap w:val="0"/>
                  <w:vAlign w:val="center"/>
                </w:tcPr>
                <w:p w14:paraId="0138224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09C9B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50" w:type="dxa"/>
                  <w:tcBorders>
                    <w:tl2br w:val="nil"/>
                    <w:tr2bl w:val="nil"/>
                  </w:tcBorders>
                  <w:noWrap w:val="0"/>
                  <w:vAlign w:val="center"/>
                </w:tcPr>
                <w:p w14:paraId="4651E7DE">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52A41D9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固定式升降平台</w:t>
                  </w:r>
                </w:p>
              </w:tc>
              <w:tc>
                <w:tcPr>
                  <w:tcW w:w="1395" w:type="dxa"/>
                  <w:tcBorders>
                    <w:tl2br w:val="nil"/>
                    <w:tr2bl w:val="nil"/>
                  </w:tcBorders>
                  <w:noWrap w:val="0"/>
                  <w:vAlign w:val="center"/>
                </w:tcPr>
                <w:p w14:paraId="7CD1D2A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62</w:t>
                  </w:r>
                </w:p>
              </w:tc>
              <w:tc>
                <w:tcPr>
                  <w:tcW w:w="1860" w:type="dxa"/>
                  <w:tcBorders>
                    <w:tl2br w:val="nil"/>
                    <w:tr2bl w:val="nil"/>
                  </w:tcBorders>
                  <w:noWrap w:val="0"/>
                  <w:vAlign w:val="center"/>
                </w:tcPr>
                <w:p w14:paraId="38E8B40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62</w:t>
                  </w:r>
                </w:p>
              </w:tc>
              <w:tc>
                <w:tcPr>
                  <w:tcW w:w="1148" w:type="dxa"/>
                  <w:tcBorders>
                    <w:tl2br w:val="nil"/>
                    <w:tr2bl w:val="nil"/>
                  </w:tcBorders>
                  <w:noWrap w:val="0"/>
                  <w:vAlign w:val="center"/>
                </w:tcPr>
                <w:p w14:paraId="19CB8E9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01DA2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50" w:type="dxa"/>
                  <w:tcBorders>
                    <w:tl2br w:val="nil"/>
                    <w:tr2bl w:val="nil"/>
                  </w:tcBorders>
                  <w:noWrap w:val="0"/>
                  <w:vAlign w:val="center"/>
                </w:tcPr>
                <w:p w14:paraId="29986010">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5122F2A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周转车</w:t>
                  </w:r>
                </w:p>
              </w:tc>
              <w:tc>
                <w:tcPr>
                  <w:tcW w:w="1395" w:type="dxa"/>
                  <w:tcBorders>
                    <w:tl2br w:val="nil"/>
                    <w:tr2bl w:val="nil"/>
                  </w:tcBorders>
                  <w:noWrap w:val="0"/>
                  <w:vAlign w:val="center"/>
                </w:tcPr>
                <w:p w14:paraId="6EE176E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7</w:t>
                  </w:r>
                </w:p>
              </w:tc>
              <w:tc>
                <w:tcPr>
                  <w:tcW w:w="1860" w:type="dxa"/>
                  <w:tcBorders>
                    <w:tl2br w:val="nil"/>
                    <w:tr2bl w:val="nil"/>
                  </w:tcBorders>
                  <w:noWrap w:val="0"/>
                  <w:vAlign w:val="center"/>
                </w:tcPr>
                <w:p w14:paraId="3FF3EF3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7</w:t>
                  </w:r>
                </w:p>
              </w:tc>
              <w:tc>
                <w:tcPr>
                  <w:tcW w:w="1148" w:type="dxa"/>
                  <w:tcBorders>
                    <w:tl2br w:val="nil"/>
                    <w:tr2bl w:val="nil"/>
                  </w:tcBorders>
                  <w:noWrap w:val="0"/>
                  <w:vAlign w:val="center"/>
                </w:tcPr>
                <w:p w14:paraId="2B7BC97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30BD5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tcBorders>
                    <w:tl2br w:val="nil"/>
                    <w:tr2bl w:val="nil"/>
                  </w:tcBorders>
                  <w:noWrap w:val="0"/>
                  <w:vAlign w:val="center"/>
                </w:tcPr>
                <w:p w14:paraId="4B782729">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2EF6023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传感器固定支架</w:t>
                  </w:r>
                </w:p>
              </w:tc>
              <w:tc>
                <w:tcPr>
                  <w:tcW w:w="1395" w:type="dxa"/>
                  <w:tcBorders>
                    <w:tl2br w:val="nil"/>
                    <w:tr2bl w:val="nil"/>
                  </w:tcBorders>
                  <w:noWrap w:val="0"/>
                  <w:vAlign w:val="center"/>
                </w:tcPr>
                <w:p w14:paraId="21177FC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4</w:t>
                  </w:r>
                </w:p>
              </w:tc>
              <w:tc>
                <w:tcPr>
                  <w:tcW w:w="1860" w:type="dxa"/>
                  <w:tcBorders>
                    <w:tl2br w:val="nil"/>
                    <w:tr2bl w:val="nil"/>
                  </w:tcBorders>
                  <w:noWrap w:val="0"/>
                  <w:vAlign w:val="center"/>
                </w:tcPr>
                <w:p w14:paraId="49753EC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4</w:t>
                  </w:r>
                </w:p>
              </w:tc>
              <w:tc>
                <w:tcPr>
                  <w:tcW w:w="1148" w:type="dxa"/>
                  <w:tcBorders>
                    <w:tl2br w:val="nil"/>
                    <w:tr2bl w:val="nil"/>
                  </w:tcBorders>
                  <w:noWrap w:val="0"/>
                  <w:vAlign w:val="center"/>
                </w:tcPr>
                <w:p w14:paraId="26FAB2D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13B09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50" w:type="dxa"/>
                  <w:tcBorders>
                    <w:tl2br w:val="nil"/>
                    <w:tr2bl w:val="nil"/>
                  </w:tcBorders>
                  <w:noWrap w:val="0"/>
                  <w:vAlign w:val="center"/>
                </w:tcPr>
                <w:p w14:paraId="731984C7">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770E8A5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货架</w:t>
                  </w:r>
                </w:p>
              </w:tc>
              <w:tc>
                <w:tcPr>
                  <w:tcW w:w="1395" w:type="dxa"/>
                  <w:tcBorders>
                    <w:tl2br w:val="nil"/>
                    <w:tr2bl w:val="nil"/>
                  </w:tcBorders>
                  <w:noWrap w:val="0"/>
                  <w:vAlign w:val="center"/>
                </w:tcPr>
                <w:p w14:paraId="5DF165F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63</w:t>
                  </w:r>
                </w:p>
              </w:tc>
              <w:tc>
                <w:tcPr>
                  <w:tcW w:w="1860" w:type="dxa"/>
                  <w:tcBorders>
                    <w:tl2br w:val="nil"/>
                    <w:tr2bl w:val="nil"/>
                  </w:tcBorders>
                  <w:noWrap w:val="0"/>
                  <w:vAlign w:val="center"/>
                </w:tcPr>
                <w:p w14:paraId="0F1110A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63</w:t>
                  </w:r>
                </w:p>
              </w:tc>
              <w:tc>
                <w:tcPr>
                  <w:tcW w:w="1148" w:type="dxa"/>
                  <w:tcBorders>
                    <w:tl2br w:val="nil"/>
                    <w:tr2bl w:val="nil"/>
                  </w:tcBorders>
                  <w:noWrap w:val="0"/>
                  <w:vAlign w:val="center"/>
                </w:tcPr>
                <w:p w14:paraId="15A1AE7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32A36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48507489">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588F27E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rPr>
                  </w:pPr>
                  <w:r>
                    <w:rPr>
                      <w:rFonts w:hint="eastAsia"/>
                      <w:color w:val="auto"/>
                      <w:highlight w:val="none"/>
                      <w:lang w:val="en-US" w:eastAsia="zh-CN"/>
                    </w:rPr>
                    <w:t>手推装配线</w:t>
                  </w:r>
                </w:p>
              </w:tc>
              <w:tc>
                <w:tcPr>
                  <w:tcW w:w="1395" w:type="dxa"/>
                  <w:tcBorders>
                    <w:tl2br w:val="nil"/>
                    <w:tr2bl w:val="nil"/>
                  </w:tcBorders>
                  <w:noWrap w:val="0"/>
                  <w:vAlign w:val="center"/>
                </w:tcPr>
                <w:p w14:paraId="364330B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eastAsia="宋体"/>
                      <w:color w:val="auto"/>
                      <w:highlight w:val="none"/>
                      <w:lang w:val="en-US" w:eastAsia="zh-CN"/>
                    </w:rPr>
                  </w:pPr>
                  <w:r>
                    <w:rPr>
                      <w:rFonts w:hint="eastAsia"/>
                      <w:color w:val="auto"/>
                      <w:highlight w:val="none"/>
                      <w:lang w:val="en-US" w:eastAsia="zh-CN"/>
                    </w:rPr>
                    <w:t>2</w:t>
                  </w:r>
                </w:p>
              </w:tc>
              <w:tc>
                <w:tcPr>
                  <w:tcW w:w="1860" w:type="dxa"/>
                  <w:tcBorders>
                    <w:tl2br w:val="nil"/>
                    <w:tr2bl w:val="nil"/>
                  </w:tcBorders>
                  <w:noWrap w:val="0"/>
                  <w:vAlign w:val="center"/>
                </w:tcPr>
                <w:p w14:paraId="333C240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2</w:t>
                  </w:r>
                </w:p>
              </w:tc>
              <w:tc>
                <w:tcPr>
                  <w:tcW w:w="1148" w:type="dxa"/>
                  <w:tcBorders>
                    <w:tl2br w:val="nil"/>
                    <w:tr2bl w:val="nil"/>
                  </w:tcBorders>
                  <w:noWrap w:val="0"/>
                  <w:vAlign w:val="center"/>
                </w:tcPr>
                <w:p w14:paraId="389AB5A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199D4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146148ED">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7FFA513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工作生产线</w:t>
                  </w:r>
                </w:p>
              </w:tc>
              <w:tc>
                <w:tcPr>
                  <w:tcW w:w="1395" w:type="dxa"/>
                  <w:tcBorders>
                    <w:tl2br w:val="nil"/>
                    <w:tr2bl w:val="nil"/>
                  </w:tcBorders>
                  <w:noWrap w:val="0"/>
                  <w:vAlign w:val="center"/>
                </w:tcPr>
                <w:p w14:paraId="3667814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bCs/>
                      <w:color w:val="auto"/>
                      <w:sz w:val="21"/>
                      <w:szCs w:val="21"/>
                      <w:highlight w:val="none"/>
                      <w:lang w:val="en-US" w:eastAsia="zh-CN"/>
                    </w:rPr>
                  </w:pPr>
                  <w:r>
                    <w:rPr>
                      <w:rFonts w:hint="eastAsia"/>
                      <w:color w:val="auto"/>
                      <w:highlight w:val="none"/>
                      <w:lang w:val="en-US" w:eastAsia="zh-CN"/>
                    </w:rPr>
                    <w:t>2</w:t>
                  </w:r>
                </w:p>
              </w:tc>
              <w:tc>
                <w:tcPr>
                  <w:tcW w:w="1860" w:type="dxa"/>
                  <w:tcBorders>
                    <w:tl2br w:val="nil"/>
                    <w:tr2bl w:val="nil"/>
                  </w:tcBorders>
                  <w:noWrap w:val="0"/>
                  <w:vAlign w:val="center"/>
                </w:tcPr>
                <w:p w14:paraId="5AACC53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2</w:t>
                  </w:r>
                </w:p>
              </w:tc>
              <w:tc>
                <w:tcPr>
                  <w:tcW w:w="1148" w:type="dxa"/>
                  <w:tcBorders>
                    <w:tl2br w:val="nil"/>
                    <w:tr2bl w:val="nil"/>
                  </w:tcBorders>
                  <w:noWrap w:val="0"/>
                  <w:vAlign w:val="center"/>
                </w:tcPr>
                <w:p w14:paraId="05A84D1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7E78E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50" w:type="dxa"/>
                  <w:tcBorders>
                    <w:tl2br w:val="nil"/>
                    <w:tr2bl w:val="nil"/>
                  </w:tcBorders>
                  <w:noWrap w:val="0"/>
                  <w:vAlign w:val="center"/>
                </w:tcPr>
                <w:p w14:paraId="36A203B1">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46BD28C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双色板漏</w:t>
                  </w:r>
                </w:p>
              </w:tc>
              <w:tc>
                <w:tcPr>
                  <w:tcW w:w="1395" w:type="dxa"/>
                  <w:tcBorders>
                    <w:tl2br w:val="nil"/>
                    <w:tr2bl w:val="nil"/>
                  </w:tcBorders>
                  <w:noWrap w:val="0"/>
                  <w:vAlign w:val="center"/>
                </w:tcPr>
                <w:p w14:paraId="5BC7A38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4</w:t>
                  </w:r>
                </w:p>
              </w:tc>
              <w:tc>
                <w:tcPr>
                  <w:tcW w:w="1860" w:type="dxa"/>
                  <w:tcBorders>
                    <w:tl2br w:val="nil"/>
                    <w:tr2bl w:val="nil"/>
                  </w:tcBorders>
                  <w:noWrap w:val="0"/>
                  <w:vAlign w:val="center"/>
                </w:tcPr>
                <w:p w14:paraId="77E9330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4</w:t>
                  </w:r>
                </w:p>
              </w:tc>
              <w:tc>
                <w:tcPr>
                  <w:tcW w:w="1148" w:type="dxa"/>
                  <w:tcBorders>
                    <w:tl2br w:val="nil"/>
                    <w:tr2bl w:val="nil"/>
                  </w:tcBorders>
                  <w:noWrap w:val="0"/>
                  <w:vAlign w:val="center"/>
                </w:tcPr>
                <w:p w14:paraId="35CF6C1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705AC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50" w:type="dxa"/>
                  <w:tcBorders>
                    <w:tl2br w:val="nil"/>
                    <w:tr2bl w:val="nil"/>
                  </w:tcBorders>
                  <w:noWrap w:val="0"/>
                  <w:vAlign w:val="center"/>
                </w:tcPr>
                <w:p w14:paraId="76DDB024">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1C427E1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rPr>
                  </w:pPr>
                  <w:r>
                    <w:rPr>
                      <w:rFonts w:hint="eastAsia"/>
                      <w:color w:val="auto"/>
                      <w:highlight w:val="none"/>
                      <w:lang w:val="en-US" w:eastAsia="zh-CN"/>
                    </w:rPr>
                    <w:t>传感器穿线板</w:t>
                  </w:r>
                </w:p>
              </w:tc>
              <w:tc>
                <w:tcPr>
                  <w:tcW w:w="1395" w:type="dxa"/>
                  <w:tcBorders>
                    <w:tl2br w:val="nil"/>
                    <w:tr2bl w:val="nil"/>
                  </w:tcBorders>
                  <w:noWrap w:val="0"/>
                  <w:vAlign w:val="center"/>
                </w:tcPr>
                <w:p w14:paraId="4502E7D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w:t>
                  </w:r>
                </w:p>
              </w:tc>
              <w:tc>
                <w:tcPr>
                  <w:tcW w:w="1860" w:type="dxa"/>
                  <w:tcBorders>
                    <w:tl2br w:val="nil"/>
                    <w:tr2bl w:val="nil"/>
                  </w:tcBorders>
                  <w:noWrap w:val="0"/>
                  <w:vAlign w:val="center"/>
                </w:tcPr>
                <w:p w14:paraId="000DDEF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w:t>
                  </w:r>
                </w:p>
              </w:tc>
              <w:tc>
                <w:tcPr>
                  <w:tcW w:w="1148" w:type="dxa"/>
                  <w:tcBorders>
                    <w:tl2br w:val="nil"/>
                    <w:tr2bl w:val="nil"/>
                  </w:tcBorders>
                  <w:noWrap w:val="0"/>
                  <w:vAlign w:val="center"/>
                </w:tcPr>
                <w:p w14:paraId="595AB22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12186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7BEC5C66">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78B966C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宋体" w:hAnsi="宋体" w:eastAsia="宋体" w:cs="宋体"/>
                      <w:color w:val="auto"/>
                      <w:sz w:val="21"/>
                      <w:szCs w:val="21"/>
                      <w:highlight w:val="none"/>
                      <w:lang w:val="en-US" w:eastAsia="zh-CN"/>
                    </w:rPr>
                  </w:pPr>
                  <w:r>
                    <w:rPr>
                      <w:rFonts w:hint="eastAsia"/>
                      <w:color w:val="auto"/>
                      <w:highlight w:val="none"/>
                      <w:lang w:val="en-US" w:eastAsia="zh-CN"/>
                    </w:rPr>
                    <w:t>低温恒定湿热试验箱</w:t>
                  </w:r>
                </w:p>
              </w:tc>
              <w:tc>
                <w:tcPr>
                  <w:tcW w:w="1395" w:type="dxa"/>
                  <w:tcBorders>
                    <w:tl2br w:val="nil"/>
                    <w:tr2bl w:val="nil"/>
                  </w:tcBorders>
                  <w:noWrap w:val="0"/>
                  <w:vAlign w:val="center"/>
                </w:tcPr>
                <w:p w14:paraId="481A1F9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w:t>
                  </w:r>
                </w:p>
              </w:tc>
              <w:tc>
                <w:tcPr>
                  <w:tcW w:w="1860" w:type="dxa"/>
                  <w:tcBorders>
                    <w:tl2br w:val="nil"/>
                    <w:tr2bl w:val="nil"/>
                  </w:tcBorders>
                  <w:noWrap w:val="0"/>
                  <w:vAlign w:val="center"/>
                </w:tcPr>
                <w:p w14:paraId="4E595E7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w:t>
                  </w:r>
                </w:p>
              </w:tc>
              <w:tc>
                <w:tcPr>
                  <w:tcW w:w="1148" w:type="dxa"/>
                  <w:tcBorders>
                    <w:tl2br w:val="nil"/>
                    <w:tr2bl w:val="nil"/>
                  </w:tcBorders>
                  <w:noWrap w:val="0"/>
                  <w:vAlign w:val="center"/>
                </w:tcPr>
                <w:p w14:paraId="690A119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55DD7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610C6F0D">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54E12E0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宋体" w:hAnsi="宋体" w:eastAsia="宋体" w:cs="宋体"/>
                      <w:color w:val="auto"/>
                      <w:sz w:val="21"/>
                      <w:szCs w:val="21"/>
                      <w:highlight w:val="none"/>
                      <w:lang w:val="en-US" w:eastAsia="zh-CN"/>
                    </w:rPr>
                  </w:pPr>
                  <w:r>
                    <w:rPr>
                      <w:rFonts w:hint="eastAsia"/>
                      <w:color w:val="auto"/>
                      <w:highlight w:val="none"/>
                      <w:lang w:val="en-US" w:eastAsia="zh-CN"/>
                    </w:rPr>
                    <w:t>老化试验箱</w:t>
                  </w:r>
                </w:p>
              </w:tc>
              <w:tc>
                <w:tcPr>
                  <w:tcW w:w="1395" w:type="dxa"/>
                  <w:tcBorders>
                    <w:tl2br w:val="nil"/>
                    <w:tr2bl w:val="nil"/>
                  </w:tcBorders>
                  <w:noWrap w:val="0"/>
                  <w:vAlign w:val="center"/>
                </w:tcPr>
                <w:p w14:paraId="51F9EC1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w:t>
                  </w:r>
                </w:p>
              </w:tc>
              <w:tc>
                <w:tcPr>
                  <w:tcW w:w="1860" w:type="dxa"/>
                  <w:tcBorders>
                    <w:tl2br w:val="nil"/>
                    <w:tr2bl w:val="nil"/>
                  </w:tcBorders>
                  <w:noWrap w:val="0"/>
                  <w:vAlign w:val="center"/>
                </w:tcPr>
                <w:p w14:paraId="05B2E0A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w:t>
                  </w:r>
                </w:p>
              </w:tc>
              <w:tc>
                <w:tcPr>
                  <w:tcW w:w="1148" w:type="dxa"/>
                  <w:tcBorders>
                    <w:tl2br w:val="nil"/>
                    <w:tr2bl w:val="nil"/>
                  </w:tcBorders>
                  <w:noWrap w:val="0"/>
                  <w:vAlign w:val="center"/>
                </w:tcPr>
                <w:p w14:paraId="39FC9C0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7D83F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6168BE15">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6EB32E0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老化试验工具箱</w:t>
                  </w:r>
                </w:p>
              </w:tc>
              <w:tc>
                <w:tcPr>
                  <w:tcW w:w="1395" w:type="dxa"/>
                  <w:tcBorders>
                    <w:tl2br w:val="nil"/>
                    <w:tr2bl w:val="nil"/>
                  </w:tcBorders>
                  <w:noWrap w:val="0"/>
                  <w:vAlign w:val="center"/>
                </w:tcPr>
                <w:p w14:paraId="5801410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w:t>
                  </w:r>
                </w:p>
              </w:tc>
              <w:tc>
                <w:tcPr>
                  <w:tcW w:w="1860" w:type="dxa"/>
                  <w:tcBorders>
                    <w:tl2br w:val="nil"/>
                    <w:tr2bl w:val="nil"/>
                  </w:tcBorders>
                  <w:noWrap w:val="0"/>
                  <w:vAlign w:val="center"/>
                </w:tcPr>
                <w:p w14:paraId="7EA7279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olor w:val="auto"/>
                      <w:highlight w:val="none"/>
                      <w:lang w:val="en-US" w:eastAsia="zh-CN"/>
                    </w:rPr>
                    <w:t>1</w:t>
                  </w:r>
                </w:p>
              </w:tc>
              <w:tc>
                <w:tcPr>
                  <w:tcW w:w="1148" w:type="dxa"/>
                  <w:tcBorders>
                    <w:tl2br w:val="nil"/>
                    <w:tr2bl w:val="nil"/>
                  </w:tcBorders>
                  <w:noWrap w:val="0"/>
                  <w:vAlign w:val="center"/>
                </w:tcPr>
                <w:p w14:paraId="0A843C8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0D8B5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1AA5E400">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69F3858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电动手枪钻</w:t>
                  </w:r>
                </w:p>
              </w:tc>
              <w:tc>
                <w:tcPr>
                  <w:tcW w:w="1395" w:type="dxa"/>
                  <w:tcBorders>
                    <w:tl2br w:val="nil"/>
                    <w:tr2bl w:val="nil"/>
                  </w:tcBorders>
                  <w:noWrap w:val="0"/>
                  <w:vAlign w:val="center"/>
                </w:tcPr>
                <w:p w14:paraId="4CA046C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s="Times New Roman"/>
                      <w:bCs/>
                      <w:color w:val="auto"/>
                      <w:sz w:val="21"/>
                      <w:szCs w:val="21"/>
                      <w:highlight w:val="none"/>
                      <w:lang w:val="en-US" w:eastAsia="zh-CN"/>
                    </w:rPr>
                  </w:pPr>
                  <w:r>
                    <w:rPr>
                      <w:rFonts w:hint="eastAsia"/>
                      <w:color w:val="auto"/>
                      <w:highlight w:val="none"/>
                      <w:lang w:val="en-US" w:eastAsia="zh-CN"/>
                    </w:rPr>
                    <w:t>6</w:t>
                  </w:r>
                </w:p>
              </w:tc>
              <w:tc>
                <w:tcPr>
                  <w:tcW w:w="1860" w:type="dxa"/>
                  <w:tcBorders>
                    <w:tl2br w:val="nil"/>
                    <w:tr2bl w:val="nil"/>
                  </w:tcBorders>
                  <w:noWrap w:val="0"/>
                  <w:vAlign w:val="center"/>
                </w:tcPr>
                <w:p w14:paraId="1461077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6</w:t>
                  </w:r>
                </w:p>
              </w:tc>
              <w:tc>
                <w:tcPr>
                  <w:tcW w:w="1148" w:type="dxa"/>
                  <w:tcBorders>
                    <w:tl2br w:val="nil"/>
                    <w:tr2bl w:val="nil"/>
                  </w:tcBorders>
                  <w:noWrap w:val="0"/>
                  <w:vAlign w:val="center"/>
                </w:tcPr>
                <w:p w14:paraId="51E4D56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28F12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567CE020">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6AA01CA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吸尘器</w:t>
                  </w:r>
                </w:p>
              </w:tc>
              <w:tc>
                <w:tcPr>
                  <w:tcW w:w="1395" w:type="dxa"/>
                  <w:tcBorders>
                    <w:tl2br w:val="nil"/>
                    <w:tr2bl w:val="nil"/>
                  </w:tcBorders>
                  <w:noWrap w:val="0"/>
                  <w:vAlign w:val="center"/>
                </w:tcPr>
                <w:p w14:paraId="3D93432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s="Times New Roman"/>
                      <w:bCs/>
                      <w:color w:val="auto"/>
                      <w:sz w:val="21"/>
                      <w:szCs w:val="21"/>
                      <w:highlight w:val="none"/>
                      <w:lang w:val="en-US" w:eastAsia="zh-CN"/>
                    </w:rPr>
                  </w:pPr>
                  <w:r>
                    <w:rPr>
                      <w:rFonts w:hint="eastAsia"/>
                      <w:color w:val="auto"/>
                      <w:highlight w:val="none"/>
                      <w:lang w:val="en-US" w:eastAsia="zh-CN"/>
                    </w:rPr>
                    <w:t>3</w:t>
                  </w:r>
                </w:p>
              </w:tc>
              <w:tc>
                <w:tcPr>
                  <w:tcW w:w="1860" w:type="dxa"/>
                  <w:tcBorders>
                    <w:tl2br w:val="nil"/>
                    <w:tr2bl w:val="nil"/>
                  </w:tcBorders>
                  <w:noWrap w:val="0"/>
                  <w:vAlign w:val="center"/>
                </w:tcPr>
                <w:p w14:paraId="67131C6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3</w:t>
                  </w:r>
                </w:p>
              </w:tc>
              <w:tc>
                <w:tcPr>
                  <w:tcW w:w="1148" w:type="dxa"/>
                  <w:tcBorders>
                    <w:tl2br w:val="nil"/>
                    <w:tr2bl w:val="nil"/>
                  </w:tcBorders>
                  <w:noWrap w:val="0"/>
                  <w:vAlign w:val="center"/>
                </w:tcPr>
                <w:p w14:paraId="72DEE92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320A1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521F8F2D">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76D3F48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打号机</w:t>
                  </w:r>
                </w:p>
              </w:tc>
              <w:tc>
                <w:tcPr>
                  <w:tcW w:w="1395" w:type="dxa"/>
                  <w:tcBorders>
                    <w:tl2br w:val="nil"/>
                    <w:tr2bl w:val="nil"/>
                  </w:tcBorders>
                  <w:noWrap w:val="0"/>
                  <w:vAlign w:val="center"/>
                </w:tcPr>
                <w:p w14:paraId="06444A4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s="Times New Roman"/>
                      <w:bCs/>
                      <w:color w:val="auto"/>
                      <w:sz w:val="21"/>
                      <w:szCs w:val="21"/>
                      <w:highlight w:val="none"/>
                      <w:lang w:val="en-US" w:eastAsia="zh-CN"/>
                    </w:rPr>
                  </w:pPr>
                  <w:r>
                    <w:rPr>
                      <w:rFonts w:hint="eastAsia"/>
                      <w:color w:val="auto"/>
                      <w:highlight w:val="none"/>
                      <w:lang w:val="en-US" w:eastAsia="zh-CN"/>
                    </w:rPr>
                    <w:t>2</w:t>
                  </w:r>
                </w:p>
              </w:tc>
              <w:tc>
                <w:tcPr>
                  <w:tcW w:w="1860" w:type="dxa"/>
                  <w:tcBorders>
                    <w:tl2br w:val="nil"/>
                    <w:tr2bl w:val="nil"/>
                  </w:tcBorders>
                  <w:noWrap w:val="0"/>
                  <w:vAlign w:val="center"/>
                </w:tcPr>
                <w:p w14:paraId="330E7FE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2</w:t>
                  </w:r>
                </w:p>
              </w:tc>
              <w:tc>
                <w:tcPr>
                  <w:tcW w:w="1148" w:type="dxa"/>
                  <w:tcBorders>
                    <w:tl2br w:val="nil"/>
                    <w:tr2bl w:val="nil"/>
                  </w:tcBorders>
                  <w:noWrap w:val="0"/>
                  <w:vAlign w:val="center"/>
                </w:tcPr>
                <w:p w14:paraId="78B6E1A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2E35A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76FF0F7C">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045FA2F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双面移动物料整理架</w:t>
                  </w:r>
                </w:p>
              </w:tc>
              <w:tc>
                <w:tcPr>
                  <w:tcW w:w="1395" w:type="dxa"/>
                  <w:tcBorders>
                    <w:tl2br w:val="nil"/>
                    <w:tr2bl w:val="nil"/>
                  </w:tcBorders>
                  <w:noWrap w:val="0"/>
                  <w:vAlign w:val="center"/>
                </w:tcPr>
                <w:p w14:paraId="4605B2D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s="Times New Roman"/>
                      <w:bCs/>
                      <w:color w:val="auto"/>
                      <w:sz w:val="21"/>
                      <w:szCs w:val="21"/>
                      <w:highlight w:val="none"/>
                      <w:lang w:val="en-US" w:eastAsia="zh-CN"/>
                    </w:rPr>
                  </w:pPr>
                  <w:r>
                    <w:rPr>
                      <w:rFonts w:hint="eastAsia"/>
                      <w:color w:val="auto"/>
                      <w:highlight w:val="none"/>
                      <w:lang w:val="en-US" w:eastAsia="zh-CN"/>
                    </w:rPr>
                    <w:t>60</w:t>
                  </w:r>
                </w:p>
              </w:tc>
              <w:tc>
                <w:tcPr>
                  <w:tcW w:w="1860" w:type="dxa"/>
                  <w:tcBorders>
                    <w:tl2br w:val="nil"/>
                    <w:tr2bl w:val="nil"/>
                  </w:tcBorders>
                  <w:noWrap w:val="0"/>
                  <w:vAlign w:val="center"/>
                </w:tcPr>
                <w:p w14:paraId="2ABFDF8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60</w:t>
                  </w:r>
                </w:p>
              </w:tc>
              <w:tc>
                <w:tcPr>
                  <w:tcW w:w="1148" w:type="dxa"/>
                  <w:tcBorders>
                    <w:tl2br w:val="nil"/>
                    <w:tr2bl w:val="nil"/>
                  </w:tcBorders>
                  <w:noWrap w:val="0"/>
                  <w:vAlign w:val="center"/>
                </w:tcPr>
                <w:p w14:paraId="34E6819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6F452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529AA4FC">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3400A7A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材料车</w:t>
                  </w:r>
                </w:p>
              </w:tc>
              <w:tc>
                <w:tcPr>
                  <w:tcW w:w="1395" w:type="dxa"/>
                  <w:tcBorders>
                    <w:tl2br w:val="nil"/>
                    <w:tr2bl w:val="nil"/>
                  </w:tcBorders>
                  <w:noWrap w:val="0"/>
                  <w:vAlign w:val="center"/>
                </w:tcPr>
                <w:p w14:paraId="3996B3AF">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s="Times New Roman"/>
                      <w:bCs/>
                      <w:color w:val="auto"/>
                      <w:sz w:val="21"/>
                      <w:szCs w:val="21"/>
                      <w:highlight w:val="none"/>
                      <w:lang w:val="en-US" w:eastAsia="zh-CN"/>
                    </w:rPr>
                  </w:pPr>
                  <w:r>
                    <w:rPr>
                      <w:rFonts w:hint="eastAsia"/>
                      <w:color w:val="auto"/>
                      <w:highlight w:val="none"/>
                      <w:lang w:val="en-US" w:eastAsia="zh-CN"/>
                    </w:rPr>
                    <w:t>42</w:t>
                  </w:r>
                </w:p>
              </w:tc>
              <w:tc>
                <w:tcPr>
                  <w:tcW w:w="1860" w:type="dxa"/>
                  <w:tcBorders>
                    <w:tl2br w:val="nil"/>
                    <w:tr2bl w:val="nil"/>
                  </w:tcBorders>
                  <w:noWrap w:val="0"/>
                  <w:vAlign w:val="center"/>
                </w:tcPr>
                <w:p w14:paraId="47914F9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none"/>
                      <w:lang w:val="en-US" w:eastAsia="zh-CN"/>
                    </w:rPr>
                  </w:pPr>
                  <w:r>
                    <w:rPr>
                      <w:rFonts w:hint="eastAsia"/>
                      <w:color w:val="auto"/>
                      <w:highlight w:val="none"/>
                      <w:lang w:val="en-US" w:eastAsia="zh-CN"/>
                    </w:rPr>
                    <w:t>42</w:t>
                  </w:r>
                </w:p>
              </w:tc>
              <w:tc>
                <w:tcPr>
                  <w:tcW w:w="1148" w:type="dxa"/>
                  <w:tcBorders>
                    <w:tl2br w:val="nil"/>
                    <w:tr2bl w:val="nil"/>
                  </w:tcBorders>
                  <w:noWrap w:val="0"/>
                  <w:vAlign w:val="center"/>
                </w:tcPr>
                <w:p w14:paraId="32BCC99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14:paraId="278AE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7D2F3A0B">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0C97A0C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角磨机</w:t>
                  </w:r>
                </w:p>
              </w:tc>
              <w:tc>
                <w:tcPr>
                  <w:tcW w:w="1395" w:type="dxa"/>
                  <w:tcBorders>
                    <w:tl2br w:val="nil"/>
                    <w:tr2bl w:val="nil"/>
                  </w:tcBorders>
                  <w:noWrap w:val="0"/>
                  <w:vAlign w:val="center"/>
                </w:tcPr>
                <w:p w14:paraId="6CF5AC1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0590A47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olor w:val="auto"/>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148" w:type="dxa"/>
                  <w:tcBorders>
                    <w:tl2br w:val="nil"/>
                    <w:tr2bl w:val="nil"/>
                  </w:tcBorders>
                  <w:noWrap w:val="0"/>
                  <w:vAlign w:val="center"/>
                </w:tcPr>
                <w:p w14:paraId="73B46C2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w:t>
                  </w:r>
                </w:p>
              </w:tc>
            </w:tr>
            <w:tr w14:paraId="0FFDC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545066CC">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6E5F7C5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喷漆房</w:t>
                  </w:r>
                </w:p>
              </w:tc>
              <w:tc>
                <w:tcPr>
                  <w:tcW w:w="1395" w:type="dxa"/>
                  <w:tcBorders>
                    <w:tl2br w:val="nil"/>
                    <w:tr2bl w:val="nil"/>
                  </w:tcBorders>
                  <w:noWrap w:val="0"/>
                  <w:vAlign w:val="center"/>
                </w:tcPr>
                <w:p w14:paraId="40B87D2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3F949F7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148" w:type="dxa"/>
                  <w:tcBorders>
                    <w:tl2br w:val="nil"/>
                    <w:tr2bl w:val="nil"/>
                  </w:tcBorders>
                  <w:noWrap w:val="0"/>
                  <w:vAlign w:val="center"/>
                </w:tcPr>
                <w:p w14:paraId="409C5B2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r>
            <w:tr w14:paraId="42E4C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478F81C6">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1192A8E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烘干房</w:t>
                  </w:r>
                </w:p>
              </w:tc>
              <w:tc>
                <w:tcPr>
                  <w:tcW w:w="1395" w:type="dxa"/>
                  <w:tcBorders>
                    <w:tl2br w:val="nil"/>
                    <w:tr2bl w:val="nil"/>
                  </w:tcBorders>
                  <w:noWrap w:val="0"/>
                  <w:vAlign w:val="center"/>
                </w:tcPr>
                <w:p w14:paraId="1D30B9A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6B4EDAE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148" w:type="dxa"/>
                  <w:tcBorders>
                    <w:tl2br w:val="nil"/>
                    <w:tr2bl w:val="nil"/>
                  </w:tcBorders>
                  <w:noWrap w:val="0"/>
                  <w:vAlign w:val="center"/>
                </w:tcPr>
                <w:p w14:paraId="379EE36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14:paraId="6ACAF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4CCBA004">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0B04AD1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感应调压器</w:t>
                  </w:r>
                </w:p>
              </w:tc>
              <w:tc>
                <w:tcPr>
                  <w:tcW w:w="1395" w:type="dxa"/>
                  <w:tcBorders>
                    <w:tl2br w:val="nil"/>
                    <w:tr2bl w:val="nil"/>
                  </w:tcBorders>
                  <w:noWrap w:val="0"/>
                  <w:vAlign w:val="center"/>
                </w:tcPr>
                <w:p w14:paraId="14EE71B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0ED8AC3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2A2B636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1CD0D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526700D7">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02D2204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变频调速用油浸式整流变压器</w:t>
                  </w:r>
                </w:p>
              </w:tc>
              <w:tc>
                <w:tcPr>
                  <w:tcW w:w="1395" w:type="dxa"/>
                  <w:tcBorders>
                    <w:tl2br w:val="nil"/>
                    <w:tr2bl w:val="nil"/>
                  </w:tcBorders>
                  <w:noWrap w:val="0"/>
                  <w:vAlign w:val="center"/>
                </w:tcPr>
                <w:p w14:paraId="7E873561">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65F6342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271E72B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6E5A0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23A410EE">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40AEBB5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干式变压器</w:t>
                  </w:r>
                </w:p>
              </w:tc>
              <w:tc>
                <w:tcPr>
                  <w:tcW w:w="1395" w:type="dxa"/>
                  <w:tcBorders>
                    <w:tl2br w:val="nil"/>
                    <w:tr2bl w:val="nil"/>
                  </w:tcBorders>
                  <w:noWrap w:val="0"/>
                  <w:vAlign w:val="center"/>
                </w:tcPr>
                <w:p w14:paraId="38BA073A">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5232E8D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1140B33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30A78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21B03A44">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48AE61F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油浸变压器</w:t>
                  </w:r>
                </w:p>
              </w:tc>
              <w:tc>
                <w:tcPr>
                  <w:tcW w:w="1395" w:type="dxa"/>
                  <w:tcBorders>
                    <w:tl2br w:val="nil"/>
                    <w:tr2bl w:val="nil"/>
                  </w:tcBorders>
                  <w:noWrap w:val="0"/>
                  <w:vAlign w:val="center"/>
                </w:tcPr>
                <w:p w14:paraId="4EBD00D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617135C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76DD2E5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2A2CD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4D9F01A0">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5AD96C3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干式整流变压器</w:t>
                  </w:r>
                </w:p>
              </w:tc>
              <w:tc>
                <w:tcPr>
                  <w:tcW w:w="1395" w:type="dxa"/>
                  <w:tcBorders>
                    <w:tl2br w:val="nil"/>
                    <w:tr2bl w:val="nil"/>
                  </w:tcBorders>
                  <w:noWrap w:val="0"/>
                  <w:vAlign w:val="center"/>
                </w:tcPr>
                <w:p w14:paraId="02DEEEF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4DB0845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46D7EB2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3260E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36E1D26D">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113C181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干式整流变压器</w:t>
                  </w:r>
                </w:p>
              </w:tc>
              <w:tc>
                <w:tcPr>
                  <w:tcW w:w="1395" w:type="dxa"/>
                  <w:tcBorders>
                    <w:tl2br w:val="nil"/>
                    <w:tr2bl w:val="nil"/>
                  </w:tcBorders>
                  <w:noWrap w:val="0"/>
                  <w:vAlign w:val="center"/>
                </w:tcPr>
                <w:p w14:paraId="37E0DD3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4EEF5C8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64759E3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702B8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5FCA80AB">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166AF008">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主进线柜</w:t>
                  </w:r>
                </w:p>
              </w:tc>
              <w:tc>
                <w:tcPr>
                  <w:tcW w:w="1395" w:type="dxa"/>
                  <w:tcBorders>
                    <w:tl2br w:val="nil"/>
                    <w:tr2bl w:val="nil"/>
                  </w:tcBorders>
                  <w:noWrap w:val="0"/>
                  <w:vAlign w:val="center"/>
                </w:tcPr>
                <w:p w14:paraId="0E69FAA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329F668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5C7117D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2E67F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39BA21E9">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56D30C1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主进线限流柜</w:t>
                  </w:r>
                </w:p>
              </w:tc>
              <w:tc>
                <w:tcPr>
                  <w:tcW w:w="1395" w:type="dxa"/>
                  <w:tcBorders>
                    <w:tl2br w:val="nil"/>
                    <w:tr2bl w:val="nil"/>
                  </w:tcBorders>
                  <w:noWrap w:val="0"/>
                  <w:vAlign w:val="center"/>
                </w:tcPr>
                <w:p w14:paraId="655A8B4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55E0BB4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195BEE5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6CCA0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78B380F0">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4206A58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陪试变压器进线柜</w:t>
                  </w:r>
                </w:p>
              </w:tc>
              <w:tc>
                <w:tcPr>
                  <w:tcW w:w="1395" w:type="dxa"/>
                  <w:tcBorders>
                    <w:tl2br w:val="nil"/>
                    <w:tr2bl w:val="nil"/>
                  </w:tcBorders>
                  <w:noWrap w:val="0"/>
                  <w:vAlign w:val="center"/>
                </w:tcPr>
                <w:p w14:paraId="30CE3E4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26B24CB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3DFD1A8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46C5C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4FA2B199">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5E8B5BF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被试调压器进线柜</w:t>
                  </w:r>
                </w:p>
              </w:tc>
              <w:tc>
                <w:tcPr>
                  <w:tcW w:w="1395" w:type="dxa"/>
                  <w:tcBorders>
                    <w:tl2br w:val="nil"/>
                    <w:tr2bl w:val="nil"/>
                  </w:tcBorders>
                  <w:noWrap w:val="0"/>
                  <w:vAlign w:val="center"/>
                </w:tcPr>
                <w:p w14:paraId="56A5525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39D21C7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064BA30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40B25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6E106479">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7D1C7B1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陪试变压器出线柜</w:t>
                  </w:r>
                </w:p>
              </w:tc>
              <w:tc>
                <w:tcPr>
                  <w:tcW w:w="1395" w:type="dxa"/>
                  <w:tcBorders>
                    <w:tl2br w:val="nil"/>
                    <w:tr2bl w:val="nil"/>
                  </w:tcBorders>
                  <w:noWrap w:val="0"/>
                  <w:vAlign w:val="center"/>
                </w:tcPr>
                <w:p w14:paraId="5C37EDC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37225E3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1148" w:type="dxa"/>
                  <w:tcBorders>
                    <w:tl2br w:val="nil"/>
                    <w:tr2bl w:val="nil"/>
                  </w:tcBorders>
                  <w:noWrap w:val="0"/>
                  <w:vAlign w:val="center"/>
                </w:tcPr>
                <w:p w14:paraId="1BFE545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r>
            <w:tr w14:paraId="470B3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372D06C5">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6178FB2B">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被试出线柜</w:t>
                  </w:r>
                </w:p>
              </w:tc>
              <w:tc>
                <w:tcPr>
                  <w:tcW w:w="1395" w:type="dxa"/>
                  <w:tcBorders>
                    <w:tl2br w:val="nil"/>
                    <w:tr2bl w:val="nil"/>
                  </w:tcBorders>
                  <w:noWrap w:val="0"/>
                  <w:vAlign w:val="center"/>
                </w:tcPr>
                <w:p w14:paraId="312D877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48DDE28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7D7B5B7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010FC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4352E94C">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3FBC4A9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被试变压器出线柜</w:t>
                  </w:r>
                </w:p>
              </w:tc>
              <w:tc>
                <w:tcPr>
                  <w:tcW w:w="1395" w:type="dxa"/>
                  <w:tcBorders>
                    <w:tl2br w:val="nil"/>
                    <w:tr2bl w:val="nil"/>
                  </w:tcBorders>
                  <w:noWrap w:val="0"/>
                  <w:vAlign w:val="center"/>
                </w:tcPr>
                <w:p w14:paraId="4BCC6E7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0978C32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23155E5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0D3D0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655BBAF4">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2035CBE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陪试高压变频器</w:t>
                  </w:r>
                </w:p>
              </w:tc>
              <w:tc>
                <w:tcPr>
                  <w:tcW w:w="1395" w:type="dxa"/>
                  <w:tcBorders>
                    <w:tl2br w:val="nil"/>
                    <w:tr2bl w:val="nil"/>
                  </w:tcBorders>
                  <w:noWrap w:val="0"/>
                  <w:vAlign w:val="center"/>
                </w:tcPr>
                <w:p w14:paraId="0DB7B65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1B3259F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7E95577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2B525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25FF14B7">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6BB9EEA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陪试机水箱及控制</w:t>
                  </w:r>
                </w:p>
              </w:tc>
              <w:tc>
                <w:tcPr>
                  <w:tcW w:w="1395" w:type="dxa"/>
                  <w:tcBorders>
                    <w:tl2br w:val="nil"/>
                    <w:tr2bl w:val="nil"/>
                  </w:tcBorders>
                  <w:noWrap w:val="0"/>
                  <w:vAlign w:val="center"/>
                </w:tcPr>
                <w:p w14:paraId="26D4E32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74B2E13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1148" w:type="dxa"/>
                  <w:tcBorders>
                    <w:tl2br w:val="nil"/>
                    <w:tr2bl w:val="nil"/>
                  </w:tcBorders>
                  <w:noWrap w:val="0"/>
                  <w:vAlign w:val="center"/>
                </w:tcPr>
                <w:p w14:paraId="0E890E8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r>
            <w:tr w14:paraId="3276A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1FF02E48">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0CC18BF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输出仪表柜</w:t>
                  </w:r>
                </w:p>
              </w:tc>
              <w:tc>
                <w:tcPr>
                  <w:tcW w:w="1395" w:type="dxa"/>
                  <w:tcBorders>
                    <w:tl2br w:val="nil"/>
                    <w:tr2bl w:val="nil"/>
                  </w:tcBorders>
                  <w:noWrap w:val="0"/>
                  <w:vAlign w:val="center"/>
                </w:tcPr>
                <w:p w14:paraId="12C1C58F">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1AC78A4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7FAC9CE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2A8CE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06926611">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12670A6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监视柜</w:t>
                  </w:r>
                </w:p>
              </w:tc>
              <w:tc>
                <w:tcPr>
                  <w:tcW w:w="1395" w:type="dxa"/>
                  <w:tcBorders>
                    <w:tl2br w:val="nil"/>
                    <w:tr2bl w:val="nil"/>
                  </w:tcBorders>
                  <w:noWrap w:val="0"/>
                  <w:vAlign w:val="center"/>
                </w:tcPr>
                <w:p w14:paraId="4FBF5BB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25FC207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4A795A6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3576D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2B6F1684">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7F9CE22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低压辅助配电柜</w:t>
                  </w:r>
                </w:p>
              </w:tc>
              <w:tc>
                <w:tcPr>
                  <w:tcW w:w="1395" w:type="dxa"/>
                  <w:tcBorders>
                    <w:tl2br w:val="nil"/>
                    <w:tr2bl w:val="nil"/>
                  </w:tcBorders>
                  <w:noWrap w:val="0"/>
                  <w:vAlign w:val="center"/>
                </w:tcPr>
                <w:p w14:paraId="25F1DA2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6EF29E5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66EF51BF">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5A714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049DDC9F">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4E23BE2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实验电机</w:t>
                  </w:r>
                </w:p>
              </w:tc>
              <w:tc>
                <w:tcPr>
                  <w:tcW w:w="1395" w:type="dxa"/>
                  <w:tcBorders>
                    <w:tl2br w:val="nil"/>
                    <w:tr2bl w:val="nil"/>
                  </w:tcBorders>
                  <w:noWrap w:val="0"/>
                  <w:vAlign w:val="center"/>
                </w:tcPr>
                <w:p w14:paraId="582E84DF">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0630F94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1148" w:type="dxa"/>
                  <w:tcBorders>
                    <w:tl2br w:val="nil"/>
                    <w:tr2bl w:val="nil"/>
                  </w:tcBorders>
                  <w:noWrap w:val="0"/>
                  <w:vAlign w:val="center"/>
                </w:tcPr>
                <w:p w14:paraId="41CED46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r>
            <w:tr w14:paraId="5AD34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78738185">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43D3311C">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电动机</w:t>
                  </w:r>
                </w:p>
              </w:tc>
              <w:tc>
                <w:tcPr>
                  <w:tcW w:w="1395" w:type="dxa"/>
                  <w:tcBorders>
                    <w:tl2br w:val="nil"/>
                    <w:tr2bl w:val="nil"/>
                  </w:tcBorders>
                  <w:noWrap w:val="0"/>
                  <w:vAlign w:val="center"/>
                </w:tcPr>
                <w:p w14:paraId="21E24F1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648C38B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0E2D08C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2CDA2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72EF3CE8">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0601762E">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智能传感器</w:t>
                  </w:r>
                </w:p>
              </w:tc>
              <w:tc>
                <w:tcPr>
                  <w:tcW w:w="1395" w:type="dxa"/>
                  <w:tcBorders>
                    <w:tl2br w:val="nil"/>
                    <w:tr2bl w:val="nil"/>
                  </w:tcBorders>
                  <w:noWrap w:val="0"/>
                  <w:vAlign w:val="center"/>
                </w:tcPr>
                <w:p w14:paraId="34FF223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4E15C79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1E9AD115">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00290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50" w:type="dxa"/>
                  <w:tcBorders>
                    <w:tl2br w:val="nil"/>
                    <w:tr2bl w:val="nil"/>
                  </w:tcBorders>
                  <w:noWrap w:val="0"/>
                  <w:vAlign w:val="center"/>
                </w:tcPr>
                <w:p w14:paraId="77C8AA32">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5797DE6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电机底座</w:t>
                  </w:r>
                </w:p>
              </w:tc>
              <w:tc>
                <w:tcPr>
                  <w:tcW w:w="1395" w:type="dxa"/>
                  <w:tcBorders>
                    <w:tl2br w:val="nil"/>
                    <w:tr2bl w:val="nil"/>
                  </w:tcBorders>
                  <w:noWrap w:val="0"/>
                  <w:vAlign w:val="center"/>
                </w:tcPr>
                <w:p w14:paraId="2528497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66F860F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622767E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13BA9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0" w:type="dxa"/>
                  <w:tcBorders>
                    <w:tl2br w:val="nil"/>
                    <w:tr2bl w:val="nil"/>
                  </w:tcBorders>
                  <w:noWrap w:val="0"/>
                  <w:vAlign w:val="center"/>
                </w:tcPr>
                <w:p w14:paraId="77650E43">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1C1B17D1">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联轴器</w:t>
                  </w:r>
                </w:p>
              </w:tc>
              <w:tc>
                <w:tcPr>
                  <w:tcW w:w="1395" w:type="dxa"/>
                  <w:tcBorders>
                    <w:tl2br w:val="nil"/>
                    <w:tr2bl w:val="nil"/>
                  </w:tcBorders>
                  <w:noWrap w:val="0"/>
                  <w:vAlign w:val="center"/>
                </w:tcPr>
                <w:p w14:paraId="48BD6BC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7724AEA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148" w:type="dxa"/>
                  <w:tcBorders>
                    <w:tl2br w:val="nil"/>
                    <w:tr2bl w:val="nil"/>
                  </w:tcBorders>
                  <w:noWrap w:val="0"/>
                  <w:vAlign w:val="center"/>
                </w:tcPr>
                <w:p w14:paraId="64654E2D">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r>
            <w:tr w14:paraId="14990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50" w:type="dxa"/>
                  <w:tcBorders>
                    <w:tl2br w:val="nil"/>
                    <w:tr2bl w:val="nil"/>
                  </w:tcBorders>
                  <w:noWrap w:val="0"/>
                  <w:vAlign w:val="center"/>
                </w:tcPr>
                <w:p w14:paraId="2D60BBFB">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0811747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default" w:ascii="Times New Roman" w:hAnsi="Times New Roman" w:cs="Times New Roman"/>
                      <w:bCs/>
                      <w:color w:val="auto"/>
                      <w:sz w:val="21"/>
                      <w:szCs w:val="21"/>
                      <w:highlight w:val="none"/>
                      <w:lang w:val="en-US" w:eastAsia="zh-CN"/>
                    </w:rPr>
                    <w:t>干式喷漆柜+过滤棉箱过滤+</w:t>
                  </w:r>
                  <w:r>
                    <w:rPr>
                      <w:rFonts w:hint="eastAsia" w:ascii="Times New Roman" w:hAnsi="Times New Roman" w:cs="Times New Roman"/>
                      <w:bCs/>
                      <w:color w:val="auto"/>
                      <w:sz w:val="21"/>
                      <w:szCs w:val="21"/>
                      <w:highlight w:val="none"/>
                      <w:lang w:val="en-US" w:eastAsia="zh-CN"/>
                    </w:rPr>
                    <w:t>沸石转轮</w:t>
                  </w:r>
                  <w:r>
                    <w:rPr>
                      <w:rFonts w:hint="default" w:ascii="Times New Roman" w:hAnsi="Times New Roman" w:cs="Times New Roman"/>
                      <w:bCs/>
                      <w:color w:val="auto"/>
                      <w:sz w:val="21"/>
                      <w:szCs w:val="21"/>
                      <w:highlight w:val="none"/>
                      <w:lang w:val="en-US" w:eastAsia="zh-CN"/>
                    </w:rPr>
                    <w:t>+催化燃烧装置</w:t>
                  </w:r>
                </w:p>
              </w:tc>
              <w:tc>
                <w:tcPr>
                  <w:tcW w:w="1395" w:type="dxa"/>
                  <w:tcBorders>
                    <w:tl2br w:val="nil"/>
                    <w:tr2bl w:val="nil"/>
                  </w:tcBorders>
                  <w:noWrap w:val="0"/>
                  <w:vAlign w:val="center"/>
                </w:tcPr>
                <w:p w14:paraId="449AC4D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56A8D46A">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148" w:type="dxa"/>
                  <w:tcBorders>
                    <w:tl2br w:val="nil"/>
                    <w:tr2bl w:val="nil"/>
                  </w:tcBorders>
                  <w:noWrap w:val="0"/>
                  <w:vAlign w:val="center"/>
                </w:tcPr>
                <w:p w14:paraId="3264C8B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14:paraId="25E18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0" w:type="dxa"/>
                  <w:tcBorders>
                    <w:tl2br w:val="nil"/>
                    <w:tr2bl w:val="nil"/>
                  </w:tcBorders>
                  <w:noWrap w:val="0"/>
                  <w:vAlign w:val="center"/>
                </w:tcPr>
                <w:p w14:paraId="3941C67B">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48863BA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脉冲布袋除尘器</w:t>
                  </w:r>
                </w:p>
              </w:tc>
              <w:tc>
                <w:tcPr>
                  <w:tcW w:w="1395" w:type="dxa"/>
                  <w:tcBorders>
                    <w:tl2br w:val="nil"/>
                    <w:tr2bl w:val="nil"/>
                  </w:tcBorders>
                  <w:noWrap w:val="0"/>
                  <w:vAlign w:val="center"/>
                </w:tcPr>
                <w:p w14:paraId="6B927FB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027EFC4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148" w:type="dxa"/>
                  <w:tcBorders>
                    <w:tl2br w:val="nil"/>
                    <w:tr2bl w:val="nil"/>
                  </w:tcBorders>
                  <w:noWrap w:val="0"/>
                  <w:vAlign w:val="center"/>
                </w:tcPr>
                <w:p w14:paraId="7D5FEC9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14:paraId="2C676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50" w:type="dxa"/>
                  <w:tcBorders>
                    <w:tl2br w:val="nil"/>
                    <w:tr2bl w:val="nil"/>
                  </w:tcBorders>
                  <w:noWrap w:val="0"/>
                  <w:vAlign w:val="center"/>
                </w:tcPr>
                <w:p w14:paraId="4AC434C6">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5B796822">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空压机</w:t>
                  </w:r>
                </w:p>
              </w:tc>
              <w:tc>
                <w:tcPr>
                  <w:tcW w:w="1395" w:type="dxa"/>
                  <w:tcBorders>
                    <w:tl2br w:val="nil"/>
                    <w:tr2bl w:val="nil"/>
                  </w:tcBorders>
                  <w:noWrap w:val="0"/>
                  <w:vAlign w:val="center"/>
                </w:tcPr>
                <w:p w14:paraId="554805C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6417D49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olor w:val="auto"/>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148" w:type="dxa"/>
                  <w:tcBorders>
                    <w:tl2br w:val="nil"/>
                    <w:tr2bl w:val="nil"/>
                  </w:tcBorders>
                  <w:noWrap w:val="0"/>
                  <w:vAlign w:val="center"/>
                </w:tcPr>
                <w:p w14:paraId="68D4998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r>
            <w:tr w14:paraId="56315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50" w:type="dxa"/>
                  <w:tcBorders>
                    <w:tl2br w:val="nil"/>
                    <w:tr2bl w:val="nil"/>
                  </w:tcBorders>
                  <w:noWrap w:val="0"/>
                  <w:vAlign w:val="center"/>
                </w:tcPr>
                <w:p w14:paraId="74F5FBEF">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41E57046">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行车</w:t>
                  </w:r>
                </w:p>
              </w:tc>
              <w:tc>
                <w:tcPr>
                  <w:tcW w:w="1395" w:type="dxa"/>
                  <w:tcBorders>
                    <w:tl2br w:val="nil"/>
                    <w:tr2bl w:val="nil"/>
                  </w:tcBorders>
                  <w:noWrap w:val="0"/>
                  <w:vAlign w:val="center"/>
                </w:tcPr>
                <w:p w14:paraId="339D211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236920E4">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w:t>
                  </w:r>
                </w:p>
              </w:tc>
              <w:tc>
                <w:tcPr>
                  <w:tcW w:w="1148" w:type="dxa"/>
                  <w:tcBorders>
                    <w:tl2br w:val="nil"/>
                    <w:tr2bl w:val="nil"/>
                  </w:tcBorders>
                  <w:noWrap w:val="0"/>
                  <w:vAlign w:val="center"/>
                </w:tcPr>
                <w:p w14:paraId="0009F4E3">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w:t>
                  </w:r>
                </w:p>
              </w:tc>
            </w:tr>
            <w:tr w14:paraId="1E609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50" w:type="dxa"/>
                  <w:tcBorders>
                    <w:tl2br w:val="nil"/>
                    <w:tr2bl w:val="nil"/>
                  </w:tcBorders>
                  <w:noWrap w:val="0"/>
                  <w:vAlign w:val="center"/>
                </w:tcPr>
                <w:p w14:paraId="2964E745">
                  <w:pPr>
                    <w:pStyle w:val="40"/>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3024" w:type="dxa"/>
                  <w:tcBorders>
                    <w:tl2br w:val="nil"/>
                    <w:tr2bl w:val="nil"/>
                  </w:tcBorders>
                  <w:noWrap w:val="0"/>
                  <w:vAlign w:val="center"/>
                </w:tcPr>
                <w:p w14:paraId="7F53BF09">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空压机</w:t>
                  </w:r>
                </w:p>
              </w:tc>
              <w:tc>
                <w:tcPr>
                  <w:tcW w:w="1395" w:type="dxa"/>
                  <w:tcBorders>
                    <w:tl2br w:val="nil"/>
                    <w:tr2bl w:val="nil"/>
                  </w:tcBorders>
                  <w:noWrap w:val="0"/>
                  <w:vAlign w:val="center"/>
                </w:tcPr>
                <w:p w14:paraId="2AFB1B0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highlight w:val="none"/>
                      <w:lang w:val="en-US" w:eastAsia="zh-CN"/>
                    </w:rPr>
                  </w:pPr>
                  <w:r>
                    <w:rPr>
                      <w:rFonts w:hint="eastAsia"/>
                      <w:color w:val="auto"/>
                      <w:highlight w:val="none"/>
                      <w:lang w:val="en-US" w:eastAsia="zh-CN"/>
                    </w:rPr>
                    <w:t>0</w:t>
                  </w:r>
                </w:p>
              </w:tc>
              <w:tc>
                <w:tcPr>
                  <w:tcW w:w="1860" w:type="dxa"/>
                  <w:tcBorders>
                    <w:tl2br w:val="nil"/>
                    <w:tr2bl w:val="nil"/>
                  </w:tcBorders>
                  <w:noWrap w:val="0"/>
                  <w:vAlign w:val="center"/>
                </w:tcPr>
                <w:p w14:paraId="48C36E20">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148" w:type="dxa"/>
                  <w:tcBorders>
                    <w:tl2br w:val="nil"/>
                    <w:tr2bl w:val="nil"/>
                  </w:tcBorders>
                  <w:noWrap w:val="0"/>
                  <w:vAlign w:val="center"/>
                </w:tcPr>
                <w:p w14:paraId="5547BCA7">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r>
          </w:tbl>
          <w:p w14:paraId="3F05A957">
            <w:pPr>
              <w:bidi w:val="0"/>
              <w:rPr>
                <w:rFonts w:hint="default" w:eastAsia="宋体"/>
                <w:color w:val="auto"/>
                <w:sz w:val="24"/>
                <w:szCs w:val="24"/>
                <w:highlight w:val="none"/>
                <w:lang w:val="en-US" w:eastAsia="zh-CN"/>
              </w:rPr>
            </w:pPr>
            <w:r>
              <w:rPr>
                <w:rFonts w:hint="eastAsia"/>
                <w:color w:val="auto"/>
                <w:highlight w:val="none"/>
                <w:lang w:val="en-US" w:eastAsia="zh-CN"/>
              </w:rPr>
              <w:t>10、</w:t>
            </w:r>
            <w:r>
              <w:rPr>
                <w:rFonts w:hint="default"/>
                <w:color w:val="auto"/>
                <w:sz w:val="24"/>
                <w:szCs w:val="24"/>
                <w:highlight w:val="none"/>
              </w:rPr>
              <w:t>给排水及采暖</w:t>
            </w:r>
            <w:r>
              <w:rPr>
                <w:rFonts w:hint="eastAsia"/>
                <w:color w:val="auto"/>
                <w:sz w:val="24"/>
                <w:szCs w:val="24"/>
                <w:highlight w:val="none"/>
                <w:lang w:eastAsia="zh-CN"/>
              </w:rPr>
              <w:t>、</w:t>
            </w:r>
            <w:r>
              <w:rPr>
                <w:rFonts w:hint="eastAsia"/>
                <w:color w:val="auto"/>
                <w:sz w:val="24"/>
                <w:szCs w:val="24"/>
                <w:highlight w:val="none"/>
                <w:lang w:val="en-US" w:eastAsia="zh-CN"/>
              </w:rPr>
              <w:t>供热</w:t>
            </w:r>
          </w:p>
          <w:p w14:paraId="0ECE3C9B">
            <w:pPr>
              <w:bidi w:val="0"/>
              <w:rPr>
                <w:rFonts w:hint="eastAsia"/>
                <w:color w:val="auto"/>
                <w:sz w:val="24"/>
                <w:szCs w:val="24"/>
                <w:highlight w:val="none"/>
                <w:lang w:val="en-US" w:eastAsia="zh-CN"/>
              </w:rPr>
            </w:pPr>
            <w:r>
              <w:rPr>
                <w:rFonts w:hint="eastAsia"/>
                <w:color w:val="auto"/>
                <w:sz w:val="24"/>
                <w:szCs w:val="24"/>
                <w:highlight w:val="none"/>
                <w:lang w:val="en-US" w:eastAsia="zh-CN"/>
              </w:rPr>
              <w:t>给排水：本项目新增食堂，食堂用水量按4m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/d计，则食堂用水量为1000m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/a，废水产生量按用水量的80%计，则食堂废水产生量为3.2m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/d（800m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/a），食堂废水经油水分离器隔油后，与其他生活污水一起排入市政污水管网，</w:t>
            </w:r>
            <w:r>
              <w:rPr>
                <w:rFonts w:hint="eastAsia"/>
                <w:color w:val="auto"/>
                <w:highlight w:val="none"/>
                <w:lang w:val="en-US" w:eastAsia="zh-CN"/>
              </w:rPr>
              <w:t>最终进入西郊污水处理厂处理</w:t>
            </w:r>
            <w:r>
              <w:rPr>
                <w:rFonts w:hint="eastAsia"/>
                <w:color w:val="auto"/>
                <w:sz w:val="24"/>
                <w:szCs w:val="24"/>
                <w:highlight w:val="none"/>
                <w:lang w:val="en-US" w:eastAsia="zh-CN"/>
              </w:rPr>
              <w:t>。</w:t>
            </w:r>
          </w:p>
          <w:p w14:paraId="62740DA5">
            <w:pPr>
              <w:bidi w:val="0"/>
              <w:rPr>
                <w:rFonts w:hint="default"/>
                <w:color w:val="auto"/>
                <w:highlight w:val="none"/>
                <w:lang w:val="en-US" w:eastAsia="zh-CN"/>
              </w:rPr>
            </w:pPr>
            <w:r>
              <w:rPr>
                <w:rFonts w:hint="eastAsia"/>
                <w:color w:val="auto"/>
                <w:highlight w:val="none"/>
                <w:lang w:val="en-US" w:eastAsia="zh-CN"/>
              </w:rPr>
              <w:t>本项目水量平衡表见表24，水量平衡图见图3。</w:t>
            </w:r>
          </w:p>
          <w:p w14:paraId="343A7945">
            <w:pPr>
              <w:pStyle w:val="1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表24  本项目水平衡一览表（m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110"/>
              <w:gridCol w:w="1215"/>
              <w:gridCol w:w="1197"/>
              <w:gridCol w:w="1009"/>
              <w:gridCol w:w="2587"/>
            </w:tblGrid>
            <w:tr w14:paraId="3A61D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59" w:type="dxa"/>
                  <w:tcBorders>
                    <w:tl2br w:val="nil"/>
                    <w:tr2bl w:val="nil"/>
                  </w:tcBorders>
                  <w:vAlign w:val="center"/>
                </w:tcPr>
                <w:p w14:paraId="1FFCFE14">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用水环节</w:t>
                  </w:r>
                </w:p>
              </w:tc>
              <w:tc>
                <w:tcPr>
                  <w:tcW w:w="1110" w:type="dxa"/>
                  <w:tcBorders>
                    <w:tl2br w:val="nil"/>
                    <w:tr2bl w:val="nil"/>
                  </w:tcBorders>
                  <w:vAlign w:val="center"/>
                </w:tcPr>
                <w:p w14:paraId="507D5419">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总用水量</w:t>
                  </w:r>
                </w:p>
              </w:tc>
              <w:tc>
                <w:tcPr>
                  <w:tcW w:w="1215" w:type="dxa"/>
                  <w:tcBorders>
                    <w:tl2br w:val="nil"/>
                    <w:tr2bl w:val="nil"/>
                  </w:tcBorders>
                  <w:vAlign w:val="center"/>
                </w:tcPr>
                <w:p w14:paraId="4674AEA5">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新鲜水量</w:t>
                  </w:r>
                </w:p>
              </w:tc>
              <w:tc>
                <w:tcPr>
                  <w:tcW w:w="1197" w:type="dxa"/>
                  <w:tcBorders>
                    <w:tl2br w:val="nil"/>
                    <w:tr2bl w:val="nil"/>
                  </w:tcBorders>
                  <w:vAlign w:val="center"/>
                </w:tcPr>
                <w:p w14:paraId="55403F0D">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损耗水量</w:t>
                  </w:r>
                </w:p>
              </w:tc>
              <w:tc>
                <w:tcPr>
                  <w:tcW w:w="1009" w:type="dxa"/>
                  <w:tcBorders>
                    <w:tl2br w:val="nil"/>
                    <w:tr2bl w:val="nil"/>
                  </w:tcBorders>
                  <w:vAlign w:val="center"/>
                </w:tcPr>
                <w:p w14:paraId="00C42A9B">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废水量</w:t>
                  </w:r>
                </w:p>
              </w:tc>
              <w:tc>
                <w:tcPr>
                  <w:tcW w:w="2587" w:type="dxa"/>
                  <w:tcBorders>
                    <w:tl2br w:val="nil"/>
                    <w:tr2bl w:val="nil"/>
                  </w:tcBorders>
                  <w:vAlign w:val="center"/>
                </w:tcPr>
                <w:p w14:paraId="75870900">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备注</w:t>
                  </w:r>
                </w:p>
              </w:tc>
            </w:tr>
            <w:tr w14:paraId="63F3E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59" w:type="dxa"/>
                  <w:tcBorders>
                    <w:tl2br w:val="nil"/>
                    <w:tr2bl w:val="nil"/>
                  </w:tcBorders>
                  <w:vAlign w:val="center"/>
                </w:tcPr>
                <w:p w14:paraId="4E800162">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食堂</w:t>
                  </w:r>
                </w:p>
              </w:tc>
              <w:tc>
                <w:tcPr>
                  <w:tcW w:w="1110" w:type="dxa"/>
                  <w:tcBorders>
                    <w:tl2br w:val="nil"/>
                    <w:tr2bl w:val="nil"/>
                  </w:tcBorders>
                  <w:vAlign w:val="center"/>
                </w:tcPr>
                <w:p w14:paraId="42A28182">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w:t>
                  </w:r>
                </w:p>
              </w:tc>
              <w:tc>
                <w:tcPr>
                  <w:tcW w:w="1215" w:type="dxa"/>
                  <w:tcBorders>
                    <w:tl2br w:val="nil"/>
                    <w:tr2bl w:val="nil"/>
                  </w:tcBorders>
                  <w:vAlign w:val="center"/>
                </w:tcPr>
                <w:p w14:paraId="59099466">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w:t>
                  </w:r>
                </w:p>
              </w:tc>
              <w:tc>
                <w:tcPr>
                  <w:tcW w:w="1197" w:type="dxa"/>
                  <w:tcBorders>
                    <w:tl2br w:val="nil"/>
                    <w:tr2bl w:val="nil"/>
                  </w:tcBorders>
                  <w:vAlign w:val="center"/>
                </w:tcPr>
                <w:p w14:paraId="267F5821">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0.8</w:t>
                  </w:r>
                </w:p>
              </w:tc>
              <w:tc>
                <w:tcPr>
                  <w:tcW w:w="1009" w:type="dxa"/>
                  <w:tcBorders>
                    <w:tl2br w:val="nil"/>
                    <w:tr2bl w:val="nil"/>
                  </w:tcBorders>
                  <w:vAlign w:val="center"/>
                </w:tcPr>
                <w:p w14:paraId="7D4815F4">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3.2</w:t>
                  </w:r>
                </w:p>
              </w:tc>
              <w:tc>
                <w:tcPr>
                  <w:tcW w:w="2587" w:type="dxa"/>
                  <w:tcBorders>
                    <w:tl2br w:val="nil"/>
                    <w:tr2bl w:val="nil"/>
                  </w:tcBorders>
                  <w:vAlign w:val="center"/>
                </w:tcPr>
                <w:p w14:paraId="236C11CA">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经油水分离器隔油处理后，</w:t>
                  </w:r>
                  <w:r>
                    <w:rPr>
                      <w:rFonts w:hint="eastAsia" w:ascii="Times New Roman" w:hAnsi="Times New Roman" w:eastAsia="宋体" w:cs="Times New Roman"/>
                      <w:b w:val="0"/>
                      <w:bCs w:val="0"/>
                      <w:color w:val="auto"/>
                      <w:kern w:val="2"/>
                      <w:sz w:val="21"/>
                      <w:szCs w:val="21"/>
                      <w:highlight w:val="none"/>
                      <w:vertAlign w:val="baseline"/>
                      <w:lang w:val="en-US" w:eastAsia="zh-CN" w:bidi="ar-SA"/>
                    </w:rPr>
                    <w:t>排入市政污水管网，最终进入西郊污水处理厂处理</w:t>
                  </w:r>
                </w:p>
              </w:tc>
            </w:tr>
            <w:tr w14:paraId="6EE70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59" w:type="dxa"/>
                  <w:tcBorders>
                    <w:tl2br w:val="nil"/>
                    <w:tr2bl w:val="nil"/>
                  </w:tcBorders>
                  <w:vAlign w:val="center"/>
                </w:tcPr>
                <w:p w14:paraId="524718AA">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合计</w:t>
                  </w:r>
                </w:p>
              </w:tc>
              <w:tc>
                <w:tcPr>
                  <w:tcW w:w="1110" w:type="dxa"/>
                  <w:tcBorders>
                    <w:tl2br w:val="nil"/>
                    <w:tr2bl w:val="nil"/>
                  </w:tcBorders>
                  <w:vAlign w:val="center"/>
                </w:tcPr>
                <w:p w14:paraId="502281EC">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w:t>
                  </w:r>
                </w:p>
              </w:tc>
              <w:tc>
                <w:tcPr>
                  <w:tcW w:w="1215" w:type="dxa"/>
                  <w:tcBorders>
                    <w:tl2br w:val="nil"/>
                    <w:tr2bl w:val="nil"/>
                  </w:tcBorders>
                  <w:vAlign w:val="center"/>
                </w:tcPr>
                <w:p w14:paraId="1DA5DD98">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w:t>
                  </w:r>
                </w:p>
              </w:tc>
              <w:tc>
                <w:tcPr>
                  <w:tcW w:w="1197" w:type="dxa"/>
                  <w:tcBorders>
                    <w:tl2br w:val="nil"/>
                    <w:tr2bl w:val="nil"/>
                  </w:tcBorders>
                  <w:vAlign w:val="center"/>
                </w:tcPr>
                <w:p w14:paraId="3C3CDAEE">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0.8</w:t>
                  </w:r>
                </w:p>
              </w:tc>
              <w:tc>
                <w:tcPr>
                  <w:tcW w:w="1009" w:type="dxa"/>
                  <w:tcBorders>
                    <w:tl2br w:val="nil"/>
                    <w:tr2bl w:val="nil"/>
                  </w:tcBorders>
                  <w:vAlign w:val="center"/>
                </w:tcPr>
                <w:p w14:paraId="70CE8A3C">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3.2</w:t>
                  </w:r>
                </w:p>
              </w:tc>
              <w:tc>
                <w:tcPr>
                  <w:tcW w:w="2587" w:type="dxa"/>
                  <w:tcBorders>
                    <w:tl2br w:val="nil"/>
                    <w:tr2bl w:val="nil"/>
                  </w:tcBorders>
                  <w:vAlign w:val="center"/>
                </w:tcPr>
                <w:p w14:paraId="31C3B7CE">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w:t>
                  </w:r>
                </w:p>
              </w:tc>
            </w:tr>
          </w:tbl>
          <w:p w14:paraId="6FA5FD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p w14:paraId="23946F68">
            <w:pPr>
              <w:pStyle w:val="2"/>
            </w:pPr>
          </w:p>
          <w:p w14:paraId="45B09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p w14:paraId="2A5866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3119120" cy="791845"/>
                  <wp:effectExtent l="0" t="0" r="5080" b="825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4"/>
                          <a:stretch>
                            <a:fillRect/>
                          </a:stretch>
                        </pic:blipFill>
                        <pic:spPr>
                          <a:xfrm>
                            <a:off x="0" y="0"/>
                            <a:ext cx="3119120" cy="791845"/>
                          </a:xfrm>
                          <a:prstGeom prst="rect">
                            <a:avLst/>
                          </a:prstGeom>
                          <a:noFill/>
                          <a:ln>
                            <a:noFill/>
                          </a:ln>
                        </pic:spPr>
                      </pic:pic>
                    </a:graphicData>
                  </a:graphic>
                </wp:inline>
              </w:drawing>
            </w:r>
          </w:p>
          <w:p w14:paraId="15143DFF">
            <w:pPr>
              <w:pStyle w:val="33"/>
              <w:bidi w:val="0"/>
              <w:rPr>
                <w:rFonts w:hint="default"/>
                <w:color w:val="auto"/>
                <w:lang w:val="en-US" w:eastAsia="zh-CN"/>
              </w:rPr>
            </w:pPr>
            <w:r>
              <w:rPr>
                <w:rFonts w:hint="eastAsia"/>
                <w:color w:val="auto"/>
                <w:lang w:val="en-US" w:eastAsia="zh-CN"/>
              </w:rPr>
              <w:t>图3  本项目水量平衡图</w:t>
            </w:r>
          </w:p>
          <w:p w14:paraId="029FB7D8">
            <w:pPr>
              <w:bidi w:val="0"/>
              <w:rPr>
                <w:rFonts w:hint="default"/>
                <w:color w:val="auto"/>
                <w:highlight w:val="none"/>
                <w:lang w:val="en-US" w:eastAsia="zh-CN"/>
              </w:rPr>
            </w:pPr>
            <w:r>
              <w:rPr>
                <w:rFonts w:hint="eastAsia"/>
                <w:color w:val="auto"/>
                <w:highlight w:val="none"/>
                <w:lang w:val="en-US" w:eastAsia="zh-CN"/>
              </w:rPr>
              <w:t>本项目建成后全厂水量平衡表见表25，水量平衡图见图4。</w:t>
            </w:r>
          </w:p>
          <w:p w14:paraId="16B3BB6D">
            <w:pPr>
              <w:pStyle w:val="1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表25  本项目建成后全厂水平衡一览表（m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110"/>
              <w:gridCol w:w="1215"/>
              <w:gridCol w:w="1197"/>
              <w:gridCol w:w="1009"/>
              <w:gridCol w:w="2587"/>
            </w:tblGrid>
            <w:tr w14:paraId="15E50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tcBorders>
                    <w:tl2br w:val="nil"/>
                    <w:tr2bl w:val="nil"/>
                  </w:tcBorders>
                  <w:vAlign w:val="center"/>
                </w:tcPr>
                <w:p w14:paraId="7A2178DB">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用水环节</w:t>
                  </w:r>
                </w:p>
              </w:tc>
              <w:tc>
                <w:tcPr>
                  <w:tcW w:w="1110" w:type="dxa"/>
                  <w:tcBorders>
                    <w:tl2br w:val="nil"/>
                    <w:tr2bl w:val="nil"/>
                  </w:tcBorders>
                  <w:vAlign w:val="center"/>
                </w:tcPr>
                <w:p w14:paraId="7A3E4785">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总用水量</w:t>
                  </w:r>
                </w:p>
              </w:tc>
              <w:tc>
                <w:tcPr>
                  <w:tcW w:w="1215" w:type="dxa"/>
                  <w:tcBorders>
                    <w:tl2br w:val="nil"/>
                    <w:tr2bl w:val="nil"/>
                  </w:tcBorders>
                  <w:vAlign w:val="center"/>
                </w:tcPr>
                <w:p w14:paraId="38278771">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新鲜水量</w:t>
                  </w:r>
                </w:p>
              </w:tc>
              <w:tc>
                <w:tcPr>
                  <w:tcW w:w="1197" w:type="dxa"/>
                  <w:tcBorders>
                    <w:tl2br w:val="nil"/>
                    <w:tr2bl w:val="nil"/>
                  </w:tcBorders>
                  <w:vAlign w:val="center"/>
                </w:tcPr>
                <w:p w14:paraId="581F018A">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损耗水量</w:t>
                  </w:r>
                </w:p>
              </w:tc>
              <w:tc>
                <w:tcPr>
                  <w:tcW w:w="1009" w:type="dxa"/>
                  <w:tcBorders>
                    <w:tl2br w:val="nil"/>
                    <w:tr2bl w:val="nil"/>
                  </w:tcBorders>
                  <w:vAlign w:val="center"/>
                </w:tcPr>
                <w:p w14:paraId="08934BD5">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废水量</w:t>
                  </w:r>
                </w:p>
              </w:tc>
              <w:tc>
                <w:tcPr>
                  <w:tcW w:w="2587" w:type="dxa"/>
                  <w:tcBorders>
                    <w:tl2br w:val="nil"/>
                    <w:tr2bl w:val="nil"/>
                  </w:tcBorders>
                  <w:vAlign w:val="center"/>
                </w:tcPr>
                <w:p w14:paraId="25D046AA">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备注</w:t>
                  </w:r>
                </w:p>
              </w:tc>
            </w:tr>
            <w:tr w14:paraId="1B761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59" w:type="dxa"/>
                  <w:tcBorders>
                    <w:tl2br w:val="nil"/>
                    <w:tr2bl w:val="nil"/>
                  </w:tcBorders>
                  <w:vAlign w:val="center"/>
                </w:tcPr>
                <w:p w14:paraId="690356F8">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职工生活（含食堂）</w:t>
                  </w:r>
                </w:p>
              </w:tc>
              <w:tc>
                <w:tcPr>
                  <w:tcW w:w="1110" w:type="dxa"/>
                  <w:tcBorders>
                    <w:tl2br w:val="nil"/>
                    <w:tr2bl w:val="nil"/>
                  </w:tcBorders>
                  <w:vAlign w:val="center"/>
                </w:tcPr>
                <w:p w14:paraId="330496EF">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16</w:t>
                  </w:r>
                </w:p>
              </w:tc>
              <w:tc>
                <w:tcPr>
                  <w:tcW w:w="1215" w:type="dxa"/>
                  <w:tcBorders>
                    <w:tl2br w:val="nil"/>
                    <w:tr2bl w:val="nil"/>
                  </w:tcBorders>
                  <w:vAlign w:val="center"/>
                </w:tcPr>
                <w:p w14:paraId="79D94AEC">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16</w:t>
                  </w:r>
                </w:p>
              </w:tc>
              <w:tc>
                <w:tcPr>
                  <w:tcW w:w="1197" w:type="dxa"/>
                  <w:tcBorders>
                    <w:tl2br w:val="nil"/>
                    <w:tr2bl w:val="nil"/>
                  </w:tcBorders>
                  <w:vAlign w:val="center"/>
                </w:tcPr>
                <w:p w14:paraId="614D5D50">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3.2</w:t>
                  </w:r>
                </w:p>
              </w:tc>
              <w:tc>
                <w:tcPr>
                  <w:tcW w:w="1009" w:type="dxa"/>
                  <w:tcBorders>
                    <w:tl2br w:val="nil"/>
                    <w:tr2bl w:val="nil"/>
                  </w:tcBorders>
                  <w:vAlign w:val="center"/>
                </w:tcPr>
                <w:p w14:paraId="60F19B75">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12.8</w:t>
                  </w:r>
                </w:p>
              </w:tc>
              <w:tc>
                <w:tcPr>
                  <w:tcW w:w="2587" w:type="dxa"/>
                  <w:tcBorders>
                    <w:tl2br w:val="nil"/>
                    <w:tr2bl w:val="nil"/>
                  </w:tcBorders>
                  <w:vAlign w:val="center"/>
                </w:tcPr>
                <w:p w14:paraId="02600EFF">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食堂废水经油水分离器隔油后，与其他生活污水一起排入市政污水管网，最终</w:t>
                  </w:r>
                  <w:r>
                    <w:rPr>
                      <w:rFonts w:hint="eastAsia" w:ascii="Times New Roman" w:hAnsi="Times New Roman" w:eastAsia="宋体" w:cs="Times New Roman"/>
                      <w:b w:val="0"/>
                      <w:bCs w:val="0"/>
                      <w:color w:val="auto"/>
                      <w:kern w:val="2"/>
                      <w:sz w:val="21"/>
                      <w:szCs w:val="21"/>
                      <w:highlight w:val="none"/>
                      <w:vertAlign w:val="baseline"/>
                      <w:lang w:val="en-US" w:eastAsia="zh-CN" w:bidi="ar-SA"/>
                    </w:rPr>
                    <w:t>进入西郊污水处理厂处理</w:t>
                  </w:r>
                </w:p>
              </w:tc>
            </w:tr>
            <w:tr w14:paraId="7377D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59" w:type="dxa"/>
                  <w:tcBorders>
                    <w:tl2br w:val="nil"/>
                    <w:tr2bl w:val="nil"/>
                  </w:tcBorders>
                  <w:vAlign w:val="center"/>
                </w:tcPr>
                <w:p w14:paraId="02EFD431">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绿化</w:t>
                  </w:r>
                </w:p>
              </w:tc>
              <w:tc>
                <w:tcPr>
                  <w:tcW w:w="1110" w:type="dxa"/>
                  <w:tcBorders>
                    <w:tl2br w:val="nil"/>
                    <w:tr2bl w:val="nil"/>
                  </w:tcBorders>
                  <w:vAlign w:val="center"/>
                </w:tcPr>
                <w:p w14:paraId="719AF0FE">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9.334</w:t>
                  </w:r>
                </w:p>
              </w:tc>
              <w:tc>
                <w:tcPr>
                  <w:tcW w:w="1215" w:type="dxa"/>
                  <w:tcBorders>
                    <w:tl2br w:val="nil"/>
                    <w:tr2bl w:val="nil"/>
                  </w:tcBorders>
                  <w:vAlign w:val="center"/>
                </w:tcPr>
                <w:p w14:paraId="2F718B91">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9.334</w:t>
                  </w:r>
                </w:p>
              </w:tc>
              <w:tc>
                <w:tcPr>
                  <w:tcW w:w="1197" w:type="dxa"/>
                  <w:tcBorders>
                    <w:tl2br w:val="nil"/>
                    <w:tr2bl w:val="nil"/>
                  </w:tcBorders>
                  <w:vAlign w:val="center"/>
                </w:tcPr>
                <w:p w14:paraId="0A26391A">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9.334</w:t>
                  </w:r>
                </w:p>
              </w:tc>
              <w:tc>
                <w:tcPr>
                  <w:tcW w:w="1009" w:type="dxa"/>
                  <w:tcBorders>
                    <w:tl2br w:val="nil"/>
                    <w:tr2bl w:val="nil"/>
                  </w:tcBorders>
                  <w:vAlign w:val="center"/>
                </w:tcPr>
                <w:p w14:paraId="7656575F">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w:t>
                  </w:r>
                </w:p>
              </w:tc>
              <w:tc>
                <w:tcPr>
                  <w:tcW w:w="2587" w:type="dxa"/>
                  <w:tcBorders>
                    <w:tl2br w:val="nil"/>
                    <w:tr2bl w:val="nil"/>
                  </w:tcBorders>
                  <w:vAlign w:val="center"/>
                </w:tcPr>
                <w:p w14:paraId="3A46DBB4">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ascii="宋体" w:hAnsi="宋体" w:eastAsia="宋体" w:cs="宋体"/>
                      <w:b w:val="0"/>
                      <w:bCs w:val="0"/>
                      <w:color w:val="auto"/>
                      <w:kern w:val="2"/>
                      <w:sz w:val="21"/>
                      <w:szCs w:val="21"/>
                      <w:highlight w:val="none"/>
                      <w:vertAlign w:val="baseline"/>
                      <w:lang w:val="en-US" w:eastAsia="zh-CN" w:bidi="ar-SA"/>
                    </w:rPr>
                    <w:t>－</w:t>
                  </w:r>
                </w:p>
              </w:tc>
            </w:tr>
            <w:tr w14:paraId="64242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59" w:type="dxa"/>
                  <w:tcBorders>
                    <w:tl2br w:val="nil"/>
                    <w:tr2bl w:val="nil"/>
                  </w:tcBorders>
                  <w:vAlign w:val="center"/>
                </w:tcPr>
                <w:p w14:paraId="748661DA">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合计</w:t>
                  </w:r>
                </w:p>
              </w:tc>
              <w:tc>
                <w:tcPr>
                  <w:tcW w:w="1110" w:type="dxa"/>
                  <w:tcBorders>
                    <w:tl2br w:val="nil"/>
                    <w:tr2bl w:val="nil"/>
                  </w:tcBorders>
                  <w:vAlign w:val="center"/>
                </w:tcPr>
                <w:p w14:paraId="1A26CED4">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25.334</w:t>
                  </w:r>
                </w:p>
              </w:tc>
              <w:tc>
                <w:tcPr>
                  <w:tcW w:w="1215" w:type="dxa"/>
                  <w:tcBorders>
                    <w:tl2br w:val="nil"/>
                    <w:tr2bl w:val="nil"/>
                  </w:tcBorders>
                  <w:vAlign w:val="center"/>
                </w:tcPr>
                <w:p w14:paraId="6FDA5C9F">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25.334</w:t>
                  </w:r>
                </w:p>
              </w:tc>
              <w:tc>
                <w:tcPr>
                  <w:tcW w:w="1197" w:type="dxa"/>
                  <w:tcBorders>
                    <w:tl2br w:val="nil"/>
                    <w:tr2bl w:val="nil"/>
                  </w:tcBorders>
                  <w:vAlign w:val="center"/>
                </w:tcPr>
                <w:p w14:paraId="07F20F79">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12.534</w:t>
                  </w:r>
                </w:p>
              </w:tc>
              <w:tc>
                <w:tcPr>
                  <w:tcW w:w="1009" w:type="dxa"/>
                  <w:tcBorders>
                    <w:tl2br w:val="nil"/>
                    <w:tr2bl w:val="nil"/>
                  </w:tcBorders>
                  <w:vAlign w:val="center"/>
                </w:tcPr>
                <w:p w14:paraId="0EF43588">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12.8</w:t>
                  </w:r>
                </w:p>
              </w:tc>
              <w:tc>
                <w:tcPr>
                  <w:tcW w:w="2587" w:type="dxa"/>
                  <w:tcBorders>
                    <w:tl2br w:val="nil"/>
                    <w:tr2bl w:val="nil"/>
                  </w:tcBorders>
                  <w:vAlign w:val="center"/>
                </w:tcPr>
                <w:p w14:paraId="6B1BC62F">
                  <w:pPr>
                    <w:pStyle w:val="13"/>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w:t>
                  </w:r>
                </w:p>
              </w:tc>
            </w:tr>
          </w:tbl>
          <w:p w14:paraId="1C013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3932555" cy="1800225"/>
                  <wp:effectExtent l="0" t="0" r="1079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3932555" cy="1800225"/>
                          </a:xfrm>
                          <a:prstGeom prst="rect">
                            <a:avLst/>
                          </a:prstGeom>
                          <a:noFill/>
                          <a:ln>
                            <a:noFill/>
                          </a:ln>
                        </pic:spPr>
                      </pic:pic>
                    </a:graphicData>
                  </a:graphic>
                </wp:inline>
              </w:drawing>
            </w:r>
          </w:p>
          <w:p w14:paraId="5E8730B7">
            <w:pPr>
              <w:pStyle w:val="33"/>
              <w:bidi w:val="0"/>
              <w:rPr>
                <w:rFonts w:hint="default"/>
                <w:color w:val="auto"/>
                <w:lang w:val="en-US" w:eastAsia="zh-CN"/>
              </w:rPr>
            </w:pPr>
            <w:r>
              <w:rPr>
                <w:rFonts w:hint="eastAsia"/>
                <w:color w:val="auto"/>
                <w:lang w:val="en-US" w:eastAsia="zh-CN"/>
              </w:rPr>
              <w:t>图4  本项目建成后全厂水量平衡图</w:t>
            </w:r>
          </w:p>
          <w:p w14:paraId="2A38893C">
            <w:pPr>
              <w:bidi w:val="0"/>
              <w:rPr>
                <w:rFonts w:hint="eastAsia"/>
                <w:color w:val="auto"/>
                <w:highlight w:val="none"/>
                <w:lang w:val="en-US" w:eastAsia="zh-CN"/>
              </w:rPr>
            </w:pPr>
            <w:r>
              <w:rPr>
                <w:rFonts w:hint="default"/>
                <w:color w:val="auto"/>
                <w:sz w:val="24"/>
                <w:szCs w:val="24"/>
                <w:highlight w:val="none"/>
              </w:rPr>
              <w:t>取暖：</w:t>
            </w:r>
            <w:r>
              <w:rPr>
                <w:rFonts w:hint="default"/>
                <w:color w:val="auto"/>
                <w:highlight w:val="none"/>
              </w:rPr>
              <w:t>本项目</w:t>
            </w:r>
            <w:r>
              <w:rPr>
                <w:rFonts w:hint="eastAsia"/>
                <w:color w:val="auto"/>
                <w:highlight w:val="none"/>
                <w:lang w:val="en-US" w:eastAsia="zh-CN"/>
              </w:rPr>
              <w:t>生产区域不设取暖设施，办公取暖依托现有取暖设施，采用单体空调取暖，以电为能源。</w:t>
            </w:r>
          </w:p>
          <w:p w14:paraId="07C9A16B">
            <w:pPr>
              <w:bidi w:val="0"/>
              <w:rPr>
                <w:rFonts w:hint="default"/>
                <w:color w:val="auto"/>
                <w:lang w:val="en-US" w:eastAsia="zh-CN"/>
              </w:rPr>
            </w:pPr>
            <w:r>
              <w:rPr>
                <w:rFonts w:hint="eastAsia"/>
                <w:color w:val="auto"/>
                <w:lang w:val="en-US" w:eastAsia="zh-CN"/>
              </w:rPr>
              <w:t>供热：本项目烘干室采用电加热。</w:t>
            </w:r>
          </w:p>
          <w:p w14:paraId="614D0FC5">
            <w:pPr>
              <w:bidi w:val="0"/>
              <w:rPr>
                <w:rFonts w:hint="default" w:eastAsia="宋体"/>
                <w:color w:val="auto"/>
                <w:sz w:val="24"/>
                <w:szCs w:val="24"/>
                <w:highlight w:val="none"/>
                <w:lang w:val="en-US" w:eastAsia="zh-CN"/>
              </w:rPr>
            </w:pPr>
            <w:r>
              <w:rPr>
                <w:rFonts w:hint="eastAsia"/>
                <w:color w:val="auto"/>
                <w:sz w:val="24"/>
                <w:szCs w:val="24"/>
                <w:highlight w:val="none"/>
                <w:lang w:val="en-US" w:eastAsia="zh-CN"/>
              </w:rPr>
              <w:t>11、</w:t>
            </w:r>
            <w:r>
              <w:rPr>
                <w:rFonts w:hint="default"/>
                <w:color w:val="auto"/>
                <w:sz w:val="24"/>
                <w:szCs w:val="24"/>
                <w:highlight w:val="none"/>
              </w:rPr>
              <w:t>项目的地理位置、平面布置与周边关系</w:t>
            </w:r>
          </w:p>
          <w:p w14:paraId="470F52B1">
            <w:pPr>
              <w:bidi w:val="0"/>
              <w:rPr>
                <w:rFonts w:hint="default"/>
                <w:color w:val="auto"/>
                <w:sz w:val="24"/>
                <w:szCs w:val="24"/>
                <w:highlight w:val="none"/>
              </w:rPr>
            </w:pPr>
            <w:r>
              <w:rPr>
                <w:rFonts w:hint="default"/>
                <w:color w:val="auto"/>
                <w:sz w:val="24"/>
                <w:szCs w:val="24"/>
                <w:highlight w:val="none"/>
              </w:rPr>
              <w:t>地理位置：本项目位于</w:t>
            </w:r>
            <w:r>
              <w:rPr>
                <w:rFonts w:hint="eastAsia"/>
                <w:color w:val="auto"/>
                <w:sz w:val="24"/>
                <w:szCs w:val="24"/>
                <w:highlight w:val="none"/>
                <w:lang w:val="en-US" w:eastAsia="zh-CN"/>
              </w:rPr>
              <w:t>河北省唐山市高新技术产业开发区学院北路1686号，中信重工开诚智能装备有限公司院内</w:t>
            </w:r>
            <w:r>
              <w:rPr>
                <w:rFonts w:hint="default"/>
                <w:color w:val="auto"/>
                <w:sz w:val="24"/>
                <w:szCs w:val="24"/>
                <w:highlight w:val="none"/>
              </w:rPr>
              <w:t>（用地中心坐标为</w:t>
            </w:r>
            <w:r>
              <w:rPr>
                <w:rFonts w:hint="default" w:ascii="Times New Roman" w:hAnsi="Times New Roman" w:cs="Times New Roman"/>
                <w:color w:val="auto"/>
                <w:sz w:val="24"/>
                <w:szCs w:val="24"/>
                <w:highlight w:val="none"/>
                <w:lang w:val="en-US" w:eastAsia="zh-CN"/>
              </w:rPr>
              <w:t>东经：118°08'</w:t>
            </w:r>
            <w:r>
              <w:rPr>
                <w:rFonts w:hint="eastAsia" w:cs="Times New Roman"/>
                <w:color w:val="auto"/>
                <w:sz w:val="24"/>
                <w:szCs w:val="24"/>
                <w:highlight w:val="none"/>
                <w:lang w:val="en-US" w:eastAsia="zh-CN"/>
              </w:rPr>
              <w:t>58.021</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北纬：</w:t>
            </w:r>
            <w:r>
              <w:rPr>
                <w:rFonts w:hint="default" w:ascii="Times New Roman" w:hAnsi="Times New Roman" w:cs="Times New Roman"/>
                <w:color w:val="auto"/>
                <w:sz w:val="24"/>
                <w:szCs w:val="24"/>
                <w:highlight w:val="none"/>
                <w:lang w:eastAsia="zh-CN"/>
              </w:rPr>
              <w:t>39°4</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6.572</w:t>
            </w:r>
            <w:r>
              <w:rPr>
                <w:rFonts w:hint="default" w:ascii="Times New Roman" w:hAnsi="Times New Roman" w:cs="Times New Roman"/>
                <w:color w:val="auto"/>
                <w:sz w:val="24"/>
                <w:szCs w:val="24"/>
                <w:highlight w:val="none"/>
                <w:lang w:eastAsia="zh-CN"/>
              </w:rPr>
              <w:t>"</w:t>
            </w:r>
            <w:r>
              <w:rPr>
                <w:rFonts w:hint="default"/>
                <w:color w:val="auto"/>
                <w:sz w:val="24"/>
                <w:szCs w:val="24"/>
                <w:highlight w:val="none"/>
              </w:rPr>
              <w:t>），地理位置图详见附图1。</w:t>
            </w:r>
          </w:p>
          <w:p w14:paraId="3F4A03F2">
            <w:pPr>
              <w:bidi w:val="0"/>
              <w:rPr>
                <w:rFonts w:hint="default" w:eastAsia="宋体"/>
                <w:color w:val="auto"/>
                <w:sz w:val="24"/>
                <w:szCs w:val="24"/>
                <w:highlight w:val="none"/>
                <w:shd w:val="clear" w:color="auto" w:fill="auto"/>
                <w:lang w:val="en-US" w:eastAsia="zh-CN"/>
              </w:rPr>
            </w:pPr>
            <w:r>
              <w:rPr>
                <w:rFonts w:hint="default"/>
                <w:color w:val="auto"/>
                <w:sz w:val="24"/>
                <w:szCs w:val="24"/>
                <w:highlight w:val="none"/>
                <w:shd w:val="clear" w:color="auto" w:fill="auto"/>
              </w:rPr>
              <w:t>平面布置：</w:t>
            </w:r>
            <w:r>
              <w:rPr>
                <w:rFonts w:hint="eastAsia"/>
                <w:color w:val="auto"/>
                <w:sz w:val="24"/>
                <w:szCs w:val="24"/>
                <w:highlight w:val="none"/>
                <w:shd w:val="clear" w:color="auto" w:fill="auto"/>
                <w:lang w:val="en-US" w:eastAsia="zh-CN"/>
              </w:rPr>
              <w:t>本项目新建1#厂房、2#厂房、综合楼均位于厂区西侧，由北向南依次为1#厂房、2#厂房、综合楼，危废间、油漆库、烘干房、喷漆房、打磨房位于为于1#厂房内南部，由西向东布置</w:t>
            </w:r>
            <w:r>
              <w:rPr>
                <w:rFonts w:hint="eastAsia"/>
                <w:color w:val="auto"/>
                <w:kern w:val="0"/>
                <w:sz w:val="24"/>
                <w:highlight w:val="none"/>
                <w:shd w:val="clear" w:color="auto" w:fill="FFFFFF"/>
                <w:lang w:val="en-US" w:eastAsia="zh-CN" w:bidi="ar"/>
              </w:rPr>
              <w:t>。本项目建成后全厂平面布置图见附图2。</w:t>
            </w:r>
          </w:p>
          <w:p w14:paraId="5C0EE1AA">
            <w:pPr>
              <w:bidi w:val="0"/>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rPr>
              <w:t>周边关系：本项目位于</w:t>
            </w:r>
            <w:r>
              <w:rPr>
                <w:rFonts w:hint="eastAsia"/>
                <w:color w:val="auto"/>
                <w:sz w:val="24"/>
                <w:szCs w:val="24"/>
                <w:highlight w:val="none"/>
                <w:lang w:val="en-US" w:eastAsia="zh-CN"/>
              </w:rPr>
              <w:t>河北省唐山市高新技术产业开发区学院北路1686号，中信重工开诚智能装备有限公司院内，周边关系不发生变化，东侧为学院北路，南侧为荣华道，西侧为空地，北侧为科维街。项目周边关系图见附图3，大气环境保护目标分布图见附图4。</w:t>
            </w:r>
          </w:p>
        </w:tc>
      </w:tr>
      <w:tr w14:paraId="33F50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noWrap w:val="0"/>
            <w:vAlign w:val="center"/>
          </w:tcPr>
          <w:p w14:paraId="1A31E30F">
            <w:pPr>
              <w:pStyle w:val="3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eastAsia="宋体"/>
                <w:color w:val="auto"/>
                <w:sz w:val="24"/>
                <w:szCs w:val="24"/>
                <w:highlight w:val="none"/>
              </w:rPr>
              <w:t>工艺流程和产排污环节</w:t>
            </w:r>
          </w:p>
        </w:tc>
        <w:tc>
          <w:tcPr>
            <w:tcW w:w="8514" w:type="dxa"/>
            <w:noWrap w:val="0"/>
            <w:vAlign w:val="top"/>
          </w:tcPr>
          <w:p w14:paraId="572163D2">
            <w:pPr>
              <w:keepNext w:val="0"/>
              <w:keepLines w:val="0"/>
              <w:pageBreakBefore w:val="0"/>
              <w:widowControl w:val="0"/>
              <w:numPr>
                <w:ilvl w:val="0"/>
                <w:numId w:val="20"/>
              </w:numPr>
              <w:kinsoku/>
              <w:wordWrap/>
              <w:overflowPunct/>
              <w:topLinePunct w:val="0"/>
              <w:autoSpaceDE/>
              <w:autoSpaceDN/>
              <w:bidi w:val="0"/>
              <w:adjustRightInd/>
              <w:snapToGrid/>
              <w:ind w:leftChars="0" w:firstLine="0" w:firstLineChars="0"/>
              <w:textAlignment w:val="auto"/>
              <w:rPr>
                <w:rFonts w:hint="eastAsia"/>
                <w:b/>
                <w:bCs/>
                <w:color w:val="auto"/>
                <w:highlight w:val="none"/>
                <w:lang w:val="en-US" w:eastAsia="zh-CN"/>
              </w:rPr>
            </w:pPr>
            <w:r>
              <w:rPr>
                <w:rFonts w:hint="eastAsia"/>
                <w:b/>
                <w:bCs/>
                <w:color w:val="auto"/>
                <w:highlight w:val="none"/>
                <w:lang w:val="en-US" w:eastAsia="zh-CN"/>
              </w:rPr>
              <w:t>施工期</w:t>
            </w:r>
          </w:p>
          <w:p w14:paraId="73261E10">
            <w:pPr>
              <w:bidi w:val="0"/>
              <w:rPr>
                <w:color w:val="auto"/>
              </w:rPr>
            </w:pPr>
            <w:r>
              <w:rPr>
                <w:rFonts w:hint="eastAsia"/>
                <w:color w:val="auto"/>
                <w:lang w:eastAsia="zh-CN"/>
              </w:rPr>
              <w:t>施工期工艺流程主要为：</w:t>
            </w:r>
          </w:p>
          <w:p w14:paraId="42BC3D03">
            <w:pPr>
              <w:bidi w:val="0"/>
              <w:rPr>
                <w:color w:val="auto"/>
              </w:rPr>
            </w:pPr>
            <w:r>
              <w:rPr>
                <w:color w:val="auto"/>
              </w:rPr>
              <w:t>（1）清理场地阶段：包括清运工程垃圾土等；</w:t>
            </w:r>
          </w:p>
          <w:p w14:paraId="114D0659">
            <w:pPr>
              <w:bidi w:val="0"/>
              <w:rPr>
                <w:color w:val="auto"/>
              </w:rPr>
            </w:pPr>
            <w:r>
              <w:rPr>
                <w:color w:val="auto"/>
              </w:rPr>
              <w:t>（2）土石方施工阶段：包括挖掘、打桩、砌筑基础等；</w:t>
            </w:r>
          </w:p>
          <w:p w14:paraId="7E8CF202">
            <w:pPr>
              <w:bidi w:val="0"/>
              <w:rPr>
                <w:color w:val="auto"/>
              </w:rPr>
            </w:pPr>
            <w:r>
              <w:rPr>
                <w:color w:val="auto"/>
              </w:rPr>
              <w:t>（3）主体结构施工阶段：包括钢筋、混凝土工程，钢木工程，砌体工程、回填土；</w:t>
            </w:r>
          </w:p>
          <w:p w14:paraId="72A94C0E">
            <w:pPr>
              <w:bidi w:val="0"/>
              <w:rPr>
                <w:color w:val="auto"/>
              </w:rPr>
            </w:pPr>
            <w:r>
              <w:rPr>
                <w:color w:val="auto"/>
              </w:rPr>
              <w:t>（4）配套设施施工阶段：包括铺设上下水管等；</w:t>
            </w:r>
          </w:p>
          <w:p w14:paraId="669DDDAD">
            <w:pPr>
              <w:bidi w:val="0"/>
              <w:rPr>
                <w:color w:val="auto"/>
              </w:rPr>
            </w:pPr>
            <w:r>
              <w:rPr>
                <w:color w:val="auto"/>
              </w:rPr>
              <w:t>（5）主体装修施工阶段：包括主体内墙体装修、粉刷、回填土方和清理现场等。</w:t>
            </w:r>
          </w:p>
          <w:p w14:paraId="304753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4704080" cy="1475740"/>
                  <wp:effectExtent l="0" t="0" r="1270"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4704080" cy="1475740"/>
                          </a:xfrm>
                          <a:prstGeom prst="rect">
                            <a:avLst/>
                          </a:prstGeom>
                          <a:noFill/>
                          <a:ln>
                            <a:noFill/>
                          </a:ln>
                        </pic:spPr>
                      </pic:pic>
                    </a:graphicData>
                  </a:graphic>
                </wp:inline>
              </w:drawing>
            </w:r>
          </w:p>
          <w:p w14:paraId="51DFDE83">
            <w:pPr>
              <w:pStyle w:val="33"/>
              <w:bidi w:val="0"/>
              <w:rPr>
                <w:rFonts w:hint="eastAsia"/>
                <w:color w:val="auto"/>
                <w:highlight w:val="none"/>
                <w:lang w:val="en-US" w:eastAsia="zh-CN"/>
              </w:rPr>
            </w:pPr>
            <w:r>
              <w:rPr>
                <w:rFonts w:hint="eastAsia"/>
                <w:color w:val="auto"/>
                <w:highlight w:val="none"/>
                <w:lang w:val="en-US" w:eastAsia="zh-CN"/>
              </w:rPr>
              <w:t>图5  施工期工作流程及排污节点图</w:t>
            </w:r>
          </w:p>
          <w:p w14:paraId="5A7CD837">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hint="eastAsia" w:ascii="Times New Roman" w:hAnsi="Times New Roman"/>
                <w:color w:val="auto"/>
                <w:sz w:val="24"/>
                <w:highlight w:val="none"/>
                <w:lang w:eastAsia="zh-CN"/>
              </w:rPr>
            </w:pPr>
            <w:r>
              <w:rPr>
                <w:rFonts w:hint="eastAsia" w:ascii="Times New Roman" w:hAnsi="Times New Roman"/>
                <w:color w:val="auto"/>
                <w:sz w:val="24"/>
                <w:highlight w:val="none"/>
                <w:lang w:eastAsia="zh-CN"/>
              </w:rPr>
              <w:t>施工期主要产排污情况如下：</w:t>
            </w:r>
          </w:p>
          <w:p w14:paraId="44F20E1F">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（1）扬尘：施工期扬尘主要来自施工期土方挖掘、回填，建筑材料搬运及堆放，施工垃圾的清理及堆放，运输车辆的装卸，施工机械的往来等。</w:t>
            </w:r>
          </w:p>
          <w:p w14:paraId="67ECCB66">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ascii="Times New Roman" w:hAnsi="Times New Roman"/>
                <w:b/>
                <w:color w:val="auto"/>
                <w:kern w:val="0"/>
                <w:sz w:val="24"/>
                <w:highlight w:val="none"/>
              </w:rPr>
            </w:pPr>
            <w:r>
              <w:rPr>
                <w:rFonts w:ascii="Times New Roman" w:hAnsi="Times New Roman"/>
                <w:color w:val="auto"/>
                <w:sz w:val="24"/>
                <w:highlight w:val="none"/>
              </w:rPr>
              <w:t>（2）噪声：本项目施工作业位于厂区内部，施工期噪声污染源主要包括：新建构筑物施工过程中各种机械设备产生的作业噪声和运输车辆产生的噪声等。</w:t>
            </w:r>
          </w:p>
          <w:p w14:paraId="16567AD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ascii="Times New Roman" w:hAnsi="Times New Roman"/>
                <w:color w:val="auto"/>
                <w:sz w:val="24"/>
                <w:highlight w:val="none"/>
              </w:rPr>
            </w:pPr>
            <w:r>
              <w:rPr>
                <w:rFonts w:ascii="Times New Roman" w:hAnsi="Times New Roman"/>
                <w:color w:val="auto"/>
                <w:kern w:val="0"/>
                <w:sz w:val="24"/>
                <w:highlight w:val="none"/>
              </w:rPr>
              <w:t>（3）废水：</w:t>
            </w:r>
            <w:r>
              <w:rPr>
                <w:rFonts w:ascii="Times New Roman" w:hAnsi="Times New Roman"/>
                <w:color w:val="auto"/>
                <w:sz w:val="24"/>
                <w:highlight w:val="none"/>
              </w:rPr>
              <w:t>施工期产生的废水包括施工人员生活污水和施工作业废水。</w:t>
            </w:r>
          </w:p>
          <w:p w14:paraId="35755BB0">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hint="default"/>
                <w:color w:val="auto"/>
                <w:highlight w:val="none"/>
              </w:rPr>
            </w:pPr>
            <w:r>
              <w:rPr>
                <w:rFonts w:ascii="Times New Roman" w:hAnsi="Times New Roman"/>
                <w:color w:val="auto"/>
                <w:sz w:val="24"/>
                <w:highlight w:val="none"/>
              </w:rPr>
              <w:t>（4）固体废弃物：施工期固体废物主要为建筑垃圾及施工人员生活垃圾。</w:t>
            </w:r>
          </w:p>
          <w:p w14:paraId="7BFB9F04">
            <w:pPr>
              <w:keepNext w:val="0"/>
              <w:keepLines w:val="0"/>
              <w:pageBreakBefore w:val="0"/>
              <w:widowControl w:val="0"/>
              <w:numPr>
                <w:ilvl w:val="0"/>
                <w:numId w:val="20"/>
              </w:numPr>
              <w:kinsoku/>
              <w:wordWrap/>
              <w:overflowPunct/>
              <w:topLinePunct w:val="0"/>
              <w:autoSpaceDE/>
              <w:autoSpaceDN/>
              <w:bidi w:val="0"/>
              <w:adjustRightInd/>
              <w:snapToGrid/>
              <w:ind w:leftChars="0" w:firstLine="0" w:firstLineChars="0"/>
              <w:textAlignment w:val="auto"/>
              <w:rPr>
                <w:rFonts w:hint="eastAsia"/>
                <w:b/>
                <w:bCs/>
                <w:color w:val="auto"/>
                <w:highlight w:val="none"/>
                <w:lang w:val="en-US" w:eastAsia="zh-CN"/>
              </w:rPr>
            </w:pPr>
            <w:r>
              <w:rPr>
                <w:rFonts w:hint="eastAsia"/>
                <w:b/>
                <w:bCs/>
                <w:color w:val="auto"/>
                <w:highlight w:val="none"/>
                <w:lang w:val="en-US" w:eastAsia="zh-CN"/>
              </w:rPr>
              <w:t>运营期</w:t>
            </w:r>
          </w:p>
          <w:p w14:paraId="1F3FC28B">
            <w:pPr>
              <w:numPr>
                <w:ilvl w:val="0"/>
                <w:numId w:val="21"/>
              </w:numPr>
              <w:bidi w:val="0"/>
              <w:ind w:left="0" w:leftChars="0" w:firstLine="0" w:firstLineChars="0"/>
              <w:rPr>
                <w:rFonts w:hint="default"/>
                <w:b/>
                <w:bCs/>
                <w:color w:val="auto"/>
                <w:highlight w:val="none"/>
              </w:rPr>
            </w:pPr>
            <w:r>
              <w:rPr>
                <w:rFonts w:hint="eastAsia"/>
                <w:b/>
                <w:bCs/>
                <w:color w:val="auto"/>
                <w:highlight w:val="none"/>
                <w:lang w:val="en-US" w:eastAsia="zh-CN"/>
              </w:rPr>
              <w:t>工艺流程</w:t>
            </w:r>
          </w:p>
          <w:p w14:paraId="0F933F67">
            <w:pPr>
              <w:bidi w:val="0"/>
              <w:rPr>
                <w:rFonts w:hint="eastAsia" w:cs="Times New Roman"/>
                <w:i w:val="0"/>
                <w:color w:val="auto"/>
                <w:kern w:val="0"/>
                <w:sz w:val="24"/>
                <w:szCs w:val="24"/>
                <w:highlight w:val="none"/>
                <w:u w:val="none"/>
                <w:lang w:val="en-US" w:eastAsia="zh-CN" w:bidi="ar"/>
              </w:rPr>
            </w:pPr>
            <w:r>
              <w:rPr>
                <w:rFonts w:hint="eastAsia"/>
                <w:color w:val="auto"/>
                <w:lang w:val="en-US" w:eastAsia="zh-CN"/>
              </w:rPr>
              <w:t>本项目主要在现有生产工艺的基础上新增壳体除锈、除油、喷漆、烘干/晾干等表面处理工序，项目建成后对外购壳体组装前进行除锈、除油、喷漆、烘干/晾干，新增</w:t>
            </w:r>
            <w:r>
              <w:rPr>
                <w:rFonts w:hint="eastAsia"/>
                <w:color w:val="auto"/>
                <w:sz w:val="24"/>
                <w:szCs w:val="24"/>
                <w:highlight w:val="none"/>
                <w:lang w:val="en-US" w:eastAsia="zh-CN"/>
              </w:rPr>
              <w:t>高压试验设备主要用于检验工序，项目建成后组装、检验</w:t>
            </w:r>
            <w:r>
              <w:rPr>
                <w:rFonts w:hint="eastAsia"/>
                <w:color w:val="auto"/>
                <w:lang w:val="en-US" w:eastAsia="zh-CN"/>
              </w:rPr>
              <w:t>工序不发生变化，</w:t>
            </w:r>
            <w:r>
              <w:rPr>
                <w:rFonts w:hint="eastAsia"/>
                <w:color w:val="auto"/>
                <w:sz w:val="24"/>
                <w:szCs w:val="24"/>
                <w:highlight w:val="none"/>
                <w:lang w:val="en-US" w:eastAsia="zh-CN"/>
              </w:rPr>
              <w:t>本次评价仅对表面处理工艺流程进行介绍，其余工序工艺流程不再赘述。</w:t>
            </w:r>
          </w:p>
          <w:p w14:paraId="3680E916">
            <w:pPr>
              <w:bidi w:val="0"/>
              <w:rPr>
                <w:rFonts w:hint="default"/>
                <w:color w:val="auto"/>
                <w:highlight w:val="none"/>
                <w:lang w:val="en-US" w:eastAsia="zh-CN"/>
              </w:rPr>
            </w:pPr>
            <w:r>
              <w:rPr>
                <w:rFonts w:hint="eastAsia"/>
                <w:color w:val="auto"/>
                <w:highlight w:val="none"/>
                <w:lang w:val="en-US" w:eastAsia="zh-CN"/>
              </w:rPr>
              <w:t>（1）除锈：本项目外购的壳体进厂前均进行过喷砂处理，表面基本无大块锈迹，但可能残留少量未除尽的锈迹或氧化皮，因此，需进行除锈处理。外购的壳体首先人工检验表面是否有锈迹，表面洁净无锈迹的直接送入喷漆房进行除油，表面有锈迹的送入打磨房进行机械除锈。待除锈壳体由工人利用行车送入打磨房，将其置于打磨台上，人工采用角磨机对未除尽的锈迹或氧化皮进行打磨，打磨至表面为均匀的金属机体即可。</w:t>
            </w:r>
          </w:p>
          <w:p w14:paraId="28512554">
            <w:pPr>
              <w:bidi w:val="0"/>
              <w:rPr>
                <w:rFonts w:hint="default"/>
                <w:color w:val="auto"/>
                <w:highlight w:val="none"/>
                <w:lang w:val="en-US" w:eastAsia="zh-CN"/>
              </w:rPr>
            </w:pPr>
            <w:r>
              <w:rPr>
                <w:rFonts w:hint="eastAsia"/>
                <w:b/>
                <w:bCs/>
                <w:color w:val="auto"/>
                <w:highlight w:val="none"/>
                <w:lang w:val="en-US" w:eastAsia="zh-CN"/>
              </w:rPr>
              <w:t>本工序产污节点主要为：打磨过程产生的颗粒物；设备运行产生的噪声。</w:t>
            </w:r>
          </w:p>
          <w:p w14:paraId="710E2466">
            <w:pPr>
              <w:bidi w:val="0"/>
              <w:rPr>
                <w:rFonts w:hint="default"/>
                <w:color w:val="auto"/>
                <w:highlight w:val="none"/>
                <w:lang w:val="en-US" w:eastAsia="zh-CN"/>
              </w:rPr>
            </w:pPr>
            <w:r>
              <w:rPr>
                <w:rFonts w:hint="eastAsia"/>
                <w:color w:val="auto"/>
                <w:lang w:val="en-US" w:eastAsia="zh-CN"/>
              </w:rPr>
              <w:t>（2）除油：除锈处理后的壳体和无需除锈的壳体由工人利用行车送入喷漆房进行除锈处理，人工采用喷枪将稀释剂喷涂于工件表面，油污跟随稀释剂流入水槽中，并带走油污，露出工件本色。若油污较重，需要反复在工件油污处喷涂稀释剂或用寸刷蘸着稀料直接刷洗工件油污处，直至露出工件原始颜色，除油过程产生的废稀释剂，密闭桶装收集，作为危险废物处理。</w:t>
            </w:r>
          </w:p>
          <w:p w14:paraId="2666D4C4">
            <w:pPr>
              <w:bidi w:val="0"/>
              <w:rPr>
                <w:rFonts w:hint="eastAsia"/>
                <w:b/>
                <w:bCs/>
                <w:color w:val="auto"/>
                <w:highlight w:val="none"/>
                <w:lang w:val="en-US" w:eastAsia="zh-CN"/>
              </w:rPr>
            </w:pPr>
            <w:r>
              <w:rPr>
                <w:rFonts w:hint="eastAsia"/>
                <w:b/>
                <w:bCs/>
                <w:color w:val="auto"/>
                <w:highlight w:val="none"/>
                <w:lang w:val="en-US" w:eastAsia="zh-CN"/>
              </w:rPr>
              <w:t>本工序产污节点主要为：除油过程产生的有机废气；设备运行产生的噪声；除油过程产生的废稀释剂、废漆桶。</w:t>
            </w:r>
          </w:p>
          <w:p w14:paraId="646011E3">
            <w:pPr>
              <w:bidi w:val="0"/>
              <w:rPr>
                <w:rFonts w:hint="default"/>
                <w:color w:val="auto"/>
                <w:lang w:val="en-US" w:eastAsia="zh-CN"/>
              </w:rPr>
            </w:pPr>
            <w:r>
              <w:rPr>
                <w:rFonts w:hint="eastAsia"/>
                <w:color w:val="auto"/>
                <w:lang w:val="en-US" w:eastAsia="zh-CN"/>
              </w:rPr>
              <w:t>（3）调漆、喷漆、晾干/烘干、刮腻子、腻子打磨</w:t>
            </w:r>
          </w:p>
          <w:p w14:paraId="53323B6E">
            <w:pPr>
              <w:bidi w:val="0"/>
              <w:rPr>
                <w:rFonts w:hint="eastAsia"/>
                <w:color w:val="auto"/>
                <w:lang w:val="en-US" w:eastAsia="zh-CN"/>
              </w:rPr>
            </w:pPr>
            <w:r>
              <w:rPr>
                <w:rFonts w:hint="eastAsia"/>
                <w:color w:val="auto"/>
                <w:lang w:val="en-US" w:eastAsia="zh-CN"/>
              </w:rPr>
              <w:t>项目所用漆料均为油性漆，喷漆前需进行调漆，调漆过程在喷漆房中进行。调漆后的漆料人工使用喷枪喷涂至壳体上，其中，内表面喷涂两道耐弧漆，外表面喷涂两道底漆、两道面漆。外表面两道底漆喷涂完毕后，需进行刮腻子、腻子打磨进行找平，找平后喷涂两道面漆，每道漆喷涂完毕后均需进行烘干/晾干，具体工艺流程如下：</w:t>
            </w:r>
          </w:p>
          <w:p w14:paraId="358A7AE0">
            <w:pPr>
              <w:bidi w:val="0"/>
              <w:rPr>
                <w:rFonts w:hint="eastAsia"/>
                <w:color w:val="auto"/>
                <w:lang w:val="en-US" w:eastAsia="zh-CN"/>
              </w:rPr>
            </w:pPr>
            <w:r>
              <w:rPr>
                <w:rFonts w:hint="eastAsia"/>
                <w:color w:val="auto"/>
                <w:lang w:val="en-US" w:eastAsia="zh-CN"/>
              </w:rPr>
              <w:t>①调漆、喷涂耐弧漆</w:t>
            </w:r>
          </w:p>
          <w:p w14:paraId="7E91E620">
            <w:pPr>
              <w:bidi w:val="0"/>
              <w:rPr>
                <w:rFonts w:hint="default"/>
                <w:color w:val="auto"/>
                <w:lang w:val="en-US" w:eastAsia="zh-CN"/>
              </w:rPr>
            </w:pPr>
            <w:r>
              <w:rPr>
                <w:rFonts w:hint="eastAsia"/>
                <w:color w:val="auto"/>
                <w:lang w:val="en-US" w:eastAsia="zh-CN"/>
              </w:rPr>
              <w:t>除油后的壳体首先对内表面进行耐弧漆喷涂，耐弧漆喷涂前需使用稀释剂进行稀释调配，调配后人工使用喷枪喷涂至壳体上，壳体喷涂前需采用纸胶带和报纸及泡沫板等将接地螺丝、线嘴孔、穿腔端子、大线柱孔、按钮孔、显示器安装孔、观察孔等全部进行遮蔽。项目共喷涂两道耐弧漆。</w:t>
            </w:r>
          </w:p>
          <w:p w14:paraId="057E4335">
            <w:pPr>
              <w:bidi w:val="0"/>
              <w:rPr>
                <w:rFonts w:hint="default"/>
                <w:color w:val="auto"/>
                <w:lang w:val="en-US" w:eastAsia="zh-CN"/>
              </w:rPr>
            </w:pPr>
            <w:r>
              <w:rPr>
                <w:rFonts w:hint="eastAsia"/>
                <w:b/>
                <w:bCs/>
                <w:color w:val="auto"/>
                <w:highlight w:val="none"/>
                <w:lang w:val="en-US" w:eastAsia="zh-CN"/>
              </w:rPr>
              <w:t>本工序产污节点主要为：调漆、喷漆过程产生的颗粒物（漆雾）、有机废气；设备运行产生的噪声；喷漆过程产生的漆渣、废漆桶、废遮蔽物。</w:t>
            </w:r>
          </w:p>
          <w:p w14:paraId="0DABE62C">
            <w:pPr>
              <w:bidi w:val="0"/>
              <w:rPr>
                <w:rFonts w:hint="default"/>
                <w:color w:val="auto"/>
                <w:lang w:val="en-US" w:eastAsia="zh-CN"/>
              </w:rPr>
            </w:pPr>
            <w:r>
              <w:rPr>
                <w:rFonts w:hint="eastAsia"/>
                <w:color w:val="auto"/>
                <w:lang w:val="en-US" w:eastAsia="zh-CN"/>
              </w:rPr>
              <w:t>②耐弧漆烘干/晾干</w:t>
            </w:r>
          </w:p>
          <w:p w14:paraId="503D1C81">
            <w:pPr>
              <w:bidi w:val="0"/>
              <w:rPr>
                <w:rFonts w:hint="default"/>
                <w:color w:val="auto"/>
                <w:lang w:val="en-US" w:eastAsia="zh-CN"/>
              </w:rPr>
            </w:pPr>
            <w:r>
              <w:rPr>
                <w:rFonts w:hint="eastAsia"/>
                <w:color w:val="auto"/>
                <w:lang w:val="en-US" w:eastAsia="zh-CN"/>
              </w:rPr>
              <w:t>每道耐弧漆喷涂完毕后均需进行烘干/晾干，烘干/晾干过程在烘干房进行，在正常情况下，只需要在烘干房进行自然干燥处理，只有在空气过于潮湿或室内温度低于</w:t>
            </w:r>
            <w:r>
              <w:rPr>
                <w:rFonts w:hint="default" w:ascii="Times New Roman" w:hAnsi="Times New Roman" w:cs="Times New Roman"/>
                <w:color w:val="auto"/>
                <w:lang w:val="en-US" w:eastAsia="zh-CN"/>
              </w:rPr>
              <w:t>5°</w:t>
            </w:r>
            <w:r>
              <w:rPr>
                <w:rFonts w:hint="eastAsia"/>
                <w:color w:val="auto"/>
                <w:lang w:val="en-US" w:eastAsia="zh-CN"/>
              </w:rPr>
              <w:t>时才进行烘干，烘干温度约30</w:t>
            </w:r>
            <w:r>
              <w:rPr>
                <w:rFonts w:hint="default" w:ascii="Times New Roman" w:hAnsi="Times New Roman" w:cs="Times New Roman"/>
                <w:color w:val="auto"/>
                <w:lang w:val="en-US" w:eastAsia="zh-CN"/>
              </w:rPr>
              <w:t>℃</w:t>
            </w:r>
            <w:r>
              <w:rPr>
                <w:rFonts w:hint="eastAsia"/>
                <w:color w:val="auto"/>
                <w:lang w:val="en-US" w:eastAsia="zh-CN"/>
              </w:rPr>
              <w:t>，烘干过程采用电加热。烘干/晾干平均时间约1h。</w:t>
            </w:r>
          </w:p>
          <w:p w14:paraId="42F62C93">
            <w:pPr>
              <w:bidi w:val="0"/>
              <w:rPr>
                <w:rFonts w:hint="default"/>
                <w:color w:val="auto"/>
                <w:lang w:val="en-US" w:eastAsia="zh-CN"/>
              </w:rPr>
            </w:pPr>
            <w:r>
              <w:rPr>
                <w:rFonts w:hint="eastAsia"/>
                <w:b/>
                <w:bCs/>
                <w:color w:val="auto"/>
                <w:highlight w:val="none"/>
                <w:lang w:val="en-US" w:eastAsia="zh-CN"/>
              </w:rPr>
              <w:t>本工序产污节点主要为：烘干/晾干过程产生的有机废气。</w:t>
            </w:r>
          </w:p>
          <w:p w14:paraId="0A55F444">
            <w:pPr>
              <w:bidi w:val="0"/>
              <w:rPr>
                <w:rFonts w:hint="eastAsia"/>
                <w:color w:val="auto"/>
                <w:lang w:val="en-US" w:eastAsia="zh-CN"/>
              </w:rPr>
            </w:pPr>
            <w:r>
              <w:rPr>
                <w:rFonts w:hint="eastAsia"/>
                <w:color w:val="auto"/>
                <w:lang w:val="en-US" w:eastAsia="zh-CN"/>
              </w:rPr>
              <w:t>③调漆、喷涂底漆</w:t>
            </w:r>
          </w:p>
          <w:p w14:paraId="7A7C05AD">
            <w:pPr>
              <w:bidi w:val="0"/>
              <w:rPr>
                <w:rFonts w:hint="default"/>
                <w:color w:val="auto"/>
                <w:lang w:val="en-US" w:eastAsia="zh-CN"/>
              </w:rPr>
            </w:pPr>
            <w:r>
              <w:rPr>
                <w:rFonts w:hint="eastAsia"/>
                <w:color w:val="auto"/>
                <w:lang w:val="en-US" w:eastAsia="zh-CN"/>
              </w:rPr>
              <w:t>内表面两道耐弧漆喷涂、烘干/晾干完毕后，对外表面进行底漆喷涂，耐弧漆喷涂前需进行调配，调配后人工使用喷枪喷涂至壳体上。项目共喷涂两道底漆。</w:t>
            </w:r>
          </w:p>
          <w:p w14:paraId="23B83801">
            <w:pPr>
              <w:bidi w:val="0"/>
              <w:rPr>
                <w:rFonts w:hint="default"/>
                <w:color w:val="auto"/>
                <w:lang w:val="en-US" w:eastAsia="zh-CN"/>
              </w:rPr>
            </w:pPr>
            <w:r>
              <w:rPr>
                <w:rFonts w:hint="eastAsia"/>
                <w:b/>
                <w:bCs/>
                <w:color w:val="auto"/>
                <w:highlight w:val="none"/>
                <w:lang w:val="en-US" w:eastAsia="zh-CN"/>
              </w:rPr>
              <w:t>本工序产污节点主要为：调漆、喷漆过程产生的颗粒物（漆雾）、有机废气；设备运行产生的噪声；喷漆过程产生的漆渣、废漆桶。</w:t>
            </w:r>
          </w:p>
          <w:p w14:paraId="0176BA4E">
            <w:pPr>
              <w:bidi w:val="0"/>
              <w:rPr>
                <w:rFonts w:hint="default"/>
                <w:color w:val="auto"/>
                <w:lang w:val="en-US" w:eastAsia="zh-CN"/>
              </w:rPr>
            </w:pPr>
            <w:r>
              <w:rPr>
                <w:rFonts w:hint="eastAsia"/>
                <w:color w:val="auto"/>
                <w:lang w:val="en-US" w:eastAsia="zh-CN"/>
              </w:rPr>
              <w:t>④底漆烘干/晾干</w:t>
            </w:r>
          </w:p>
          <w:p w14:paraId="19519A86">
            <w:pPr>
              <w:bidi w:val="0"/>
              <w:rPr>
                <w:rFonts w:hint="eastAsia"/>
                <w:color w:val="auto"/>
                <w:lang w:val="en-US" w:eastAsia="zh-CN"/>
              </w:rPr>
            </w:pPr>
            <w:r>
              <w:rPr>
                <w:rFonts w:hint="eastAsia"/>
                <w:color w:val="auto"/>
                <w:lang w:val="en-US" w:eastAsia="zh-CN"/>
              </w:rPr>
              <w:t>每道底漆喷涂完毕后均需进行烘干/晾干，烘干/晾干过程在烘干房进行，在正常情况下，只需要在烘干房进行自然干燥处理，只有在空气过于潮湿或室内温度低于</w:t>
            </w:r>
            <w:r>
              <w:rPr>
                <w:rFonts w:hint="default" w:ascii="Times New Roman" w:hAnsi="Times New Roman" w:cs="Times New Roman"/>
                <w:color w:val="auto"/>
                <w:lang w:val="en-US" w:eastAsia="zh-CN"/>
              </w:rPr>
              <w:t>5°</w:t>
            </w:r>
            <w:r>
              <w:rPr>
                <w:rFonts w:hint="eastAsia"/>
                <w:color w:val="auto"/>
                <w:lang w:val="en-US" w:eastAsia="zh-CN"/>
              </w:rPr>
              <w:t>时才进行烘干，烘干温度约30</w:t>
            </w:r>
            <w:r>
              <w:rPr>
                <w:rFonts w:hint="default" w:ascii="Times New Roman" w:hAnsi="Times New Roman" w:cs="Times New Roman"/>
                <w:color w:val="auto"/>
                <w:lang w:val="en-US" w:eastAsia="zh-CN"/>
              </w:rPr>
              <w:t>℃</w:t>
            </w:r>
            <w:r>
              <w:rPr>
                <w:rFonts w:hint="eastAsia"/>
                <w:color w:val="auto"/>
                <w:lang w:val="en-US" w:eastAsia="zh-CN"/>
              </w:rPr>
              <w:t>，烘干过程采用电加热。烘干/晾干平均时间约1h。</w:t>
            </w:r>
          </w:p>
          <w:p w14:paraId="1E9D1EE8">
            <w:pPr>
              <w:bidi w:val="0"/>
              <w:rPr>
                <w:rFonts w:hint="eastAsia"/>
                <w:color w:val="auto"/>
                <w:lang w:val="en-US" w:eastAsia="zh-CN"/>
              </w:rPr>
            </w:pPr>
            <w:r>
              <w:rPr>
                <w:rFonts w:hint="eastAsia"/>
                <w:b/>
                <w:bCs/>
                <w:color w:val="auto"/>
                <w:highlight w:val="none"/>
                <w:lang w:val="en-US" w:eastAsia="zh-CN"/>
              </w:rPr>
              <w:t>本工序产污节点主要为：烘干/晾干过程产生的有机废气。</w:t>
            </w:r>
          </w:p>
          <w:p w14:paraId="0E864F5C">
            <w:pPr>
              <w:bidi w:val="0"/>
              <w:rPr>
                <w:rFonts w:hint="default"/>
                <w:color w:val="auto"/>
                <w:lang w:val="en-US" w:eastAsia="zh-CN"/>
              </w:rPr>
            </w:pPr>
            <w:r>
              <w:rPr>
                <w:rFonts w:hint="eastAsia"/>
                <w:color w:val="auto"/>
                <w:lang w:val="en-US" w:eastAsia="zh-CN"/>
              </w:rPr>
              <w:t>⑤刮腻子、腻子打磨</w:t>
            </w:r>
          </w:p>
          <w:p w14:paraId="08ACFE68">
            <w:pPr>
              <w:bidi w:val="0"/>
              <w:rPr>
                <w:rFonts w:hint="eastAsia"/>
                <w:color w:val="auto"/>
                <w:lang w:val="en-US" w:eastAsia="zh-CN"/>
              </w:rPr>
            </w:pPr>
            <w:r>
              <w:rPr>
                <w:rFonts w:hint="eastAsia"/>
                <w:color w:val="auto"/>
                <w:lang w:val="en-US" w:eastAsia="zh-CN"/>
              </w:rPr>
              <w:t>对于底漆喷涂后的不平整部分，需要刮腻子找平，</w:t>
            </w:r>
            <w:r>
              <w:rPr>
                <w:rFonts w:hint="default"/>
                <w:color w:val="auto"/>
                <w:lang w:val="en-US" w:eastAsia="zh-CN"/>
              </w:rPr>
              <w:t>待工件表面的腻子自然固化后</w:t>
            </w:r>
            <w:r>
              <w:rPr>
                <w:rFonts w:hint="eastAsia"/>
                <w:color w:val="auto"/>
                <w:lang w:val="en-US" w:eastAsia="zh-CN"/>
              </w:rPr>
              <w:t>采用砂纸进行打磨。刮腻子、腻子打磨过程均在喷漆房中进行。</w:t>
            </w:r>
          </w:p>
          <w:p w14:paraId="4601EB8A">
            <w:pPr>
              <w:bidi w:val="0"/>
              <w:rPr>
                <w:rFonts w:hint="eastAsia"/>
                <w:b/>
                <w:bCs/>
                <w:color w:val="auto"/>
                <w:highlight w:val="none"/>
                <w:lang w:val="en-US" w:eastAsia="zh-CN"/>
              </w:rPr>
            </w:pPr>
            <w:r>
              <w:rPr>
                <w:rFonts w:hint="eastAsia"/>
                <w:b/>
                <w:bCs/>
                <w:color w:val="auto"/>
                <w:highlight w:val="none"/>
                <w:lang w:val="en-US" w:eastAsia="zh-CN"/>
              </w:rPr>
              <w:t>本工序产污节点主要为：刮腻子过程产生的有机废气，腻子打磨过程产生的颗粒物；设备运行产生的噪声；腻子打磨过程产生的废砂纸。</w:t>
            </w:r>
          </w:p>
          <w:p w14:paraId="16CA5DE2">
            <w:pPr>
              <w:bidi w:val="0"/>
              <w:rPr>
                <w:rFonts w:hint="eastAsia"/>
                <w:color w:val="auto"/>
                <w:lang w:val="en-US" w:eastAsia="zh-CN"/>
              </w:rPr>
            </w:pPr>
            <w:r>
              <w:rPr>
                <w:rFonts w:hint="default"/>
                <w:color w:val="auto"/>
                <w:lang w:val="en-US" w:eastAsia="zh-CN"/>
              </w:rPr>
              <w:t>⑥</w:t>
            </w:r>
            <w:r>
              <w:rPr>
                <w:rFonts w:hint="eastAsia"/>
                <w:color w:val="auto"/>
                <w:lang w:val="en-US" w:eastAsia="zh-CN"/>
              </w:rPr>
              <w:t>调漆、喷涂面漆</w:t>
            </w:r>
          </w:p>
          <w:p w14:paraId="7AA3BCFD">
            <w:pPr>
              <w:bidi w:val="0"/>
              <w:rPr>
                <w:rFonts w:hint="default"/>
                <w:color w:val="auto"/>
                <w:lang w:val="en-US" w:eastAsia="zh-CN"/>
              </w:rPr>
            </w:pPr>
            <w:r>
              <w:rPr>
                <w:rFonts w:hint="eastAsia"/>
                <w:color w:val="auto"/>
                <w:lang w:val="en-US" w:eastAsia="zh-CN"/>
              </w:rPr>
              <w:t>刮腻子、腻子打磨找平后，对外表面进行面漆喷涂，面漆喷涂前需进行调配，调配后人工使用喷枪喷涂至壳体上。项目共喷涂两道面漆。</w:t>
            </w:r>
          </w:p>
          <w:p w14:paraId="63282655">
            <w:pPr>
              <w:bidi w:val="0"/>
              <w:rPr>
                <w:rFonts w:hint="eastAsia"/>
                <w:b/>
                <w:bCs/>
                <w:color w:val="auto"/>
                <w:highlight w:val="none"/>
                <w:lang w:val="en-US" w:eastAsia="zh-CN"/>
              </w:rPr>
            </w:pPr>
            <w:r>
              <w:rPr>
                <w:rFonts w:hint="eastAsia"/>
                <w:b/>
                <w:bCs/>
                <w:color w:val="auto"/>
                <w:highlight w:val="none"/>
                <w:lang w:val="en-US" w:eastAsia="zh-CN"/>
              </w:rPr>
              <w:t>本工序产污节点主要为：调漆、喷漆过程产生的漆雾、有机废气；设备运行产生的噪声；喷漆过程产生的漆渣、废漆桶。</w:t>
            </w:r>
          </w:p>
          <w:p w14:paraId="3A70049D">
            <w:pPr>
              <w:bidi w:val="0"/>
              <w:rPr>
                <w:rFonts w:hint="default"/>
                <w:color w:val="auto"/>
                <w:lang w:val="en-US" w:eastAsia="zh-CN"/>
              </w:rPr>
            </w:pPr>
            <w:r>
              <w:rPr>
                <w:rFonts w:hint="eastAsia"/>
                <w:color w:val="auto"/>
                <w:lang w:val="en-US" w:eastAsia="zh-CN"/>
              </w:rPr>
              <w:t>⑦面漆烘干/晾干</w:t>
            </w:r>
          </w:p>
          <w:p w14:paraId="534D7D59">
            <w:pPr>
              <w:bidi w:val="0"/>
              <w:rPr>
                <w:rFonts w:hint="eastAsia"/>
                <w:color w:val="auto"/>
                <w:lang w:val="en-US" w:eastAsia="zh-CN"/>
              </w:rPr>
            </w:pPr>
            <w:r>
              <w:rPr>
                <w:rFonts w:hint="eastAsia"/>
                <w:color w:val="auto"/>
                <w:lang w:val="en-US" w:eastAsia="zh-CN"/>
              </w:rPr>
              <w:t>每道面漆喷涂完毕后均需进行烘干/晾干，烘干/晾干过程在烘干房进行，在正常情况下，只需要在烘干房进行自然干燥处理，只有在空气过于潮湿或室内温度低于</w:t>
            </w:r>
            <w:r>
              <w:rPr>
                <w:rFonts w:hint="default" w:ascii="Times New Roman" w:hAnsi="Times New Roman" w:cs="Times New Roman"/>
                <w:color w:val="auto"/>
                <w:lang w:val="en-US" w:eastAsia="zh-CN"/>
              </w:rPr>
              <w:t>5°</w:t>
            </w:r>
            <w:r>
              <w:rPr>
                <w:rFonts w:hint="eastAsia"/>
                <w:color w:val="auto"/>
                <w:lang w:val="en-US" w:eastAsia="zh-CN"/>
              </w:rPr>
              <w:t>时才进行烘干，烘干温度约30</w:t>
            </w:r>
            <w:r>
              <w:rPr>
                <w:rFonts w:hint="default" w:ascii="Times New Roman" w:hAnsi="Times New Roman" w:cs="Times New Roman"/>
                <w:color w:val="auto"/>
                <w:lang w:val="en-US" w:eastAsia="zh-CN"/>
              </w:rPr>
              <w:t>℃</w:t>
            </w:r>
            <w:r>
              <w:rPr>
                <w:rFonts w:hint="eastAsia"/>
                <w:color w:val="auto"/>
                <w:lang w:val="en-US" w:eastAsia="zh-CN"/>
              </w:rPr>
              <w:t>，烘干过程采用电加热。烘干/晾干平均时间约1h。</w:t>
            </w:r>
          </w:p>
          <w:p w14:paraId="1628D4A5">
            <w:pPr>
              <w:bidi w:val="0"/>
              <w:rPr>
                <w:rFonts w:hint="default"/>
                <w:b/>
                <w:bCs/>
                <w:color w:val="auto"/>
                <w:highlight w:val="none"/>
                <w:lang w:val="en-US" w:eastAsia="zh-CN"/>
              </w:rPr>
            </w:pPr>
            <w:r>
              <w:rPr>
                <w:rFonts w:hint="eastAsia"/>
                <w:b/>
                <w:bCs/>
                <w:color w:val="auto"/>
                <w:highlight w:val="none"/>
                <w:lang w:val="en-US" w:eastAsia="zh-CN"/>
              </w:rPr>
              <w:t>本工序产污节点主要为：烘干/晾干过程产生的有机废气。</w:t>
            </w:r>
          </w:p>
          <w:p w14:paraId="2D94CA61">
            <w:pPr>
              <w:bidi w:val="0"/>
              <w:rPr>
                <w:rFonts w:hint="eastAsia"/>
                <w:color w:val="auto"/>
                <w:lang w:val="en-US" w:eastAsia="zh-CN"/>
              </w:rPr>
            </w:pPr>
            <w:r>
              <w:rPr>
                <w:rFonts w:hint="eastAsia"/>
                <w:color w:val="auto"/>
                <w:lang w:val="en-US" w:eastAsia="zh-CN"/>
              </w:rPr>
              <w:t>第二道面漆烘干后，与组装后的元器件进行整机组装，进入后续工序。</w:t>
            </w:r>
          </w:p>
          <w:p w14:paraId="112F7E61">
            <w:pPr>
              <w:bidi w:val="0"/>
              <w:rPr>
                <w:rFonts w:hint="eastAsia"/>
                <w:color w:val="auto"/>
                <w:lang w:val="en-US" w:eastAsia="zh-CN"/>
              </w:rPr>
            </w:pPr>
          </w:p>
          <w:p w14:paraId="1A1FD350">
            <w:pPr>
              <w:bidi w:val="0"/>
              <w:rPr>
                <w:rFonts w:hint="eastAsia"/>
                <w:color w:val="auto"/>
                <w:lang w:val="en-US" w:eastAsia="zh-CN"/>
              </w:rPr>
            </w:pPr>
          </w:p>
          <w:p w14:paraId="1A7CBB32">
            <w:pPr>
              <w:bidi w:val="0"/>
              <w:rPr>
                <w:rFonts w:hint="eastAsia"/>
                <w:color w:val="auto"/>
                <w:lang w:val="en-US" w:eastAsia="zh-CN"/>
              </w:rPr>
            </w:pPr>
          </w:p>
          <w:p w14:paraId="54C6D4DF">
            <w:pPr>
              <w:bidi w:val="0"/>
              <w:rPr>
                <w:rFonts w:hint="eastAsia"/>
                <w:color w:val="auto"/>
                <w:lang w:val="en-US" w:eastAsia="zh-CN"/>
              </w:rPr>
            </w:pPr>
          </w:p>
          <w:p w14:paraId="4AD6D46A">
            <w:pPr>
              <w:pStyle w:val="2"/>
              <w:rPr>
                <w:rFonts w:hint="eastAsia"/>
                <w:color w:val="auto"/>
                <w:lang w:val="en-US" w:eastAsia="zh-CN"/>
              </w:rPr>
            </w:pPr>
          </w:p>
          <w:p w14:paraId="28FBB051">
            <w:pPr>
              <w:pStyle w:val="3"/>
              <w:rPr>
                <w:rFonts w:hint="eastAsia"/>
                <w:color w:val="auto"/>
                <w:lang w:val="en-US" w:eastAsia="zh-CN"/>
              </w:rPr>
            </w:pPr>
          </w:p>
          <w:p w14:paraId="76F9F8BC">
            <w:pPr>
              <w:rPr>
                <w:rFonts w:hint="eastAsia"/>
                <w:color w:val="auto"/>
                <w:lang w:val="en-US" w:eastAsia="zh-CN"/>
              </w:rPr>
            </w:pPr>
          </w:p>
          <w:p w14:paraId="153AEDAA">
            <w:pPr>
              <w:pStyle w:val="2"/>
              <w:rPr>
                <w:rFonts w:hint="eastAsia"/>
                <w:color w:val="auto"/>
                <w:lang w:val="en-US" w:eastAsia="zh-CN"/>
              </w:rPr>
            </w:pPr>
          </w:p>
          <w:p w14:paraId="1A20DA64">
            <w:pPr>
              <w:pStyle w:val="3"/>
              <w:rPr>
                <w:rFonts w:hint="eastAsia"/>
                <w:color w:val="auto"/>
                <w:lang w:val="en-US" w:eastAsia="zh-CN"/>
              </w:rPr>
            </w:pPr>
          </w:p>
          <w:p w14:paraId="13009BD5">
            <w:pPr>
              <w:rPr>
                <w:rFonts w:hint="eastAsia"/>
                <w:color w:val="auto"/>
                <w:lang w:val="en-US" w:eastAsia="zh-CN"/>
              </w:rPr>
            </w:pPr>
          </w:p>
          <w:p w14:paraId="026304C0">
            <w:pPr>
              <w:pStyle w:val="2"/>
              <w:rPr>
                <w:rFonts w:hint="eastAsia"/>
                <w:color w:val="auto"/>
                <w:lang w:val="en-US" w:eastAsia="zh-CN"/>
              </w:rPr>
            </w:pPr>
          </w:p>
          <w:p w14:paraId="2293D786">
            <w:pPr>
              <w:pStyle w:val="3"/>
              <w:rPr>
                <w:rFonts w:hint="eastAsia"/>
                <w:color w:val="auto"/>
                <w:lang w:val="en-US" w:eastAsia="zh-CN"/>
              </w:rPr>
            </w:pPr>
          </w:p>
          <w:p w14:paraId="71BE4F21">
            <w:pPr>
              <w:rPr>
                <w:rFonts w:hint="eastAsia"/>
                <w:color w:val="auto"/>
                <w:lang w:val="en-US" w:eastAsia="zh-CN"/>
              </w:rPr>
            </w:pPr>
          </w:p>
          <w:p w14:paraId="3935CF1B">
            <w:pPr>
              <w:pStyle w:val="2"/>
              <w:rPr>
                <w:rFonts w:hint="eastAsia"/>
                <w:color w:val="auto"/>
                <w:lang w:val="en-US" w:eastAsia="zh-CN"/>
              </w:rPr>
            </w:pPr>
          </w:p>
          <w:p w14:paraId="4B92CA04">
            <w:pPr>
              <w:pStyle w:val="3"/>
              <w:rPr>
                <w:rFonts w:hint="eastAsia"/>
                <w:color w:val="auto"/>
                <w:lang w:val="en-US" w:eastAsia="zh-CN"/>
              </w:rPr>
            </w:pPr>
          </w:p>
          <w:p w14:paraId="68ACA550">
            <w:pPr>
              <w:rPr>
                <w:rFonts w:hint="eastAsia"/>
                <w:color w:val="auto"/>
                <w:lang w:val="en-US" w:eastAsia="zh-CN"/>
              </w:rPr>
            </w:pPr>
          </w:p>
          <w:p w14:paraId="40DB54F0">
            <w:pPr>
              <w:pStyle w:val="2"/>
              <w:rPr>
                <w:rFonts w:hint="eastAsia"/>
                <w:lang w:val="en-US" w:eastAsia="zh-CN"/>
              </w:rPr>
            </w:pPr>
          </w:p>
          <w:p w14:paraId="0F36E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color w:val="auto"/>
              </w:rPr>
              <w:drawing>
                <wp:inline distT="0" distB="0" distL="114300" distR="114300">
                  <wp:extent cx="3849370" cy="5471795"/>
                  <wp:effectExtent l="0" t="0" r="17780"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3849370" cy="5471795"/>
                          </a:xfrm>
                          <a:prstGeom prst="rect">
                            <a:avLst/>
                          </a:prstGeom>
                          <a:noFill/>
                          <a:ln>
                            <a:noFill/>
                          </a:ln>
                        </pic:spPr>
                      </pic:pic>
                    </a:graphicData>
                  </a:graphic>
                </wp:inline>
              </w:drawing>
            </w:r>
          </w:p>
          <w:p w14:paraId="4524B656">
            <w:pPr>
              <w:pStyle w:val="33"/>
              <w:bidi w:val="0"/>
              <w:rPr>
                <w:rFonts w:hint="eastAsia"/>
                <w:color w:val="auto"/>
                <w:highlight w:val="none"/>
                <w:lang w:val="en-US" w:eastAsia="zh-CN"/>
              </w:rPr>
            </w:pPr>
            <w:r>
              <w:rPr>
                <w:rFonts w:hint="eastAsia"/>
                <w:color w:val="auto"/>
                <w:highlight w:val="none"/>
                <w:lang w:val="en-US" w:eastAsia="zh-CN"/>
              </w:rPr>
              <w:t>图6  本项目建成后生产</w:t>
            </w:r>
            <w:r>
              <w:rPr>
                <w:rFonts w:hint="default"/>
                <w:color w:val="auto"/>
                <w:highlight w:val="none"/>
                <w:lang w:val="en-US" w:eastAsia="zh-CN"/>
              </w:rPr>
              <w:t>工艺流程及排污节点图</w:t>
            </w:r>
          </w:p>
          <w:p w14:paraId="69B613E7">
            <w:pPr>
              <w:bidi w:val="0"/>
              <w:ind w:left="0" w:leftChars="0" w:firstLine="0" w:firstLineChars="0"/>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2、废气处理设施</w:t>
            </w:r>
          </w:p>
          <w:p w14:paraId="1E06723A">
            <w:pPr>
              <w:bidi w:val="0"/>
              <w:rPr>
                <w:rFonts w:hint="eastAsia"/>
                <w:color w:val="auto"/>
                <w:lang w:val="en-US" w:eastAsia="zh-CN"/>
              </w:rPr>
            </w:pPr>
            <w:r>
              <w:rPr>
                <w:rFonts w:hint="eastAsia"/>
                <w:color w:val="auto"/>
                <w:lang w:val="en-US" w:eastAsia="zh-CN"/>
              </w:rPr>
              <w:t>（1）打磨废气：打磨过程在封闭打磨房内进行，打磨房连接管道，采用风机将打磨过程产生的废气引入1套脉冲布袋除尘器（TA001）处理，处理后通过1根27m高排气筒（DA001）排放至大气中。</w:t>
            </w:r>
          </w:p>
          <w:p w14:paraId="027FA1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3484880" cy="1188085"/>
                  <wp:effectExtent l="0" t="0" r="1270" b="1206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a:stretch>
                            <a:fillRect/>
                          </a:stretch>
                        </pic:blipFill>
                        <pic:spPr>
                          <a:xfrm>
                            <a:off x="0" y="0"/>
                            <a:ext cx="3484880" cy="1188085"/>
                          </a:xfrm>
                          <a:prstGeom prst="rect">
                            <a:avLst/>
                          </a:prstGeom>
                          <a:noFill/>
                          <a:ln>
                            <a:noFill/>
                          </a:ln>
                        </pic:spPr>
                      </pic:pic>
                    </a:graphicData>
                  </a:graphic>
                </wp:inline>
              </w:drawing>
            </w:r>
          </w:p>
          <w:p w14:paraId="273310A6">
            <w:pPr>
              <w:pStyle w:val="33"/>
              <w:bidi w:val="0"/>
              <w:rPr>
                <w:rFonts w:hint="eastAsia"/>
                <w:color w:val="auto"/>
                <w:highlight w:val="none"/>
                <w:lang w:val="en-US" w:eastAsia="zh-CN"/>
              </w:rPr>
            </w:pPr>
            <w:r>
              <w:rPr>
                <w:rFonts w:hint="eastAsia"/>
                <w:color w:val="auto"/>
                <w:highlight w:val="none"/>
                <w:lang w:val="en-US" w:eastAsia="zh-CN"/>
              </w:rPr>
              <w:t>图7  打磨废气处理</w:t>
            </w:r>
            <w:r>
              <w:rPr>
                <w:rFonts w:hint="default"/>
                <w:color w:val="auto"/>
                <w:highlight w:val="none"/>
                <w:lang w:val="en-US" w:eastAsia="zh-CN"/>
              </w:rPr>
              <w:t>工艺流程及排污节点图</w:t>
            </w:r>
          </w:p>
          <w:p w14:paraId="7141F713">
            <w:pPr>
              <w:bidi w:val="0"/>
              <w:rPr>
                <w:rFonts w:hint="eastAsia"/>
                <w:color w:val="auto"/>
                <w:lang w:val="en-US" w:eastAsia="zh-CN"/>
              </w:rPr>
            </w:pPr>
            <w:r>
              <w:rPr>
                <w:rFonts w:hint="eastAsia"/>
                <w:color w:val="auto"/>
                <w:lang w:val="en-US" w:eastAsia="zh-CN"/>
              </w:rPr>
              <w:t>（2）调漆、喷漆、烘干/晾干、刮腻子、腻子打磨、除油、漆料及危废储存废气：调漆、喷漆、刮腻子、腻子打磨、除油过程在喷漆房内进行，调漆、喷漆、腻子打磨、除油过程喷漆房封闭，喷漆房采取上进风，侧抽风，烘干/晾干过程在烘干房进行，烘干/晾干过程烘干房封闭，漆料储存于油漆库中，油漆库、危废间连接管道，采用风机将调漆、喷漆、刮腻子、腻子打磨、除油过程产生的颗粒物（含漆雾）、有机废气引入干式喷漆柜（纸盒）中去除大部分漆雾，然后与烘干/晾干、漆料及危废储存过程产生的废气一起进入过滤棉箱过滤+沸石转轮+催化燃烧装置进行处理，处理后通过1根15m高排气筒（DA002）排放至大气中。</w:t>
            </w:r>
          </w:p>
          <w:p w14:paraId="769F54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4656455" cy="1548130"/>
                  <wp:effectExtent l="0" t="0" r="10795" b="1397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9"/>
                          <a:stretch>
                            <a:fillRect/>
                          </a:stretch>
                        </pic:blipFill>
                        <pic:spPr>
                          <a:xfrm>
                            <a:off x="0" y="0"/>
                            <a:ext cx="4656455" cy="1548130"/>
                          </a:xfrm>
                          <a:prstGeom prst="rect">
                            <a:avLst/>
                          </a:prstGeom>
                          <a:noFill/>
                          <a:ln>
                            <a:noFill/>
                          </a:ln>
                        </pic:spPr>
                      </pic:pic>
                    </a:graphicData>
                  </a:graphic>
                </wp:inline>
              </w:drawing>
            </w:r>
          </w:p>
          <w:p w14:paraId="46B2EE6F">
            <w:pPr>
              <w:pStyle w:val="3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highlight w:val="none"/>
                <w:lang w:val="en-US" w:eastAsia="zh-CN"/>
              </w:rPr>
            </w:pPr>
            <w:r>
              <w:rPr>
                <w:rFonts w:hint="eastAsia"/>
                <w:color w:val="auto"/>
                <w:highlight w:val="none"/>
                <w:lang w:val="en-US" w:eastAsia="zh-CN"/>
              </w:rPr>
              <w:t>图8  调漆、喷漆、烘干/晾干、腻子打磨、除油、漆料及危废储存废气</w:t>
            </w:r>
          </w:p>
          <w:p w14:paraId="3AE68333">
            <w:pPr>
              <w:pStyle w:val="3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highlight w:val="none"/>
                <w:lang w:val="en-US" w:eastAsia="zh-CN"/>
              </w:rPr>
            </w:pPr>
            <w:r>
              <w:rPr>
                <w:rFonts w:hint="eastAsia"/>
                <w:color w:val="auto"/>
                <w:highlight w:val="none"/>
                <w:lang w:val="en-US" w:eastAsia="zh-CN"/>
              </w:rPr>
              <w:t>处理</w:t>
            </w:r>
            <w:r>
              <w:rPr>
                <w:rFonts w:hint="default"/>
                <w:color w:val="auto"/>
                <w:highlight w:val="none"/>
                <w:lang w:val="en-US" w:eastAsia="zh-CN"/>
              </w:rPr>
              <w:t>工艺流程及排污节点图</w:t>
            </w:r>
          </w:p>
          <w:p w14:paraId="0CBEA04F">
            <w:pPr>
              <w:bidi w:val="0"/>
              <w:rPr>
                <w:rFonts w:hint="default"/>
                <w:color w:val="auto"/>
                <w:lang w:val="en-US" w:eastAsia="zh-CN"/>
              </w:rPr>
            </w:pPr>
            <w:r>
              <w:rPr>
                <w:rFonts w:hint="eastAsia"/>
                <w:color w:val="auto"/>
                <w:lang w:val="en-US" w:eastAsia="zh-CN"/>
              </w:rPr>
              <w:t>（3）食堂废气：食堂产生的废气经油烟净化器处理后，通过专用烟道排放。</w:t>
            </w:r>
          </w:p>
          <w:p w14:paraId="26904B72">
            <w:pPr>
              <w:bidi w:val="0"/>
              <w:rPr>
                <w:rFonts w:hint="eastAsia"/>
                <w:b/>
                <w:bCs/>
                <w:color w:val="auto"/>
                <w:highlight w:val="none"/>
                <w:lang w:val="en-US" w:eastAsia="zh-CN"/>
              </w:rPr>
            </w:pPr>
            <w:r>
              <w:rPr>
                <w:rFonts w:hint="eastAsia"/>
                <w:b/>
                <w:bCs/>
                <w:color w:val="auto"/>
                <w:highlight w:val="none"/>
                <w:lang w:val="en-US" w:eastAsia="zh-CN"/>
              </w:rPr>
              <w:t>废气</w:t>
            </w:r>
            <w:r>
              <w:rPr>
                <w:rFonts w:hint="eastAsia"/>
                <w:b/>
                <w:bCs/>
                <w:color w:val="auto"/>
                <w:sz w:val="24"/>
                <w:szCs w:val="24"/>
                <w:highlight w:val="none"/>
                <w:lang w:val="en-US" w:eastAsia="zh-CN"/>
              </w:rPr>
              <w:t>处</w:t>
            </w:r>
            <w:r>
              <w:rPr>
                <w:rFonts w:hint="eastAsia"/>
                <w:b/>
                <w:bCs/>
                <w:color w:val="auto"/>
                <w:highlight w:val="none"/>
                <w:lang w:val="en-US" w:eastAsia="zh-CN"/>
              </w:rPr>
              <w:t>理设施产污节点主要为：风机、空压机运行产生的噪声；有机废气处理设施定期更换下来的废纸盒、废过滤棉、废沸石分子筛、废催化剂，布袋除尘器收集的除尘灰，定期更换的废布袋。</w:t>
            </w:r>
          </w:p>
          <w:p w14:paraId="43556F08">
            <w:pPr>
              <w:numPr>
                <w:ilvl w:val="0"/>
                <w:numId w:val="0"/>
              </w:numPr>
              <w:bidi w:val="0"/>
              <w:ind w:leftChars="0"/>
              <w:rPr>
                <w:rFonts w:hint="eastAsia"/>
                <w:b/>
                <w:bCs/>
                <w:color w:val="auto"/>
                <w:highlight w:val="none"/>
                <w:lang w:val="en-US" w:eastAsia="zh-CN"/>
              </w:rPr>
            </w:pPr>
            <w:r>
              <w:rPr>
                <w:rFonts w:hint="eastAsia"/>
                <w:b/>
                <w:bCs/>
                <w:color w:val="auto"/>
                <w:highlight w:val="none"/>
                <w:lang w:val="en-US" w:eastAsia="zh-CN"/>
              </w:rPr>
              <w:t>3、职工生活</w:t>
            </w:r>
          </w:p>
          <w:p w14:paraId="65B4D5EC">
            <w:pPr>
              <w:bidi w:val="0"/>
              <w:rPr>
                <w:rFonts w:hint="default"/>
                <w:color w:val="auto"/>
                <w:lang w:val="en-US" w:eastAsia="zh-CN"/>
              </w:rPr>
            </w:pPr>
            <w:r>
              <w:rPr>
                <w:rFonts w:hint="eastAsia"/>
                <w:color w:val="auto"/>
                <w:lang w:val="en-US" w:eastAsia="zh-CN"/>
              </w:rPr>
              <w:t>本项目新增食堂，用于职工就餐，食堂会产生一定量的食堂废气、食堂废水、生活垃圾。</w:t>
            </w:r>
          </w:p>
          <w:p w14:paraId="18DD6777">
            <w:pPr>
              <w:bidi w:val="0"/>
              <w:ind w:left="0" w:leftChars="0" w:firstLine="0" w:firstLineChars="0"/>
              <w:rPr>
                <w:rFonts w:hint="default"/>
                <w:b/>
                <w:bCs/>
                <w:color w:val="auto"/>
                <w:sz w:val="24"/>
                <w:szCs w:val="24"/>
                <w:highlight w:val="none"/>
              </w:rPr>
            </w:pPr>
            <w:r>
              <w:rPr>
                <w:rFonts w:hint="default"/>
                <w:b/>
                <w:bCs/>
                <w:color w:val="auto"/>
                <w:sz w:val="24"/>
                <w:szCs w:val="24"/>
                <w:highlight w:val="none"/>
              </w:rPr>
              <w:t>主要污染工序：</w:t>
            </w:r>
          </w:p>
          <w:p w14:paraId="71F313FE">
            <w:pPr>
              <w:numPr>
                <w:ilvl w:val="0"/>
                <w:numId w:val="22"/>
              </w:numPr>
              <w:bidi w:val="0"/>
              <w:rPr>
                <w:rFonts w:hint="default"/>
                <w:color w:val="auto"/>
                <w:highlight w:val="none"/>
              </w:rPr>
            </w:pPr>
            <w:r>
              <w:rPr>
                <w:rFonts w:hint="default"/>
                <w:color w:val="auto"/>
                <w:highlight w:val="none"/>
              </w:rPr>
              <w:t>废气：</w:t>
            </w:r>
            <w:r>
              <w:rPr>
                <w:rFonts w:hint="eastAsia"/>
                <w:color w:val="auto"/>
                <w:highlight w:val="none"/>
                <w:lang w:val="en-US" w:eastAsia="zh-CN"/>
              </w:rPr>
              <w:t>本项目废气污染源主要</w:t>
            </w:r>
            <w:r>
              <w:rPr>
                <w:rFonts w:hint="default"/>
                <w:color w:val="auto"/>
                <w:highlight w:val="none"/>
              </w:rPr>
              <w:t>为</w:t>
            </w:r>
            <w:r>
              <w:rPr>
                <w:rFonts w:hint="eastAsia"/>
                <w:color w:val="auto"/>
                <w:highlight w:val="none"/>
                <w:lang w:val="en-US" w:eastAsia="zh-CN"/>
              </w:rPr>
              <w:t>打磨过程产生的废气，调漆、喷漆、烘干/晾干、刮腻子、腻子打磨、除油、漆料及危废储存废气，食堂废气</w:t>
            </w:r>
            <w:r>
              <w:rPr>
                <w:rFonts w:hint="default"/>
                <w:color w:val="auto"/>
                <w:highlight w:val="none"/>
              </w:rPr>
              <w:t>。</w:t>
            </w:r>
          </w:p>
          <w:p w14:paraId="066A2E49">
            <w:pPr>
              <w:numPr>
                <w:ilvl w:val="0"/>
                <w:numId w:val="22"/>
              </w:numPr>
              <w:bidi w:val="0"/>
              <w:rPr>
                <w:rFonts w:hint="default"/>
                <w:color w:val="auto"/>
                <w:highlight w:val="none"/>
              </w:rPr>
            </w:pPr>
            <w:r>
              <w:rPr>
                <w:rFonts w:hint="eastAsia"/>
                <w:color w:val="auto"/>
                <w:highlight w:val="none"/>
                <w:lang w:val="en-US" w:eastAsia="zh-CN"/>
              </w:rPr>
              <w:t>废水：本项目废水污染源主要为食堂废水。</w:t>
            </w:r>
          </w:p>
          <w:p w14:paraId="48415E0E">
            <w:pPr>
              <w:bidi w:val="0"/>
              <w:rPr>
                <w:rFonts w:hint="default"/>
                <w:color w:val="auto"/>
                <w:sz w:val="24"/>
                <w:szCs w:val="24"/>
                <w:highlight w:val="none"/>
              </w:rPr>
            </w:pPr>
            <w:r>
              <w:rPr>
                <w:rFonts w:hint="default"/>
                <w:color w:val="auto"/>
                <w:sz w:val="24"/>
                <w:szCs w:val="24"/>
                <w:highlight w:val="none"/>
              </w:rPr>
              <w:t>（</w:t>
            </w:r>
            <w:r>
              <w:rPr>
                <w:rFonts w:hint="eastAsia"/>
                <w:color w:val="auto"/>
                <w:sz w:val="24"/>
                <w:szCs w:val="24"/>
                <w:highlight w:val="none"/>
                <w:lang w:val="en-US" w:eastAsia="zh-CN"/>
              </w:rPr>
              <w:t>2</w:t>
            </w:r>
            <w:r>
              <w:rPr>
                <w:rFonts w:hint="default"/>
                <w:color w:val="auto"/>
                <w:sz w:val="24"/>
                <w:szCs w:val="24"/>
                <w:highlight w:val="none"/>
              </w:rPr>
              <w:t>）噪声：</w:t>
            </w:r>
            <w:r>
              <w:rPr>
                <w:rFonts w:hint="eastAsia"/>
                <w:color w:val="auto"/>
                <w:sz w:val="24"/>
                <w:szCs w:val="24"/>
                <w:highlight w:val="none"/>
                <w:lang w:val="en-US" w:eastAsia="zh-CN"/>
              </w:rPr>
              <w:t>本项目噪声污染源</w:t>
            </w:r>
            <w:r>
              <w:rPr>
                <w:rFonts w:hint="default"/>
                <w:color w:val="auto"/>
                <w:sz w:val="24"/>
                <w:szCs w:val="24"/>
                <w:highlight w:val="none"/>
              </w:rPr>
              <w:t>主要为</w:t>
            </w:r>
            <w:r>
              <w:rPr>
                <w:rFonts w:hint="eastAsia"/>
                <w:color w:val="auto"/>
                <w:sz w:val="24"/>
                <w:szCs w:val="24"/>
                <w:highlight w:val="none"/>
                <w:lang w:val="en-US" w:eastAsia="zh-CN"/>
              </w:rPr>
              <w:t>设备</w:t>
            </w:r>
            <w:r>
              <w:rPr>
                <w:rFonts w:hint="default"/>
                <w:color w:val="auto"/>
                <w:sz w:val="24"/>
                <w:szCs w:val="24"/>
                <w:highlight w:val="none"/>
              </w:rPr>
              <w:t>运行产生的噪声。</w:t>
            </w:r>
          </w:p>
          <w:p w14:paraId="0144C79F">
            <w:pPr>
              <w:keepNext w:val="0"/>
              <w:keepLines w:val="0"/>
              <w:pageBreakBefore w:val="0"/>
              <w:widowControl w:val="0"/>
              <w:tabs>
                <w:tab w:val="left" w:pos="6310"/>
              </w:tabs>
              <w:kinsoku/>
              <w:wordWrap/>
              <w:overflowPunct/>
              <w:topLinePunct w:val="0"/>
              <w:autoSpaceDE/>
              <w:autoSpaceDN/>
              <w:bidi w:val="0"/>
              <w:spacing w:line="480" w:lineRule="exact"/>
              <w:ind w:right="0" w:rightChars="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rPr>
              <w:t>（</w:t>
            </w:r>
            <w:r>
              <w:rPr>
                <w:rFonts w:hint="eastAsia"/>
                <w:color w:val="auto"/>
                <w:sz w:val="24"/>
                <w:szCs w:val="24"/>
                <w:highlight w:val="none"/>
                <w:lang w:val="en-US" w:eastAsia="zh-CN"/>
              </w:rPr>
              <w:t>3</w:t>
            </w:r>
            <w:r>
              <w:rPr>
                <w:rFonts w:hint="default"/>
                <w:color w:val="auto"/>
                <w:sz w:val="24"/>
                <w:szCs w:val="24"/>
                <w:highlight w:val="none"/>
              </w:rPr>
              <w:t>）固体废物：</w:t>
            </w:r>
            <w:r>
              <w:rPr>
                <w:rFonts w:hint="eastAsia"/>
                <w:color w:val="auto"/>
                <w:sz w:val="24"/>
                <w:szCs w:val="24"/>
                <w:highlight w:val="none"/>
                <w:lang w:val="en-US" w:eastAsia="zh-CN"/>
              </w:rPr>
              <w:t>本项目固体废物主要为除尘器收集的除尘灰，定期更换的废布袋，腻子打磨过程产生的废砂纸；</w:t>
            </w:r>
            <w:r>
              <w:rPr>
                <w:rFonts w:hint="eastAsia"/>
                <w:color w:val="auto"/>
                <w:highlight w:val="none"/>
                <w:lang w:val="en-US" w:eastAsia="zh-CN"/>
              </w:rPr>
              <w:t>除油过程产生的废稀释剂、废漆桶；喷漆过程产生的漆渣、废漆桶、废遮蔽物；有机废气处理设施定期更换下来的废纸盒、废过滤棉、废沸石分子筛、废催化剂；职工生活产生的生活垃圾。</w:t>
            </w:r>
          </w:p>
        </w:tc>
      </w:tr>
      <w:tr w14:paraId="22657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noWrap w:val="0"/>
            <w:vAlign w:val="center"/>
          </w:tcPr>
          <w:p w14:paraId="3F18B85A">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bCs/>
                <w:color w:val="auto"/>
                <w:kern w:val="2"/>
                <w:sz w:val="24"/>
                <w:szCs w:val="24"/>
                <w:highlight w:val="none"/>
                <w:shd w:val="clear" w:color="auto" w:fill="auto"/>
              </w:rPr>
              <w:t>与项目有关的原有环境污染问题</w:t>
            </w:r>
          </w:p>
        </w:tc>
        <w:tc>
          <w:tcPr>
            <w:tcW w:w="8514" w:type="dxa"/>
            <w:noWrap w:val="0"/>
            <w:vAlign w:val="top"/>
          </w:tcPr>
          <w:p w14:paraId="4C2CBF5F">
            <w:pPr>
              <w:adjustRightInd w:val="0"/>
              <w:snapToGrid w:val="0"/>
              <w:spacing w:line="480" w:lineRule="exact"/>
              <w:ind w:firstLine="480" w:firstLineChars="200"/>
              <w:rPr>
                <w:color w:val="auto"/>
                <w:kern w:val="0"/>
                <w:sz w:val="24"/>
                <w:highlight w:val="none"/>
                <w:lang w:val="zh-CN"/>
              </w:rPr>
            </w:pPr>
            <w:r>
              <w:rPr>
                <w:rFonts w:hint="eastAsia"/>
                <w:color w:val="auto"/>
                <w:sz w:val="24"/>
                <w:szCs w:val="24"/>
                <w:highlight w:val="none"/>
                <w:lang w:val="en-US" w:eastAsia="zh-CN"/>
              </w:rPr>
              <w:t>中信重工开诚智能装备有限公司位于河北省唐山市高新技术产业开发区学院北路1686号，成立于2008年05月14日，于2021年05月实施了特种机器人研发及产业化基地项目，项目占地46668.08m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主要建设生产车间（智能机器人组装生产车间），该项目于2017年09月11日取得了唐山高新技术产业开发区行政审批局的审批意见（唐高审环表[2017]13号），并于2021年05月27日进行了自主验收，取得了专家签字的验收意见。企业于2021年05月20日进行了排污登记，取得固定污染源排污登记回执，登记编号：911302934746855014001W，有效期为2021年05月20日至2026年05月19日。</w:t>
            </w:r>
          </w:p>
          <w:p w14:paraId="70481011">
            <w:pPr>
              <w:numPr>
                <w:ilvl w:val="0"/>
                <w:numId w:val="0"/>
              </w:numPr>
              <w:ind w:leftChars="0"/>
              <w:rPr>
                <w:rFonts w:hint="default"/>
                <w:b/>
                <w:bCs/>
                <w:color w:val="auto"/>
                <w:highlight w:val="none"/>
                <w:lang w:val="en-US" w:eastAsia="zh-CN"/>
              </w:rPr>
            </w:pPr>
            <w:r>
              <w:rPr>
                <w:rFonts w:hint="eastAsia"/>
                <w:b/>
                <w:bCs/>
                <w:color w:val="auto"/>
                <w:highlight w:val="none"/>
                <w:lang w:val="en-US" w:eastAsia="zh-CN"/>
              </w:rPr>
              <w:t>1、现有工程污染物排放情况</w:t>
            </w:r>
          </w:p>
          <w:p w14:paraId="1C844595">
            <w:pPr>
              <w:bidi w:val="0"/>
              <w:rPr>
                <w:rFonts w:hint="eastAsia" w:ascii="Times New Roman"/>
                <w:snapToGrid w:val="0"/>
                <w:color w:val="auto"/>
                <w:spacing w:val="0"/>
                <w:sz w:val="24"/>
                <w:szCs w:val="24"/>
                <w:highlight w:val="none"/>
                <w:lang w:val="en-US" w:eastAsia="zh-CN"/>
              </w:rPr>
            </w:pPr>
            <w:r>
              <w:rPr>
                <w:rFonts w:hint="eastAsia"/>
                <w:snapToGrid w:val="0"/>
                <w:color w:val="auto"/>
                <w:spacing w:val="0"/>
                <w:sz w:val="24"/>
                <w:szCs w:val="24"/>
                <w:highlight w:val="none"/>
                <w:lang w:val="en-US" w:eastAsia="zh-CN"/>
              </w:rPr>
              <w:t>（1）废气</w:t>
            </w:r>
          </w:p>
          <w:p w14:paraId="6B3F0D79">
            <w:pPr>
              <w:rPr>
                <w:rFonts w:hint="default"/>
                <w:color w:val="auto"/>
                <w:highlight w:val="none"/>
                <w:lang w:val="en-US" w:eastAsia="zh-CN"/>
              </w:rPr>
            </w:pPr>
            <w:r>
              <w:rPr>
                <w:rFonts w:hint="eastAsia"/>
                <w:color w:val="auto"/>
                <w:highlight w:val="none"/>
                <w:lang w:val="en-US" w:eastAsia="zh-CN"/>
              </w:rPr>
              <w:t>现有工程生产过程中无废气产生。</w:t>
            </w:r>
          </w:p>
          <w:p w14:paraId="0F8A214C">
            <w:pPr>
              <w:rPr>
                <w:rFonts w:hint="eastAsia"/>
                <w:color w:val="auto"/>
                <w:highlight w:val="none"/>
                <w:lang w:val="en-US" w:eastAsia="zh-CN"/>
              </w:rPr>
            </w:pPr>
            <w:r>
              <w:rPr>
                <w:rFonts w:hint="eastAsia"/>
                <w:color w:val="auto"/>
                <w:highlight w:val="none"/>
                <w:lang w:val="en-US" w:eastAsia="zh-CN"/>
              </w:rPr>
              <w:t>（2）废水</w:t>
            </w:r>
          </w:p>
          <w:p w14:paraId="0A5E6519">
            <w:pPr>
              <w:spacing w:line="480" w:lineRule="exact"/>
              <w:ind w:firstLine="480" w:firstLineChars="200"/>
              <w:rPr>
                <w:rFonts w:hint="default" w:ascii="Times New Roman" w:hAnsi="Times New Roman" w:eastAsia="宋体" w:cs="宋体"/>
                <w:color w:val="auto"/>
                <w:sz w:val="24"/>
                <w:szCs w:val="30"/>
                <w:highlight w:val="none"/>
                <w:lang w:val="en-US" w:eastAsia="zh-CN"/>
              </w:rPr>
            </w:pPr>
            <w:r>
              <w:rPr>
                <w:rFonts w:hint="eastAsia"/>
                <w:color w:val="auto"/>
                <w:highlight w:val="none"/>
                <w:lang w:val="en-US" w:eastAsia="zh-CN"/>
              </w:rPr>
              <w:t>中信重工开诚智能装备有限公司现有工程废水主要为职工生活污水，</w:t>
            </w:r>
            <w:r>
              <w:rPr>
                <w:rFonts w:hint="eastAsia" w:cs="宋体"/>
                <w:color w:val="auto"/>
                <w:sz w:val="24"/>
                <w:szCs w:val="30"/>
                <w:highlight w:val="none"/>
                <w:lang w:val="en-US" w:eastAsia="zh-CN"/>
              </w:rPr>
              <w:t>生活污水排入市政污水管网，最终进入西郊污水处理厂处理。</w:t>
            </w:r>
          </w:p>
          <w:p w14:paraId="59CE9C9F">
            <w:pPr>
              <w:rPr>
                <w:rFonts w:hint="eastAsia"/>
                <w:color w:val="auto"/>
                <w:highlight w:val="none"/>
                <w:lang w:val="en-US" w:eastAsia="zh-CN"/>
              </w:rPr>
            </w:pPr>
            <w:r>
              <w:rPr>
                <w:rFonts w:hint="eastAsia"/>
                <w:color w:val="auto"/>
                <w:highlight w:val="none"/>
                <w:lang w:val="en-US" w:eastAsia="zh-CN"/>
              </w:rPr>
              <w:t>根据河北蓝润环境检测有限公司于2021年05月25日出具的验收检测报告（报告编号：蓝润环检字（2021）第Y013号），中信重工开诚智能装备有限公司现有工程污水排放情况见下表。</w:t>
            </w:r>
          </w:p>
          <w:p w14:paraId="1009BC8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highlight w:val="none"/>
                <w:lang w:val="en-US" w:eastAsia="zh-CN"/>
              </w:rPr>
            </w:pPr>
            <w:r>
              <w:rPr>
                <w:b/>
                <w:bCs/>
                <w:color w:val="auto"/>
                <w:sz w:val="21"/>
                <w:szCs w:val="21"/>
                <w:highlight w:val="none"/>
              </w:rPr>
              <w:t>表</w:t>
            </w:r>
            <w:r>
              <w:rPr>
                <w:rFonts w:hint="eastAsia"/>
                <w:b/>
                <w:bCs/>
                <w:color w:val="auto"/>
                <w:sz w:val="21"/>
                <w:szCs w:val="21"/>
                <w:highlight w:val="none"/>
                <w:lang w:val="en-US" w:eastAsia="zh-CN"/>
              </w:rPr>
              <w:t>26  现有工程废水排放情况一览表</w:t>
            </w:r>
            <w:r>
              <w:rPr>
                <w:b/>
                <w:bCs/>
                <w:color w:val="auto"/>
                <w:sz w:val="21"/>
                <w:szCs w:val="21"/>
                <w:highlight w:val="none"/>
              </w:rPr>
              <w:t xml:space="preserve">     </w:t>
            </w:r>
          </w:p>
          <w:tbl>
            <w:tblPr>
              <w:tblStyle w:val="25"/>
              <w:tblW w:w="83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108"/>
              <w:gridCol w:w="1020"/>
              <w:gridCol w:w="1050"/>
              <w:gridCol w:w="2655"/>
              <w:gridCol w:w="821"/>
              <w:gridCol w:w="824"/>
            </w:tblGrid>
            <w:tr w14:paraId="16281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6" w:type="dxa"/>
                  <w:tcBorders>
                    <w:tl2br w:val="nil"/>
                    <w:tr2bl w:val="nil"/>
                  </w:tcBorders>
                  <w:vAlign w:val="center"/>
                </w:tcPr>
                <w:p w14:paraId="1BD359D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监测点位</w:t>
                  </w:r>
                </w:p>
              </w:tc>
              <w:tc>
                <w:tcPr>
                  <w:tcW w:w="1108" w:type="dxa"/>
                  <w:tcBorders>
                    <w:tl2br w:val="nil"/>
                    <w:tr2bl w:val="nil"/>
                  </w:tcBorders>
                  <w:vAlign w:val="center"/>
                </w:tcPr>
                <w:p w14:paraId="68AAE6C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检测项目</w:t>
                  </w:r>
                </w:p>
              </w:tc>
              <w:tc>
                <w:tcPr>
                  <w:tcW w:w="1020" w:type="dxa"/>
                  <w:tcBorders>
                    <w:tl2br w:val="nil"/>
                    <w:tr2bl w:val="nil"/>
                  </w:tcBorders>
                  <w:vAlign w:val="center"/>
                </w:tcPr>
                <w:p w14:paraId="631755B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单位</w:t>
                  </w:r>
                </w:p>
              </w:tc>
              <w:tc>
                <w:tcPr>
                  <w:tcW w:w="1050" w:type="dxa"/>
                  <w:tcBorders>
                    <w:tl2br w:val="nil"/>
                    <w:tr2bl w:val="nil"/>
                  </w:tcBorders>
                  <w:vAlign w:val="center"/>
                </w:tcPr>
                <w:p w14:paraId="1AB0BE5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监测结果</w:t>
                  </w:r>
                </w:p>
              </w:tc>
              <w:tc>
                <w:tcPr>
                  <w:tcW w:w="2655" w:type="dxa"/>
                  <w:tcBorders>
                    <w:tl2br w:val="nil"/>
                    <w:tr2bl w:val="nil"/>
                  </w:tcBorders>
                  <w:vAlign w:val="center"/>
                </w:tcPr>
                <w:p w14:paraId="4752EFAD">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执行标准</w:t>
                  </w:r>
                </w:p>
              </w:tc>
              <w:tc>
                <w:tcPr>
                  <w:tcW w:w="821" w:type="dxa"/>
                  <w:tcBorders>
                    <w:tl2br w:val="nil"/>
                    <w:tr2bl w:val="nil"/>
                  </w:tcBorders>
                  <w:vAlign w:val="center"/>
                </w:tcPr>
                <w:p w14:paraId="14B8282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限值</w:t>
                  </w:r>
                </w:p>
              </w:tc>
              <w:tc>
                <w:tcPr>
                  <w:tcW w:w="824" w:type="dxa"/>
                  <w:tcBorders>
                    <w:tl2br w:val="nil"/>
                    <w:tr2bl w:val="nil"/>
                  </w:tcBorders>
                  <w:vAlign w:val="center"/>
                </w:tcPr>
                <w:p w14:paraId="675B26D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达标情况</w:t>
                  </w:r>
                </w:p>
              </w:tc>
            </w:tr>
            <w:tr w14:paraId="700BF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6" w:type="dxa"/>
                  <w:vMerge w:val="restart"/>
                  <w:tcBorders>
                    <w:tl2br w:val="nil"/>
                    <w:tr2bl w:val="nil"/>
                  </w:tcBorders>
                  <w:vAlign w:val="center"/>
                </w:tcPr>
                <w:p w14:paraId="32E0A5E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废水总排口</w:t>
                  </w:r>
                </w:p>
              </w:tc>
              <w:tc>
                <w:tcPr>
                  <w:tcW w:w="1108" w:type="dxa"/>
                  <w:tcBorders>
                    <w:tl2br w:val="nil"/>
                    <w:tr2bl w:val="nil"/>
                  </w:tcBorders>
                  <w:vAlign w:val="center"/>
                </w:tcPr>
                <w:p w14:paraId="2496B3E0">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pH</w:t>
                  </w:r>
                </w:p>
              </w:tc>
              <w:tc>
                <w:tcPr>
                  <w:tcW w:w="1020" w:type="dxa"/>
                  <w:tcBorders>
                    <w:tl2br w:val="nil"/>
                    <w:tr2bl w:val="nil"/>
                  </w:tcBorders>
                  <w:vAlign w:val="center"/>
                </w:tcPr>
                <w:p w14:paraId="48473C2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highlight w:val="none"/>
                      <w:lang w:val="en-US" w:eastAsia="zh-CN"/>
                    </w:rPr>
                  </w:pPr>
                  <w:r>
                    <w:rPr>
                      <w:rFonts w:hint="eastAsia"/>
                      <w:color w:val="auto"/>
                      <w:highlight w:val="none"/>
                      <w:lang w:val="en-US" w:eastAsia="zh-CN"/>
                    </w:rPr>
                    <w:t>mg/L</w:t>
                  </w:r>
                </w:p>
              </w:tc>
              <w:tc>
                <w:tcPr>
                  <w:tcW w:w="1050" w:type="dxa"/>
                  <w:tcBorders>
                    <w:tl2br w:val="nil"/>
                    <w:tr2bl w:val="nil"/>
                  </w:tcBorders>
                  <w:vAlign w:val="center"/>
                </w:tcPr>
                <w:p w14:paraId="11520AF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7.31-7.36</w:t>
                  </w:r>
                </w:p>
              </w:tc>
              <w:tc>
                <w:tcPr>
                  <w:tcW w:w="2655" w:type="dxa"/>
                  <w:vMerge w:val="restart"/>
                  <w:tcBorders>
                    <w:tl2br w:val="nil"/>
                    <w:tr2bl w:val="nil"/>
                  </w:tcBorders>
                  <w:vAlign w:val="center"/>
                </w:tcPr>
                <w:p w14:paraId="1A4924A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default"/>
                      <w:color w:val="auto"/>
                      <w:highlight w:val="none"/>
                      <w:lang w:val="en-US" w:eastAsia="zh-CN"/>
                    </w:rPr>
                    <w:t>《污水综合排放标准》（GB8978—1996）表4中三级标准</w:t>
                  </w:r>
                  <w:r>
                    <w:rPr>
                      <w:rFonts w:hint="eastAsia"/>
                      <w:color w:val="auto"/>
                      <w:highlight w:val="none"/>
                      <w:lang w:val="en-US" w:eastAsia="zh-CN"/>
                    </w:rPr>
                    <w:t>，《污水排入城镇下水道水质标准》（GB/T31962-2015），西郊污水处理厂进水水质标准</w:t>
                  </w:r>
                </w:p>
              </w:tc>
              <w:tc>
                <w:tcPr>
                  <w:tcW w:w="821" w:type="dxa"/>
                  <w:tcBorders>
                    <w:tl2br w:val="nil"/>
                    <w:tr2bl w:val="nil"/>
                  </w:tcBorders>
                  <w:vAlign w:val="center"/>
                </w:tcPr>
                <w:p w14:paraId="49F7EAD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6-9</w:t>
                  </w:r>
                </w:p>
              </w:tc>
              <w:tc>
                <w:tcPr>
                  <w:tcW w:w="824" w:type="dxa"/>
                  <w:tcBorders>
                    <w:tl2br w:val="nil"/>
                    <w:tr2bl w:val="nil"/>
                  </w:tcBorders>
                  <w:vAlign w:val="center"/>
                </w:tcPr>
                <w:p w14:paraId="4CB9B10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highlight w:val="none"/>
                      <w:lang w:val="en-US" w:eastAsia="zh-CN"/>
                    </w:rPr>
                  </w:pPr>
                  <w:r>
                    <w:rPr>
                      <w:rFonts w:hint="eastAsia"/>
                      <w:color w:val="auto"/>
                      <w:highlight w:val="none"/>
                      <w:lang w:val="en-US" w:eastAsia="zh-CN"/>
                    </w:rPr>
                    <w:t>达标</w:t>
                  </w:r>
                </w:p>
              </w:tc>
            </w:tr>
            <w:tr w14:paraId="6EB1B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6" w:type="dxa"/>
                  <w:vMerge w:val="continue"/>
                  <w:tcBorders>
                    <w:tl2br w:val="nil"/>
                    <w:tr2bl w:val="nil"/>
                  </w:tcBorders>
                  <w:vAlign w:val="center"/>
                </w:tcPr>
                <w:p w14:paraId="26F7F877">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p>
              </w:tc>
              <w:tc>
                <w:tcPr>
                  <w:tcW w:w="1108" w:type="dxa"/>
                  <w:tcBorders>
                    <w:tl2br w:val="nil"/>
                    <w:tr2bl w:val="nil"/>
                  </w:tcBorders>
                  <w:vAlign w:val="center"/>
                </w:tcPr>
                <w:p w14:paraId="64E8BB8E">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COD</w:t>
                  </w:r>
                </w:p>
              </w:tc>
              <w:tc>
                <w:tcPr>
                  <w:tcW w:w="1020" w:type="dxa"/>
                  <w:tcBorders>
                    <w:tl2br w:val="nil"/>
                    <w:tr2bl w:val="nil"/>
                  </w:tcBorders>
                  <w:vAlign w:val="center"/>
                </w:tcPr>
                <w:p w14:paraId="14CBA80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mg/L</w:t>
                  </w:r>
                </w:p>
              </w:tc>
              <w:tc>
                <w:tcPr>
                  <w:tcW w:w="1050" w:type="dxa"/>
                  <w:tcBorders>
                    <w:tl2br w:val="nil"/>
                    <w:tr2bl w:val="nil"/>
                  </w:tcBorders>
                  <w:vAlign w:val="center"/>
                </w:tcPr>
                <w:p w14:paraId="4D7BEAA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64</w:t>
                  </w:r>
                </w:p>
              </w:tc>
              <w:tc>
                <w:tcPr>
                  <w:tcW w:w="2655" w:type="dxa"/>
                  <w:vMerge w:val="continue"/>
                  <w:tcBorders>
                    <w:tl2br w:val="nil"/>
                    <w:tr2bl w:val="nil"/>
                  </w:tcBorders>
                  <w:vAlign w:val="center"/>
                </w:tcPr>
                <w:p w14:paraId="0952013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p>
              </w:tc>
              <w:tc>
                <w:tcPr>
                  <w:tcW w:w="821" w:type="dxa"/>
                  <w:tcBorders>
                    <w:tl2br w:val="nil"/>
                    <w:tr2bl w:val="nil"/>
                  </w:tcBorders>
                  <w:vAlign w:val="center"/>
                </w:tcPr>
                <w:p w14:paraId="63BC892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425</w:t>
                  </w:r>
                </w:p>
              </w:tc>
              <w:tc>
                <w:tcPr>
                  <w:tcW w:w="824" w:type="dxa"/>
                  <w:tcBorders>
                    <w:tl2br w:val="nil"/>
                    <w:tr2bl w:val="nil"/>
                  </w:tcBorders>
                  <w:vAlign w:val="center"/>
                </w:tcPr>
                <w:p w14:paraId="0DFB6282">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达标</w:t>
                  </w:r>
                </w:p>
              </w:tc>
            </w:tr>
            <w:tr w14:paraId="5F29D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56" w:type="dxa"/>
                  <w:vMerge w:val="continue"/>
                  <w:tcBorders>
                    <w:tl2br w:val="nil"/>
                    <w:tr2bl w:val="nil"/>
                  </w:tcBorders>
                  <w:vAlign w:val="center"/>
                </w:tcPr>
                <w:p w14:paraId="6E40A33F">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highlight w:val="none"/>
                      <w:lang w:val="en-US" w:eastAsia="zh-CN"/>
                    </w:rPr>
                  </w:pPr>
                </w:p>
              </w:tc>
              <w:tc>
                <w:tcPr>
                  <w:tcW w:w="1108" w:type="dxa"/>
                  <w:tcBorders>
                    <w:tl2br w:val="nil"/>
                    <w:tr2bl w:val="nil"/>
                  </w:tcBorders>
                  <w:vAlign w:val="center"/>
                </w:tcPr>
                <w:p w14:paraId="7C3B7D3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1020" w:type="dxa"/>
                  <w:tcBorders>
                    <w:tl2br w:val="nil"/>
                    <w:tr2bl w:val="nil"/>
                  </w:tcBorders>
                  <w:vAlign w:val="center"/>
                </w:tcPr>
                <w:p w14:paraId="5B7E420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mg/L</w:t>
                  </w:r>
                </w:p>
              </w:tc>
              <w:tc>
                <w:tcPr>
                  <w:tcW w:w="1050" w:type="dxa"/>
                  <w:tcBorders>
                    <w:tl2br w:val="nil"/>
                    <w:tr2bl w:val="nil"/>
                  </w:tcBorders>
                  <w:vAlign w:val="center"/>
                </w:tcPr>
                <w:p w14:paraId="265B207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15.3</w:t>
                  </w:r>
                </w:p>
              </w:tc>
              <w:tc>
                <w:tcPr>
                  <w:tcW w:w="2655" w:type="dxa"/>
                  <w:vMerge w:val="continue"/>
                  <w:tcBorders>
                    <w:tl2br w:val="nil"/>
                    <w:tr2bl w:val="nil"/>
                  </w:tcBorders>
                  <w:vAlign w:val="center"/>
                </w:tcPr>
                <w:p w14:paraId="54DC462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p>
              </w:tc>
              <w:tc>
                <w:tcPr>
                  <w:tcW w:w="821" w:type="dxa"/>
                  <w:tcBorders>
                    <w:tl2br w:val="nil"/>
                    <w:tr2bl w:val="nil"/>
                  </w:tcBorders>
                  <w:vAlign w:val="center"/>
                </w:tcPr>
                <w:p w14:paraId="67BCFCFA">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225</w:t>
                  </w:r>
                </w:p>
              </w:tc>
              <w:tc>
                <w:tcPr>
                  <w:tcW w:w="824" w:type="dxa"/>
                  <w:tcBorders>
                    <w:tl2br w:val="nil"/>
                    <w:tr2bl w:val="nil"/>
                  </w:tcBorders>
                  <w:vAlign w:val="center"/>
                </w:tcPr>
                <w:p w14:paraId="2D9486E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达标</w:t>
                  </w:r>
                </w:p>
              </w:tc>
            </w:tr>
            <w:tr w14:paraId="3B386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56" w:type="dxa"/>
                  <w:vMerge w:val="continue"/>
                  <w:tcBorders>
                    <w:tl2br w:val="nil"/>
                    <w:tr2bl w:val="nil"/>
                  </w:tcBorders>
                  <w:vAlign w:val="center"/>
                </w:tcPr>
                <w:p w14:paraId="331D5F9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highlight w:val="none"/>
                      <w:lang w:val="en-US" w:eastAsia="zh-CN"/>
                    </w:rPr>
                  </w:pPr>
                </w:p>
              </w:tc>
              <w:tc>
                <w:tcPr>
                  <w:tcW w:w="1108" w:type="dxa"/>
                  <w:tcBorders>
                    <w:tl2br w:val="nil"/>
                    <w:tr2bl w:val="nil"/>
                  </w:tcBorders>
                  <w:vAlign w:val="center"/>
                </w:tcPr>
                <w:p w14:paraId="4737944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SS</w:t>
                  </w:r>
                </w:p>
              </w:tc>
              <w:tc>
                <w:tcPr>
                  <w:tcW w:w="1020" w:type="dxa"/>
                  <w:tcBorders>
                    <w:tl2br w:val="nil"/>
                    <w:tr2bl w:val="nil"/>
                  </w:tcBorders>
                  <w:vAlign w:val="center"/>
                </w:tcPr>
                <w:p w14:paraId="59873FE8">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mg/L</w:t>
                  </w:r>
                </w:p>
              </w:tc>
              <w:tc>
                <w:tcPr>
                  <w:tcW w:w="1050" w:type="dxa"/>
                  <w:tcBorders>
                    <w:tl2br w:val="nil"/>
                    <w:tr2bl w:val="nil"/>
                  </w:tcBorders>
                  <w:vAlign w:val="center"/>
                </w:tcPr>
                <w:p w14:paraId="2F7FCD3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46</w:t>
                  </w:r>
                </w:p>
              </w:tc>
              <w:tc>
                <w:tcPr>
                  <w:tcW w:w="2655" w:type="dxa"/>
                  <w:vMerge w:val="continue"/>
                  <w:tcBorders>
                    <w:tl2br w:val="nil"/>
                    <w:tr2bl w:val="nil"/>
                  </w:tcBorders>
                  <w:vAlign w:val="center"/>
                </w:tcPr>
                <w:p w14:paraId="3F98B42B">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p>
              </w:tc>
              <w:tc>
                <w:tcPr>
                  <w:tcW w:w="821" w:type="dxa"/>
                  <w:tcBorders>
                    <w:tl2br w:val="nil"/>
                    <w:tr2bl w:val="nil"/>
                  </w:tcBorders>
                  <w:vAlign w:val="center"/>
                </w:tcPr>
                <w:p w14:paraId="2DD7DDE9">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300</w:t>
                  </w:r>
                </w:p>
              </w:tc>
              <w:tc>
                <w:tcPr>
                  <w:tcW w:w="824" w:type="dxa"/>
                  <w:tcBorders>
                    <w:tl2br w:val="nil"/>
                    <w:tr2bl w:val="nil"/>
                  </w:tcBorders>
                  <w:vAlign w:val="center"/>
                </w:tcPr>
                <w:p w14:paraId="2006E974">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达标</w:t>
                  </w:r>
                </w:p>
              </w:tc>
            </w:tr>
            <w:tr w14:paraId="195AC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56" w:type="dxa"/>
                  <w:vMerge w:val="continue"/>
                  <w:tcBorders>
                    <w:tl2br w:val="nil"/>
                    <w:tr2bl w:val="nil"/>
                  </w:tcBorders>
                  <w:vAlign w:val="center"/>
                </w:tcPr>
                <w:p w14:paraId="5BD5D31F">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highlight w:val="none"/>
                      <w:lang w:val="en-US" w:eastAsia="zh-CN"/>
                    </w:rPr>
                  </w:pPr>
                </w:p>
              </w:tc>
              <w:tc>
                <w:tcPr>
                  <w:tcW w:w="1108" w:type="dxa"/>
                  <w:tcBorders>
                    <w:tl2br w:val="nil"/>
                    <w:tr2bl w:val="nil"/>
                  </w:tcBorders>
                  <w:vAlign w:val="center"/>
                </w:tcPr>
                <w:p w14:paraId="053A4B9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w:t>
                  </w:r>
                </w:p>
              </w:tc>
              <w:tc>
                <w:tcPr>
                  <w:tcW w:w="1020" w:type="dxa"/>
                  <w:tcBorders>
                    <w:tl2br w:val="nil"/>
                    <w:tr2bl w:val="nil"/>
                  </w:tcBorders>
                  <w:vAlign w:val="center"/>
                </w:tcPr>
                <w:p w14:paraId="31F40BA3">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mg/L</w:t>
                  </w:r>
                </w:p>
              </w:tc>
              <w:tc>
                <w:tcPr>
                  <w:tcW w:w="1050" w:type="dxa"/>
                  <w:tcBorders>
                    <w:tl2br w:val="nil"/>
                    <w:tr2bl w:val="nil"/>
                  </w:tcBorders>
                  <w:vAlign w:val="center"/>
                </w:tcPr>
                <w:p w14:paraId="319DBABC">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1.57</w:t>
                  </w:r>
                </w:p>
              </w:tc>
              <w:tc>
                <w:tcPr>
                  <w:tcW w:w="2655" w:type="dxa"/>
                  <w:vMerge w:val="continue"/>
                  <w:tcBorders>
                    <w:tl2br w:val="nil"/>
                    <w:tr2bl w:val="nil"/>
                  </w:tcBorders>
                  <w:vAlign w:val="center"/>
                </w:tcPr>
                <w:p w14:paraId="4D9DE5EF">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p>
              </w:tc>
              <w:tc>
                <w:tcPr>
                  <w:tcW w:w="821" w:type="dxa"/>
                  <w:tcBorders>
                    <w:tl2br w:val="nil"/>
                    <w:tr2bl w:val="nil"/>
                  </w:tcBorders>
                  <w:vAlign w:val="center"/>
                </w:tcPr>
                <w:p w14:paraId="1D217A35">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45</w:t>
                  </w:r>
                </w:p>
              </w:tc>
              <w:tc>
                <w:tcPr>
                  <w:tcW w:w="824" w:type="dxa"/>
                  <w:tcBorders>
                    <w:tl2br w:val="nil"/>
                    <w:tr2bl w:val="nil"/>
                  </w:tcBorders>
                  <w:vAlign w:val="center"/>
                </w:tcPr>
                <w:p w14:paraId="009FD381">
                  <w:pPr>
                    <w:pStyle w:val="31"/>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达标</w:t>
                  </w:r>
                </w:p>
              </w:tc>
            </w:tr>
          </w:tbl>
          <w:p w14:paraId="0C36EDB3">
            <w:pPr>
              <w:bidi w:val="0"/>
              <w:rPr>
                <w:rFonts w:hint="default"/>
                <w:color w:val="auto"/>
                <w:highlight w:val="none"/>
                <w:lang w:val="en-US" w:eastAsia="zh-CN"/>
              </w:rPr>
            </w:pPr>
            <w:r>
              <w:rPr>
                <w:rFonts w:hint="eastAsia"/>
                <w:color w:val="auto"/>
                <w:highlight w:val="none"/>
                <w:lang w:val="en-US" w:eastAsia="zh-CN"/>
              </w:rPr>
              <w:t>根据上表可知，中信重工开诚智能装备有限公司现有工程废水排放浓度满足</w:t>
            </w:r>
            <w:r>
              <w:rPr>
                <w:rFonts w:hint="default"/>
                <w:color w:val="auto"/>
                <w:highlight w:val="none"/>
                <w:lang w:val="en-US" w:eastAsia="zh-CN"/>
              </w:rPr>
              <w:t>《污水综合排放标准》（GB8978</w:t>
            </w:r>
            <w:r>
              <w:rPr>
                <w:rFonts w:hint="eastAsia" w:ascii="宋体" w:hAnsi="宋体" w:eastAsia="宋体" w:cs="宋体"/>
                <w:color w:val="auto"/>
                <w:highlight w:val="none"/>
                <w:lang w:val="en-US" w:eastAsia="zh-CN"/>
              </w:rPr>
              <w:t>－</w:t>
            </w:r>
            <w:r>
              <w:rPr>
                <w:rFonts w:hint="default"/>
                <w:color w:val="auto"/>
                <w:highlight w:val="none"/>
                <w:lang w:val="en-US" w:eastAsia="zh-CN"/>
              </w:rPr>
              <w:t>1996）表4中三级标准</w:t>
            </w:r>
            <w:r>
              <w:rPr>
                <w:rFonts w:hint="eastAsia"/>
                <w:color w:val="auto"/>
                <w:highlight w:val="none"/>
                <w:lang w:val="en-US" w:eastAsia="zh-CN"/>
              </w:rPr>
              <w:t>，《污水排入城镇下水道水质标准》（GB/T31962-2015），同时满足西郊污水处理厂进水水质标准。现有工程废水排放量为</w:t>
            </w:r>
            <w:r>
              <w:rPr>
                <w:rFonts w:hint="eastAsia"/>
                <w:color w:val="auto"/>
                <w:sz w:val="24"/>
                <w:szCs w:val="30"/>
                <w:highlight w:val="none"/>
                <w:lang w:val="en-US" w:eastAsia="zh-CN"/>
              </w:rPr>
              <w:t>9.6m</w:t>
            </w:r>
            <w:r>
              <w:rPr>
                <w:rFonts w:hint="eastAsia"/>
                <w:color w:val="auto"/>
                <w:sz w:val="24"/>
                <w:szCs w:val="30"/>
                <w:highlight w:val="none"/>
                <w:vertAlign w:val="superscript"/>
                <w:lang w:val="en-US" w:eastAsia="zh-CN"/>
              </w:rPr>
              <w:t>3</w:t>
            </w:r>
            <w:r>
              <w:rPr>
                <w:rFonts w:hint="eastAsia"/>
                <w:color w:val="auto"/>
                <w:sz w:val="24"/>
                <w:szCs w:val="30"/>
                <w:highlight w:val="none"/>
                <w:lang w:val="en-US" w:eastAsia="zh-CN"/>
              </w:rPr>
              <w:t>/d（2400m</w:t>
            </w:r>
            <w:r>
              <w:rPr>
                <w:rFonts w:hint="eastAsia"/>
                <w:color w:val="auto"/>
                <w:sz w:val="24"/>
                <w:szCs w:val="30"/>
                <w:highlight w:val="none"/>
                <w:vertAlign w:val="superscript"/>
                <w:lang w:val="en-US" w:eastAsia="zh-CN"/>
              </w:rPr>
              <w:t>3</w:t>
            </w:r>
            <w:r>
              <w:rPr>
                <w:rFonts w:hint="eastAsia"/>
                <w:color w:val="auto"/>
                <w:sz w:val="24"/>
                <w:szCs w:val="30"/>
                <w:highlight w:val="none"/>
                <w:lang w:val="en-US" w:eastAsia="zh-CN"/>
              </w:rPr>
              <w:t>/a）</w:t>
            </w:r>
            <w:r>
              <w:rPr>
                <w:rFonts w:hint="eastAsia"/>
                <w:color w:val="auto"/>
                <w:highlight w:val="none"/>
                <w:lang w:val="en-US" w:eastAsia="zh-CN"/>
              </w:rPr>
              <w:t>，则COD排放量为0.154t/a，BOD</w:t>
            </w:r>
            <w:r>
              <w:rPr>
                <w:rFonts w:hint="eastAsia"/>
                <w:color w:val="auto"/>
                <w:highlight w:val="none"/>
                <w:vertAlign w:val="subscript"/>
                <w:lang w:val="en-US" w:eastAsia="zh-CN"/>
              </w:rPr>
              <w:t>5</w:t>
            </w:r>
            <w:r>
              <w:rPr>
                <w:rFonts w:hint="eastAsia"/>
                <w:color w:val="auto"/>
                <w:highlight w:val="none"/>
                <w:lang w:val="en-US" w:eastAsia="zh-CN"/>
              </w:rPr>
              <w:t>排放量为0.037t/a，SS排放量为0.110t/a，NH</w:t>
            </w:r>
            <w:r>
              <w:rPr>
                <w:rFonts w:hint="eastAsia"/>
                <w:color w:val="auto"/>
                <w:highlight w:val="none"/>
                <w:vertAlign w:val="subscript"/>
                <w:lang w:val="en-US" w:eastAsia="zh-CN"/>
              </w:rPr>
              <w:t>3</w:t>
            </w:r>
            <w:r>
              <w:rPr>
                <w:rFonts w:hint="eastAsia"/>
                <w:color w:val="auto"/>
                <w:highlight w:val="none"/>
                <w:lang w:val="en-US" w:eastAsia="zh-CN"/>
              </w:rPr>
              <w:t>-N排放量为0.004t/a。</w:t>
            </w:r>
          </w:p>
          <w:p w14:paraId="290F7E38">
            <w:pPr>
              <w:bidi w:val="0"/>
              <w:rPr>
                <w:rFonts w:hint="default"/>
                <w:color w:val="auto"/>
                <w:highlight w:val="none"/>
                <w:lang w:val="en-US" w:eastAsia="zh-CN"/>
              </w:rPr>
            </w:pPr>
            <w:r>
              <w:rPr>
                <w:rFonts w:hint="eastAsia"/>
                <w:color w:val="auto"/>
                <w:highlight w:val="none"/>
                <w:lang w:val="en-US" w:eastAsia="zh-CN"/>
              </w:rPr>
              <w:t>（3）噪声</w:t>
            </w:r>
          </w:p>
          <w:p w14:paraId="149865DF">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根据检测报告</w:t>
            </w:r>
            <w:r>
              <w:rPr>
                <w:rFonts w:hint="default" w:ascii="Times New Roman" w:hAnsi="Times New Roman" w:eastAsia="宋体" w:cs="Times New Roman"/>
                <w:color w:val="000000"/>
                <w:kern w:val="0"/>
                <w:sz w:val="24"/>
                <w:szCs w:val="24"/>
                <w:lang w:val="en-US" w:eastAsia="zh-CN" w:bidi="ar"/>
              </w:rPr>
              <w:t>MKBG2023101603</w:t>
            </w:r>
            <w:r>
              <w:rPr>
                <w:rFonts w:hint="eastAsia" w:ascii="宋体" w:hAnsi="宋体" w:eastAsia="宋体" w:cs="宋体"/>
                <w:color w:val="000000"/>
                <w:kern w:val="0"/>
                <w:sz w:val="24"/>
                <w:szCs w:val="24"/>
                <w:lang w:val="en-US" w:eastAsia="zh-CN" w:bidi="ar"/>
              </w:rPr>
              <w:t>，中信重工开诚智能装备有限公司现有工程厂界昼间噪声值为</w:t>
            </w:r>
            <w:r>
              <w:rPr>
                <w:rFonts w:hint="default" w:ascii="Times New Roman" w:hAnsi="Times New Roman" w:eastAsia="宋体" w:cs="Times New Roman"/>
                <w:color w:val="000000"/>
                <w:kern w:val="0"/>
                <w:sz w:val="24"/>
                <w:szCs w:val="24"/>
                <w:lang w:val="en-US" w:eastAsia="zh-CN" w:bidi="ar"/>
              </w:rPr>
              <w:t>52-53dB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），昼间噪声满足《工业企业厂界环境噪声排放标准》（</w:t>
            </w:r>
            <w:r>
              <w:rPr>
                <w:rFonts w:hint="default" w:ascii="Times New Roman" w:hAnsi="Times New Roman" w:eastAsia="宋体" w:cs="Times New Roman"/>
                <w:color w:val="000000"/>
                <w:kern w:val="0"/>
                <w:sz w:val="24"/>
                <w:szCs w:val="24"/>
                <w:lang w:val="en-US" w:eastAsia="zh-CN" w:bidi="ar"/>
              </w:rPr>
              <w:t>GB12348-2008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类标准限值：昼间</w:t>
            </w:r>
            <w:r>
              <w:rPr>
                <w:rFonts w:hint="default" w:ascii="Times New Roman" w:hAnsi="Times New Roman" w:eastAsia="宋体" w:cs="Times New Roman"/>
                <w:color w:val="000000"/>
                <w:kern w:val="0"/>
                <w:sz w:val="24"/>
                <w:szCs w:val="24"/>
                <w:lang w:val="en-US" w:eastAsia="zh-CN" w:bidi="ar"/>
              </w:rPr>
              <w:t>55dB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14:paraId="5F6BD638">
            <w:pPr>
              <w:numPr>
                <w:ilvl w:val="0"/>
                <w:numId w:val="0"/>
              </w:numPr>
              <w:ind w:leftChars="200"/>
              <w:rPr>
                <w:rFonts w:hint="eastAsia"/>
                <w:color w:val="auto"/>
                <w:highlight w:val="none"/>
                <w:lang w:val="en-US" w:eastAsia="zh-CN"/>
              </w:rPr>
            </w:pPr>
            <w:r>
              <w:rPr>
                <w:rFonts w:hint="eastAsia"/>
                <w:color w:val="auto"/>
                <w:highlight w:val="none"/>
                <w:lang w:val="en-US" w:eastAsia="zh-CN"/>
              </w:rPr>
              <w:t>（4）固体废物</w:t>
            </w:r>
          </w:p>
          <w:p w14:paraId="328CFE9B">
            <w:pPr>
              <w:bidi w:val="0"/>
              <w:rPr>
                <w:rFonts w:hint="eastAsia"/>
                <w:color w:val="auto"/>
                <w:highlight w:val="none"/>
                <w:lang w:val="en-US" w:eastAsia="zh-CN"/>
              </w:rPr>
            </w:pPr>
            <w:r>
              <w:rPr>
                <w:rFonts w:hint="eastAsia"/>
                <w:color w:val="auto"/>
                <w:spacing w:val="0"/>
                <w:sz w:val="24"/>
                <w:highlight w:val="none"/>
                <w:lang w:val="en-US" w:eastAsia="zh-CN"/>
              </w:rPr>
              <w:t>中信重工开诚智能装备有限公司现有工程</w:t>
            </w:r>
            <w:r>
              <w:rPr>
                <w:rFonts w:ascii="Times New Roman" w:eastAsia="宋体"/>
                <w:color w:val="auto"/>
                <w:spacing w:val="0"/>
                <w:sz w:val="24"/>
                <w:highlight w:val="none"/>
              </w:rPr>
              <w:t>固体废物</w:t>
            </w:r>
            <w:r>
              <w:rPr>
                <w:rFonts w:hint="eastAsia"/>
                <w:color w:val="auto"/>
                <w:spacing w:val="0"/>
                <w:sz w:val="24"/>
                <w:highlight w:val="none"/>
                <w:lang w:val="en-US" w:eastAsia="zh-CN"/>
              </w:rPr>
              <w:t>产生</w:t>
            </w:r>
            <w:r>
              <w:rPr>
                <w:rFonts w:ascii="Times New Roman" w:eastAsia="宋体"/>
                <w:color w:val="auto"/>
                <w:spacing w:val="0"/>
                <w:sz w:val="24"/>
                <w:highlight w:val="none"/>
              </w:rPr>
              <w:t>及治理措施</w:t>
            </w:r>
            <w:r>
              <w:rPr>
                <w:rFonts w:hint="eastAsia" w:ascii="Times New Roman"/>
                <w:color w:val="auto"/>
                <w:spacing w:val="0"/>
                <w:sz w:val="24"/>
                <w:highlight w:val="none"/>
                <w:lang w:val="en-US" w:eastAsia="zh-CN"/>
              </w:rPr>
              <w:t>见下表。</w:t>
            </w:r>
          </w:p>
          <w:p w14:paraId="5EE2FEFB">
            <w:pPr>
              <w:bidi w:val="0"/>
              <w:ind w:left="0" w:leftChars="0" w:firstLine="0" w:firstLineChars="0"/>
              <w:rPr>
                <w:rFonts w:hint="default"/>
                <w:color w:val="auto"/>
                <w:highlight w:val="none"/>
                <w:lang w:val="en-US" w:eastAsia="zh-CN"/>
              </w:rPr>
            </w:pPr>
          </w:p>
          <w:p w14:paraId="0124F538">
            <w:pPr>
              <w:bidi w:val="0"/>
              <w:ind w:left="0" w:leftChars="0" w:firstLine="0" w:firstLineChars="0"/>
              <w:rPr>
                <w:rFonts w:hint="default"/>
                <w:color w:val="auto"/>
                <w:highlight w:val="none"/>
                <w:lang w:val="en-US" w:eastAsia="zh-CN"/>
              </w:rPr>
            </w:pPr>
          </w:p>
          <w:p w14:paraId="17FE8EE3">
            <w:pPr>
              <w:pStyle w:val="2"/>
              <w:rPr>
                <w:rFonts w:hint="default"/>
                <w:color w:val="auto"/>
                <w:highlight w:val="none"/>
                <w:lang w:val="en-US" w:eastAsia="zh-CN"/>
              </w:rPr>
            </w:pPr>
          </w:p>
          <w:p w14:paraId="1D6AF225">
            <w:pPr>
              <w:pStyle w:val="3"/>
              <w:rPr>
                <w:rFonts w:hint="default"/>
                <w:color w:val="auto"/>
                <w:highlight w:val="none"/>
                <w:lang w:val="en-US" w:eastAsia="zh-CN"/>
              </w:rPr>
            </w:pPr>
          </w:p>
          <w:p w14:paraId="04C94FB4">
            <w:pPr>
              <w:rPr>
                <w:rFonts w:hint="default"/>
                <w:color w:val="auto"/>
                <w:highlight w:val="none"/>
                <w:lang w:val="en-US" w:eastAsia="zh-CN"/>
              </w:rPr>
            </w:pPr>
          </w:p>
          <w:p w14:paraId="0E7EB090">
            <w:pPr>
              <w:pStyle w:val="2"/>
              <w:rPr>
                <w:rFonts w:hint="default"/>
                <w:color w:val="auto"/>
                <w:highlight w:val="none"/>
                <w:lang w:val="en-US" w:eastAsia="zh-CN"/>
              </w:rPr>
            </w:pPr>
          </w:p>
          <w:p w14:paraId="2CE744C8">
            <w:pPr>
              <w:pStyle w:val="3"/>
              <w:rPr>
                <w:rFonts w:hint="default"/>
                <w:color w:val="auto"/>
                <w:highlight w:val="none"/>
                <w:lang w:val="en-US" w:eastAsia="zh-CN"/>
              </w:rPr>
            </w:pPr>
          </w:p>
          <w:p w14:paraId="4383EF85">
            <w:pPr>
              <w:rPr>
                <w:rFonts w:hint="default"/>
                <w:color w:val="auto"/>
                <w:highlight w:val="none"/>
                <w:lang w:val="en-US" w:eastAsia="zh-CN"/>
              </w:rPr>
            </w:pPr>
          </w:p>
          <w:p w14:paraId="6E143376">
            <w:pPr>
              <w:pStyle w:val="2"/>
              <w:rPr>
                <w:rFonts w:hint="default"/>
                <w:color w:val="auto"/>
                <w:highlight w:val="none"/>
                <w:lang w:val="en-US" w:eastAsia="zh-CN"/>
              </w:rPr>
            </w:pPr>
          </w:p>
          <w:p w14:paraId="47FB16D7">
            <w:pPr>
              <w:pStyle w:val="3"/>
              <w:rPr>
                <w:rFonts w:hint="default"/>
                <w:color w:val="auto"/>
                <w:highlight w:val="none"/>
                <w:lang w:val="en-US" w:eastAsia="zh-CN"/>
              </w:rPr>
            </w:pPr>
          </w:p>
          <w:p w14:paraId="47D1790A">
            <w:pPr>
              <w:rPr>
                <w:rFonts w:hint="default"/>
                <w:color w:val="auto"/>
                <w:highlight w:val="none"/>
                <w:lang w:val="en-US" w:eastAsia="zh-CN"/>
              </w:rPr>
            </w:pPr>
          </w:p>
          <w:p w14:paraId="0125BF0E">
            <w:pPr>
              <w:pStyle w:val="2"/>
              <w:rPr>
                <w:rFonts w:hint="default"/>
                <w:color w:val="auto"/>
                <w:highlight w:val="none"/>
                <w:lang w:val="en-US" w:eastAsia="zh-CN"/>
              </w:rPr>
            </w:pPr>
          </w:p>
          <w:p w14:paraId="393A2ACF">
            <w:pPr>
              <w:pStyle w:val="3"/>
              <w:rPr>
                <w:rFonts w:hint="default"/>
                <w:color w:val="auto"/>
                <w:highlight w:val="none"/>
                <w:lang w:val="en-US" w:eastAsia="zh-CN"/>
              </w:rPr>
            </w:pPr>
          </w:p>
          <w:p w14:paraId="21B855AF">
            <w:pPr>
              <w:rPr>
                <w:rFonts w:hint="default"/>
                <w:color w:val="auto"/>
                <w:highlight w:val="none"/>
                <w:lang w:val="en-US" w:eastAsia="zh-CN"/>
              </w:rPr>
            </w:pPr>
          </w:p>
          <w:p w14:paraId="14A85B8C">
            <w:pPr>
              <w:pStyle w:val="2"/>
              <w:rPr>
                <w:rFonts w:hint="default"/>
                <w:color w:val="auto"/>
                <w:highlight w:val="none"/>
                <w:lang w:val="en-US" w:eastAsia="zh-CN"/>
              </w:rPr>
            </w:pPr>
          </w:p>
          <w:p w14:paraId="1BC40A62">
            <w:pPr>
              <w:pStyle w:val="3"/>
              <w:rPr>
                <w:rFonts w:hint="default"/>
                <w:color w:val="auto"/>
                <w:highlight w:val="none"/>
                <w:lang w:val="en-US" w:eastAsia="zh-CN"/>
              </w:rPr>
            </w:pPr>
          </w:p>
          <w:p w14:paraId="0826FAF7">
            <w:pPr>
              <w:rPr>
                <w:rFonts w:hint="default"/>
                <w:color w:val="auto"/>
                <w:highlight w:val="none"/>
                <w:lang w:val="en-US" w:eastAsia="zh-CN"/>
              </w:rPr>
            </w:pPr>
          </w:p>
          <w:p w14:paraId="63A8A548">
            <w:pPr>
              <w:pStyle w:val="2"/>
              <w:rPr>
                <w:rFonts w:hint="default"/>
                <w:color w:val="auto"/>
                <w:lang w:val="en-US" w:eastAsia="zh-CN"/>
              </w:rPr>
            </w:pPr>
          </w:p>
        </w:tc>
      </w:tr>
    </w:tbl>
    <w:p w14:paraId="5E691457">
      <w:pPr>
        <w:rPr>
          <w:rFonts w:hint="eastAsia" w:ascii="黑体" w:hAnsi="黑体" w:eastAsia="黑体" w:cs="Times New Roman"/>
          <w:snapToGrid w:val="0"/>
          <w:color w:val="auto"/>
          <w:sz w:val="30"/>
          <w:szCs w:val="30"/>
          <w:highlight w:val="none"/>
        </w:rPr>
        <w:sectPr>
          <w:footerReference r:id="rId10" w:type="default"/>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3285"/>
      </w:tblGrid>
      <w:tr w14:paraId="7D67D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1" w:hRule="atLeast"/>
        </w:trPr>
        <w:tc>
          <w:tcPr>
            <w:tcW w:w="920" w:type="dxa"/>
            <w:tcBorders>
              <w:tl2br w:val="nil"/>
              <w:tr2bl w:val="nil"/>
            </w:tcBorders>
            <w:vAlign w:val="top"/>
          </w:tcPr>
          <w:p w14:paraId="72991EE1">
            <w:pPr>
              <w:rPr>
                <w:rFonts w:hint="eastAsia" w:ascii="黑体" w:hAnsi="黑体" w:eastAsia="黑体" w:cs="Times New Roman"/>
                <w:snapToGrid w:val="0"/>
                <w:color w:val="auto"/>
                <w:sz w:val="30"/>
                <w:szCs w:val="30"/>
                <w:highlight w:val="none"/>
                <w:vertAlign w:val="baseline"/>
              </w:rPr>
            </w:pPr>
          </w:p>
        </w:tc>
        <w:tc>
          <w:tcPr>
            <w:tcW w:w="13254" w:type="dxa"/>
            <w:tcBorders>
              <w:tl2br w:val="nil"/>
              <w:tr2bl w:val="nil"/>
            </w:tcBorders>
            <w:vAlign w:val="top"/>
          </w:tcPr>
          <w:p w14:paraId="7C231F9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27</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eastAsia" w:cs="Times New Roman"/>
                <w:b/>
                <w:bCs/>
                <w:color w:val="auto"/>
                <w:sz w:val="21"/>
                <w:szCs w:val="21"/>
                <w:highlight w:val="none"/>
                <w:shd w:val="clear" w:color="auto" w:fill="auto"/>
                <w:lang w:val="en-US" w:eastAsia="zh-CN"/>
              </w:rPr>
              <w:t xml:space="preserve"> 现有工程固体废物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2"/>
              <w:gridCol w:w="939"/>
              <w:gridCol w:w="945"/>
              <w:gridCol w:w="1110"/>
              <w:gridCol w:w="945"/>
              <w:gridCol w:w="750"/>
              <w:gridCol w:w="937"/>
              <w:gridCol w:w="1232"/>
              <w:gridCol w:w="1395"/>
              <w:gridCol w:w="1215"/>
              <w:gridCol w:w="2649"/>
            </w:tblGrid>
            <w:tr w14:paraId="6A059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8" w:hRule="atLeast"/>
                <w:jc w:val="center"/>
              </w:trPr>
              <w:tc>
                <w:tcPr>
                  <w:tcW w:w="922" w:type="dxa"/>
                  <w:tcBorders>
                    <w:tl2br w:val="nil"/>
                    <w:tr2bl w:val="nil"/>
                  </w:tcBorders>
                  <w:noWrap w:val="0"/>
                  <w:tcMar>
                    <w:top w:w="15" w:type="dxa"/>
                    <w:left w:w="15" w:type="dxa"/>
                    <w:right w:w="15" w:type="dxa"/>
                  </w:tcMar>
                  <w:vAlign w:val="center"/>
                </w:tcPr>
                <w:p w14:paraId="261B611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939" w:type="dxa"/>
                  <w:tcBorders>
                    <w:tl2br w:val="nil"/>
                    <w:tr2bl w:val="nil"/>
                  </w:tcBorders>
                  <w:noWrap w:val="0"/>
                  <w:tcMar>
                    <w:top w:w="15" w:type="dxa"/>
                    <w:left w:w="15" w:type="dxa"/>
                    <w:right w:w="15" w:type="dxa"/>
                  </w:tcMar>
                  <w:vAlign w:val="center"/>
                </w:tcPr>
                <w:p w14:paraId="6484008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945" w:type="dxa"/>
                  <w:tcBorders>
                    <w:tl2br w:val="nil"/>
                    <w:tr2bl w:val="nil"/>
                  </w:tcBorders>
                  <w:noWrap w:val="0"/>
                  <w:tcMar>
                    <w:top w:w="15" w:type="dxa"/>
                    <w:left w:w="15" w:type="dxa"/>
                    <w:right w:w="15" w:type="dxa"/>
                  </w:tcMar>
                  <w:vAlign w:val="center"/>
                </w:tcPr>
                <w:p w14:paraId="5FA7554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10" w:type="dxa"/>
                  <w:tcBorders>
                    <w:tl2br w:val="nil"/>
                    <w:tr2bl w:val="nil"/>
                  </w:tcBorders>
                  <w:noWrap w:val="0"/>
                  <w:tcMar>
                    <w:top w:w="15" w:type="dxa"/>
                    <w:left w:w="15" w:type="dxa"/>
                    <w:right w:w="15" w:type="dxa"/>
                  </w:tcMar>
                  <w:vAlign w:val="center"/>
                </w:tcPr>
                <w:p w14:paraId="406CD08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945" w:type="dxa"/>
                  <w:tcBorders>
                    <w:tl2br w:val="nil"/>
                    <w:tr2bl w:val="nil"/>
                  </w:tcBorders>
                  <w:noWrap w:val="0"/>
                  <w:tcMar>
                    <w:top w:w="15" w:type="dxa"/>
                    <w:left w:w="15" w:type="dxa"/>
                    <w:right w:w="15" w:type="dxa"/>
                  </w:tcMar>
                  <w:vAlign w:val="center"/>
                </w:tcPr>
                <w:p w14:paraId="274A746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750" w:type="dxa"/>
                  <w:tcBorders>
                    <w:tl2br w:val="nil"/>
                    <w:tr2bl w:val="nil"/>
                  </w:tcBorders>
                  <w:noWrap w:val="0"/>
                  <w:tcMar>
                    <w:top w:w="15" w:type="dxa"/>
                    <w:left w:w="15" w:type="dxa"/>
                    <w:right w:w="15" w:type="dxa"/>
                  </w:tcMar>
                  <w:vAlign w:val="center"/>
                </w:tcPr>
                <w:p w14:paraId="5D03291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937" w:type="dxa"/>
                  <w:tcBorders>
                    <w:tl2br w:val="nil"/>
                    <w:tr2bl w:val="nil"/>
                  </w:tcBorders>
                  <w:noWrap w:val="0"/>
                  <w:tcMar>
                    <w:top w:w="15" w:type="dxa"/>
                    <w:left w:w="15" w:type="dxa"/>
                    <w:right w:w="15" w:type="dxa"/>
                  </w:tcMar>
                  <w:vAlign w:val="center"/>
                </w:tcPr>
                <w:p w14:paraId="70BC3F7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1232" w:type="dxa"/>
                  <w:tcBorders>
                    <w:tl2br w:val="nil"/>
                    <w:tr2bl w:val="nil"/>
                  </w:tcBorders>
                  <w:noWrap w:val="0"/>
                  <w:tcMar>
                    <w:top w:w="15" w:type="dxa"/>
                    <w:left w:w="15" w:type="dxa"/>
                    <w:right w:w="15" w:type="dxa"/>
                  </w:tcMar>
                  <w:vAlign w:val="center"/>
                </w:tcPr>
                <w:p w14:paraId="3680FDC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395" w:type="dxa"/>
                  <w:tcBorders>
                    <w:tl2br w:val="nil"/>
                    <w:tr2bl w:val="nil"/>
                  </w:tcBorders>
                  <w:noWrap w:val="0"/>
                  <w:tcMar>
                    <w:top w:w="15" w:type="dxa"/>
                    <w:left w:w="15" w:type="dxa"/>
                    <w:right w:w="15" w:type="dxa"/>
                  </w:tcMar>
                  <w:vAlign w:val="center"/>
                </w:tcPr>
                <w:p w14:paraId="22409F1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1215" w:type="dxa"/>
                  <w:tcBorders>
                    <w:tl2br w:val="nil"/>
                    <w:tr2bl w:val="nil"/>
                  </w:tcBorders>
                  <w:noWrap w:val="0"/>
                  <w:tcMar>
                    <w:top w:w="15" w:type="dxa"/>
                    <w:left w:w="15" w:type="dxa"/>
                    <w:right w:w="15" w:type="dxa"/>
                  </w:tcMar>
                  <w:vAlign w:val="center"/>
                </w:tcPr>
                <w:p w14:paraId="5DB2AD1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2649" w:type="dxa"/>
                  <w:tcBorders>
                    <w:tl2br w:val="nil"/>
                    <w:tr2bl w:val="nil"/>
                  </w:tcBorders>
                  <w:noWrap w:val="0"/>
                  <w:tcMar>
                    <w:top w:w="15" w:type="dxa"/>
                    <w:left w:w="15" w:type="dxa"/>
                    <w:right w:w="15" w:type="dxa"/>
                  </w:tcMar>
                  <w:vAlign w:val="center"/>
                </w:tcPr>
                <w:p w14:paraId="3A4D27F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07264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98" w:hRule="atLeast"/>
                <w:jc w:val="center"/>
              </w:trPr>
              <w:tc>
                <w:tcPr>
                  <w:tcW w:w="922" w:type="dxa"/>
                  <w:tcBorders>
                    <w:tl2br w:val="nil"/>
                    <w:tr2bl w:val="nil"/>
                  </w:tcBorders>
                  <w:noWrap w:val="0"/>
                  <w:tcMar>
                    <w:top w:w="15" w:type="dxa"/>
                    <w:left w:w="15" w:type="dxa"/>
                    <w:right w:w="15" w:type="dxa"/>
                  </w:tcMar>
                  <w:vAlign w:val="center"/>
                </w:tcPr>
                <w:p w14:paraId="43D90D1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检测过程</w:t>
                  </w:r>
                </w:p>
              </w:tc>
              <w:tc>
                <w:tcPr>
                  <w:tcW w:w="939" w:type="dxa"/>
                  <w:tcBorders>
                    <w:tl2br w:val="nil"/>
                    <w:tr2bl w:val="nil"/>
                  </w:tcBorders>
                  <w:noWrap w:val="0"/>
                  <w:tcMar>
                    <w:top w:w="15" w:type="dxa"/>
                    <w:left w:w="15" w:type="dxa"/>
                    <w:right w:w="15" w:type="dxa"/>
                  </w:tcMar>
                  <w:vAlign w:val="center"/>
                </w:tcPr>
                <w:p w14:paraId="0D99E5A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不合格零件</w:t>
                  </w:r>
                </w:p>
              </w:tc>
              <w:tc>
                <w:tcPr>
                  <w:tcW w:w="945" w:type="dxa"/>
                  <w:vMerge w:val="restart"/>
                  <w:tcBorders>
                    <w:tl2br w:val="nil"/>
                    <w:tr2bl w:val="nil"/>
                  </w:tcBorders>
                  <w:noWrap w:val="0"/>
                  <w:tcMar>
                    <w:top w:w="15" w:type="dxa"/>
                    <w:left w:w="15" w:type="dxa"/>
                    <w:right w:w="15" w:type="dxa"/>
                  </w:tcMar>
                  <w:vAlign w:val="center"/>
                </w:tcPr>
                <w:p w14:paraId="42AF27B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一般工业固体废物</w:t>
                  </w:r>
                </w:p>
              </w:tc>
              <w:tc>
                <w:tcPr>
                  <w:tcW w:w="1110" w:type="dxa"/>
                  <w:tcBorders>
                    <w:tl2br w:val="nil"/>
                    <w:tr2bl w:val="nil"/>
                  </w:tcBorders>
                  <w:noWrap w:val="0"/>
                  <w:tcMar>
                    <w:top w:w="15" w:type="dxa"/>
                    <w:left w:w="15" w:type="dxa"/>
                    <w:right w:w="15" w:type="dxa"/>
                  </w:tcMar>
                  <w:vAlign w:val="center"/>
                </w:tcPr>
                <w:p w14:paraId="647C49B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945" w:type="dxa"/>
                  <w:tcBorders>
                    <w:tl2br w:val="nil"/>
                    <w:tr2bl w:val="nil"/>
                  </w:tcBorders>
                  <w:noWrap w:val="0"/>
                  <w:tcMar>
                    <w:top w:w="15" w:type="dxa"/>
                    <w:left w:w="15" w:type="dxa"/>
                    <w:right w:w="15" w:type="dxa"/>
                  </w:tcMar>
                  <w:vAlign w:val="center"/>
                </w:tcPr>
                <w:p w14:paraId="79C885E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750" w:type="dxa"/>
                  <w:tcBorders>
                    <w:tl2br w:val="nil"/>
                    <w:tr2bl w:val="nil"/>
                  </w:tcBorders>
                  <w:noWrap w:val="0"/>
                  <w:tcMar>
                    <w:top w:w="15" w:type="dxa"/>
                    <w:left w:w="15" w:type="dxa"/>
                    <w:right w:w="15" w:type="dxa"/>
                  </w:tcMar>
                  <w:vAlign w:val="center"/>
                </w:tcPr>
                <w:p w14:paraId="53A73C0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937" w:type="dxa"/>
                  <w:tcBorders>
                    <w:tl2br w:val="nil"/>
                    <w:tr2bl w:val="nil"/>
                  </w:tcBorders>
                  <w:noWrap w:val="0"/>
                  <w:tcMar>
                    <w:top w:w="15" w:type="dxa"/>
                    <w:left w:w="15" w:type="dxa"/>
                    <w:right w:w="15" w:type="dxa"/>
                  </w:tcMar>
                  <w:vAlign w:val="center"/>
                </w:tcPr>
                <w:p w14:paraId="4F30A15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1t/a</w:t>
                  </w:r>
                </w:p>
              </w:tc>
              <w:tc>
                <w:tcPr>
                  <w:tcW w:w="2627" w:type="dxa"/>
                  <w:gridSpan w:val="2"/>
                  <w:tcBorders>
                    <w:tl2br w:val="nil"/>
                    <w:tr2bl w:val="nil"/>
                  </w:tcBorders>
                  <w:noWrap w:val="0"/>
                  <w:tcMar>
                    <w:top w:w="15" w:type="dxa"/>
                    <w:left w:w="15" w:type="dxa"/>
                    <w:right w:w="15" w:type="dxa"/>
                  </w:tcMar>
                  <w:vAlign w:val="center"/>
                </w:tcPr>
                <w:p w14:paraId="57748B0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临时存放于检测区域，原厂返回</w:t>
                  </w:r>
                </w:p>
              </w:tc>
              <w:tc>
                <w:tcPr>
                  <w:tcW w:w="1215" w:type="dxa"/>
                  <w:tcBorders>
                    <w:tl2br w:val="nil"/>
                    <w:tr2bl w:val="nil"/>
                  </w:tcBorders>
                  <w:noWrap w:val="0"/>
                  <w:tcMar>
                    <w:top w:w="15" w:type="dxa"/>
                    <w:left w:w="15" w:type="dxa"/>
                    <w:right w:w="15" w:type="dxa"/>
                  </w:tcMar>
                  <w:vAlign w:val="center"/>
                </w:tcPr>
                <w:p w14:paraId="1470BA4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1t/a</w:t>
                  </w:r>
                </w:p>
              </w:tc>
              <w:tc>
                <w:tcPr>
                  <w:tcW w:w="2649" w:type="dxa"/>
                  <w:vMerge w:val="restart"/>
                  <w:tcBorders>
                    <w:tl2br w:val="nil"/>
                    <w:tr2bl w:val="nil"/>
                  </w:tcBorders>
                  <w:noWrap w:val="0"/>
                  <w:tcMar>
                    <w:top w:w="15" w:type="dxa"/>
                    <w:left w:w="15" w:type="dxa"/>
                    <w:right w:w="15" w:type="dxa"/>
                  </w:tcMar>
                  <w:vAlign w:val="center"/>
                </w:tcPr>
                <w:p w14:paraId="0E134C5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相关要求，生活垃圾处置参照执行《中华人民共和国固体废物污染环境防治法》（2020年9月1日）“第四章生活垃圾”的相关规定</w:t>
                  </w:r>
                </w:p>
              </w:tc>
            </w:tr>
            <w:tr w14:paraId="0827B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6" w:hRule="atLeast"/>
                <w:jc w:val="center"/>
              </w:trPr>
              <w:tc>
                <w:tcPr>
                  <w:tcW w:w="922" w:type="dxa"/>
                  <w:tcBorders>
                    <w:tl2br w:val="nil"/>
                    <w:tr2bl w:val="nil"/>
                  </w:tcBorders>
                  <w:noWrap w:val="0"/>
                  <w:tcMar>
                    <w:top w:w="15" w:type="dxa"/>
                    <w:left w:w="15" w:type="dxa"/>
                    <w:right w:w="15" w:type="dxa"/>
                  </w:tcMar>
                  <w:vAlign w:val="center"/>
                </w:tcPr>
                <w:p w14:paraId="46935E5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盛产过程</w:t>
                  </w:r>
                </w:p>
              </w:tc>
              <w:tc>
                <w:tcPr>
                  <w:tcW w:w="939" w:type="dxa"/>
                  <w:tcBorders>
                    <w:tl2br w:val="nil"/>
                    <w:tr2bl w:val="nil"/>
                  </w:tcBorders>
                  <w:noWrap w:val="0"/>
                  <w:tcMar>
                    <w:top w:w="15" w:type="dxa"/>
                    <w:left w:w="15" w:type="dxa"/>
                    <w:right w:w="15" w:type="dxa"/>
                  </w:tcMar>
                  <w:vAlign w:val="center"/>
                </w:tcPr>
                <w:p w14:paraId="33A7EF2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废包装物</w:t>
                  </w:r>
                </w:p>
              </w:tc>
              <w:tc>
                <w:tcPr>
                  <w:tcW w:w="945" w:type="dxa"/>
                  <w:vMerge w:val="continue"/>
                  <w:tcBorders>
                    <w:tl2br w:val="nil"/>
                    <w:tr2bl w:val="nil"/>
                  </w:tcBorders>
                  <w:noWrap w:val="0"/>
                  <w:tcMar>
                    <w:top w:w="15" w:type="dxa"/>
                    <w:left w:w="15" w:type="dxa"/>
                    <w:right w:w="15" w:type="dxa"/>
                  </w:tcMar>
                  <w:vAlign w:val="center"/>
                </w:tcPr>
                <w:p w14:paraId="21C0D1D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p>
              </w:tc>
              <w:tc>
                <w:tcPr>
                  <w:tcW w:w="1110" w:type="dxa"/>
                  <w:tcBorders>
                    <w:tl2br w:val="nil"/>
                    <w:tr2bl w:val="nil"/>
                  </w:tcBorders>
                  <w:noWrap w:val="0"/>
                  <w:tcMar>
                    <w:top w:w="15" w:type="dxa"/>
                    <w:left w:w="15" w:type="dxa"/>
                    <w:right w:w="15" w:type="dxa"/>
                  </w:tcMar>
                  <w:vAlign w:val="center"/>
                </w:tcPr>
                <w:p w14:paraId="46F60EC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945" w:type="dxa"/>
                  <w:tcBorders>
                    <w:tl2br w:val="nil"/>
                    <w:tr2bl w:val="nil"/>
                  </w:tcBorders>
                  <w:noWrap w:val="0"/>
                  <w:tcMar>
                    <w:top w:w="15" w:type="dxa"/>
                    <w:left w:w="15" w:type="dxa"/>
                    <w:right w:w="15" w:type="dxa"/>
                  </w:tcMar>
                  <w:vAlign w:val="center"/>
                </w:tcPr>
                <w:p w14:paraId="5668CCF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750" w:type="dxa"/>
                  <w:tcBorders>
                    <w:tl2br w:val="nil"/>
                    <w:tr2bl w:val="nil"/>
                  </w:tcBorders>
                  <w:noWrap w:val="0"/>
                  <w:tcMar>
                    <w:top w:w="15" w:type="dxa"/>
                    <w:left w:w="15" w:type="dxa"/>
                    <w:right w:w="15" w:type="dxa"/>
                  </w:tcMar>
                  <w:vAlign w:val="center"/>
                </w:tcPr>
                <w:p w14:paraId="72A8267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937" w:type="dxa"/>
                  <w:tcBorders>
                    <w:tl2br w:val="nil"/>
                    <w:tr2bl w:val="nil"/>
                  </w:tcBorders>
                  <w:noWrap w:val="0"/>
                  <w:tcMar>
                    <w:top w:w="15" w:type="dxa"/>
                    <w:left w:w="15" w:type="dxa"/>
                    <w:right w:w="15" w:type="dxa"/>
                  </w:tcMar>
                  <w:vAlign w:val="center"/>
                </w:tcPr>
                <w:p w14:paraId="7A8F6AB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0.1t/a</w:t>
                  </w:r>
                </w:p>
              </w:tc>
              <w:tc>
                <w:tcPr>
                  <w:tcW w:w="1232" w:type="dxa"/>
                  <w:tcBorders>
                    <w:tl2br w:val="nil"/>
                    <w:tr2bl w:val="nil"/>
                  </w:tcBorders>
                  <w:noWrap w:val="0"/>
                  <w:tcMar>
                    <w:top w:w="15" w:type="dxa"/>
                    <w:left w:w="15" w:type="dxa"/>
                    <w:right w:w="15" w:type="dxa"/>
                  </w:tcMar>
                  <w:vAlign w:val="center"/>
                </w:tcPr>
                <w:p w14:paraId="2B80921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暂存于一般固废暂存区</w:t>
                  </w:r>
                </w:p>
              </w:tc>
              <w:tc>
                <w:tcPr>
                  <w:tcW w:w="1395" w:type="dxa"/>
                  <w:tcBorders>
                    <w:tl2br w:val="nil"/>
                    <w:tr2bl w:val="nil"/>
                  </w:tcBorders>
                  <w:noWrap w:val="0"/>
                  <w:tcMar>
                    <w:top w:w="15" w:type="dxa"/>
                    <w:left w:w="15" w:type="dxa"/>
                    <w:right w:w="15" w:type="dxa"/>
                  </w:tcMar>
                  <w:vAlign w:val="center"/>
                </w:tcPr>
                <w:p w14:paraId="42A78E4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外售废品回收站</w:t>
                  </w:r>
                </w:p>
              </w:tc>
              <w:tc>
                <w:tcPr>
                  <w:tcW w:w="1215" w:type="dxa"/>
                  <w:tcBorders>
                    <w:tl2br w:val="nil"/>
                    <w:tr2bl w:val="nil"/>
                  </w:tcBorders>
                  <w:noWrap w:val="0"/>
                  <w:tcMar>
                    <w:top w:w="15" w:type="dxa"/>
                    <w:left w:w="15" w:type="dxa"/>
                    <w:right w:w="15" w:type="dxa"/>
                  </w:tcMar>
                  <w:vAlign w:val="center"/>
                </w:tcPr>
                <w:p w14:paraId="0B1FD93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p>
              </w:tc>
              <w:tc>
                <w:tcPr>
                  <w:tcW w:w="2649" w:type="dxa"/>
                  <w:vMerge w:val="continue"/>
                  <w:tcBorders>
                    <w:tl2br w:val="nil"/>
                    <w:tr2bl w:val="nil"/>
                  </w:tcBorders>
                  <w:noWrap w:val="0"/>
                  <w:tcMar>
                    <w:top w:w="15" w:type="dxa"/>
                    <w:left w:w="15" w:type="dxa"/>
                    <w:right w:w="15" w:type="dxa"/>
                  </w:tcMar>
                  <w:vAlign w:val="center"/>
                </w:tcPr>
                <w:p w14:paraId="08F83FE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76176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6" w:hRule="atLeast"/>
                <w:jc w:val="center"/>
              </w:trPr>
              <w:tc>
                <w:tcPr>
                  <w:tcW w:w="922" w:type="dxa"/>
                  <w:tcBorders>
                    <w:tl2br w:val="nil"/>
                    <w:tr2bl w:val="nil"/>
                  </w:tcBorders>
                  <w:noWrap w:val="0"/>
                  <w:tcMar>
                    <w:top w:w="15" w:type="dxa"/>
                    <w:left w:w="15" w:type="dxa"/>
                    <w:right w:w="15" w:type="dxa"/>
                  </w:tcMar>
                  <w:vAlign w:val="center"/>
                </w:tcPr>
                <w:p w14:paraId="54E4BA6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职工生活</w:t>
                  </w:r>
                </w:p>
              </w:tc>
              <w:tc>
                <w:tcPr>
                  <w:tcW w:w="939" w:type="dxa"/>
                  <w:tcBorders>
                    <w:tl2br w:val="nil"/>
                    <w:tr2bl w:val="nil"/>
                  </w:tcBorders>
                  <w:noWrap w:val="0"/>
                  <w:tcMar>
                    <w:top w:w="15" w:type="dxa"/>
                    <w:left w:w="15" w:type="dxa"/>
                    <w:right w:w="15" w:type="dxa"/>
                  </w:tcMar>
                  <w:vAlign w:val="center"/>
                </w:tcPr>
                <w:p w14:paraId="23C5BB3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生活垃圾</w:t>
                  </w:r>
                </w:p>
              </w:tc>
              <w:tc>
                <w:tcPr>
                  <w:tcW w:w="945" w:type="dxa"/>
                  <w:tcBorders>
                    <w:tl2br w:val="nil"/>
                    <w:tr2bl w:val="nil"/>
                  </w:tcBorders>
                  <w:noWrap w:val="0"/>
                  <w:tcMar>
                    <w:top w:w="15" w:type="dxa"/>
                    <w:left w:w="15" w:type="dxa"/>
                    <w:right w:w="15" w:type="dxa"/>
                  </w:tcMar>
                  <w:vAlign w:val="center"/>
                </w:tcPr>
                <w:p w14:paraId="1264585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w:t>
                  </w:r>
                </w:p>
              </w:tc>
              <w:tc>
                <w:tcPr>
                  <w:tcW w:w="1110" w:type="dxa"/>
                  <w:tcBorders>
                    <w:tl2br w:val="nil"/>
                    <w:tr2bl w:val="nil"/>
                  </w:tcBorders>
                  <w:noWrap w:val="0"/>
                  <w:tcMar>
                    <w:top w:w="15" w:type="dxa"/>
                    <w:left w:w="15" w:type="dxa"/>
                    <w:right w:w="15" w:type="dxa"/>
                  </w:tcMar>
                  <w:vAlign w:val="center"/>
                </w:tcPr>
                <w:p w14:paraId="4D8BDB6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945" w:type="dxa"/>
                  <w:tcBorders>
                    <w:tl2br w:val="nil"/>
                    <w:tr2bl w:val="nil"/>
                  </w:tcBorders>
                  <w:noWrap w:val="0"/>
                  <w:tcMar>
                    <w:top w:w="15" w:type="dxa"/>
                    <w:left w:w="15" w:type="dxa"/>
                    <w:right w:w="15" w:type="dxa"/>
                  </w:tcMar>
                  <w:vAlign w:val="center"/>
                </w:tcPr>
                <w:p w14:paraId="0A750F5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750" w:type="dxa"/>
                  <w:tcBorders>
                    <w:tl2br w:val="nil"/>
                    <w:tr2bl w:val="nil"/>
                  </w:tcBorders>
                  <w:noWrap w:val="0"/>
                  <w:tcMar>
                    <w:top w:w="15" w:type="dxa"/>
                    <w:left w:w="15" w:type="dxa"/>
                    <w:right w:w="15" w:type="dxa"/>
                  </w:tcMar>
                  <w:vAlign w:val="center"/>
                </w:tcPr>
                <w:p w14:paraId="7E99E33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937" w:type="dxa"/>
                  <w:tcBorders>
                    <w:tl2br w:val="nil"/>
                    <w:tr2bl w:val="nil"/>
                  </w:tcBorders>
                  <w:noWrap w:val="0"/>
                  <w:tcMar>
                    <w:top w:w="15" w:type="dxa"/>
                    <w:left w:w="15" w:type="dxa"/>
                    <w:right w:w="15" w:type="dxa"/>
                  </w:tcMar>
                  <w:vAlign w:val="center"/>
                </w:tcPr>
                <w:p w14:paraId="497DB99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22.5</w:t>
                  </w:r>
                  <w:r>
                    <w:rPr>
                      <w:rFonts w:hint="eastAsia" w:cs="Times New Roman"/>
                      <w:color w:val="auto"/>
                      <w:sz w:val="21"/>
                      <w:szCs w:val="21"/>
                      <w:highlight w:val="none"/>
                      <w:shd w:val="clear" w:color="auto" w:fill="auto"/>
                      <w:lang w:val="en-US" w:eastAsia="zh-CN"/>
                    </w:rPr>
                    <w:t>t/a</w:t>
                  </w:r>
                </w:p>
              </w:tc>
              <w:tc>
                <w:tcPr>
                  <w:tcW w:w="1232" w:type="dxa"/>
                  <w:tcBorders>
                    <w:tl2br w:val="nil"/>
                    <w:tr2bl w:val="nil"/>
                  </w:tcBorders>
                  <w:noWrap w:val="0"/>
                  <w:tcMar>
                    <w:top w:w="15" w:type="dxa"/>
                    <w:left w:w="15" w:type="dxa"/>
                    <w:right w:w="15" w:type="dxa"/>
                  </w:tcMar>
                  <w:vAlign w:val="center"/>
                </w:tcPr>
                <w:p w14:paraId="261A94A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袋装化收集</w:t>
                  </w:r>
                </w:p>
              </w:tc>
              <w:tc>
                <w:tcPr>
                  <w:tcW w:w="1395" w:type="dxa"/>
                  <w:tcBorders>
                    <w:tl2br w:val="nil"/>
                    <w:tr2bl w:val="nil"/>
                  </w:tcBorders>
                  <w:noWrap w:val="0"/>
                  <w:tcMar>
                    <w:top w:w="15" w:type="dxa"/>
                    <w:left w:w="15" w:type="dxa"/>
                    <w:right w:w="15" w:type="dxa"/>
                  </w:tcMar>
                  <w:vAlign w:val="center"/>
                </w:tcPr>
                <w:p w14:paraId="71230AC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送至环卫部门指定地点统一处理</w:t>
                  </w:r>
                </w:p>
              </w:tc>
              <w:tc>
                <w:tcPr>
                  <w:tcW w:w="1215" w:type="dxa"/>
                  <w:tcBorders>
                    <w:tl2br w:val="nil"/>
                    <w:tr2bl w:val="nil"/>
                  </w:tcBorders>
                  <w:noWrap w:val="0"/>
                  <w:tcMar>
                    <w:top w:w="15" w:type="dxa"/>
                    <w:left w:w="15" w:type="dxa"/>
                    <w:right w:w="15" w:type="dxa"/>
                  </w:tcMar>
                  <w:vAlign w:val="center"/>
                </w:tcPr>
                <w:p w14:paraId="479F43F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4.5</w:t>
                  </w:r>
                  <w:r>
                    <w:rPr>
                      <w:rFonts w:hint="eastAsia" w:cs="Times New Roman"/>
                      <w:color w:val="auto"/>
                      <w:sz w:val="21"/>
                      <w:szCs w:val="21"/>
                      <w:highlight w:val="none"/>
                      <w:shd w:val="clear" w:color="auto" w:fill="auto"/>
                      <w:lang w:val="en-US" w:eastAsia="zh-CN"/>
                    </w:rPr>
                    <w:t>t/a</w:t>
                  </w:r>
                </w:p>
              </w:tc>
              <w:tc>
                <w:tcPr>
                  <w:tcW w:w="2649" w:type="dxa"/>
                  <w:vMerge w:val="continue"/>
                  <w:tcBorders>
                    <w:tl2br w:val="nil"/>
                    <w:tr2bl w:val="nil"/>
                  </w:tcBorders>
                  <w:noWrap w:val="0"/>
                  <w:tcMar>
                    <w:top w:w="15" w:type="dxa"/>
                    <w:left w:w="15" w:type="dxa"/>
                    <w:right w:w="15" w:type="dxa"/>
                  </w:tcMar>
                  <w:vAlign w:val="center"/>
                </w:tcPr>
                <w:p w14:paraId="17EA390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bl>
          <w:p w14:paraId="6C8769A5">
            <w:pPr>
              <w:ind w:left="0" w:leftChars="0" w:firstLine="0" w:firstLineChars="0"/>
              <w:rPr>
                <w:rFonts w:hint="eastAsia" w:ascii="黑体" w:hAnsi="黑体" w:eastAsia="黑体" w:cs="Times New Roman"/>
                <w:snapToGrid w:val="0"/>
                <w:color w:val="auto"/>
                <w:sz w:val="30"/>
                <w:szCs w:val="30"/>
                <w:highlight w:val="none"/>
                <w:vertAlign w:val="baseline"/>
              </w:rPr>
            </w:pPr>
          </w:p>
          <w:p w14:paraId="2E2C7A33">
            <w:pPr>
              <w:ind w:left="0" w:leftChars="0" w:firstLine="0" w:firstLineChars="0"/>
              <w:rPr>
                <w:rFonts w:hint="eastAsia" w:ascii="黑体" w:hAnsi="黑体" w:eastAsia="黑体" w:cs="Times New Roman"/>
                <w:snapToGrid w:val="0"/>
                <w:color w:val="auto"/>
                <w:sz w:val="30"/>
                <w:szCs w:val="30"/>
                <w:highlight w:val="none"/>
                <w:vertAlign w:val="baseline"/>
              </w:rPr>
            </w:pPr>
          </w:p>
          <w:p w14:paraId="6A40FAB6">
            <w:pPr>
              <w:ind w:left="0" w:leftChars="0" w:firstLine="0" w:firstLineChars="0"/>
              <w:rPr>
                <w:rFonts w:hint="eastAsia" w:ascii="黑体" w:hAnsi="黑体" w:eastAsia="黑体" w:cs="Times New Roman"/>
                <w:snapToGrid w:val="0"/>
                <w:color w:val="auto"/>
                <w:sz w:val="30"/>
                <w:szCs w:val="30"/>
                <w:highlight w:val="none"/>
                <w:vertAlign w:val="baseline"/>
              </w:rPr>
            </w:pPr>
          </w:p>
          <w:p w14:paraId="7DC908E4">
            <w:pPr>
              <w:ind w:left="0" w:leftChars="0" w:firstLine="0" w:firstLineChars="0"/>
              <w:rPr>
                <w:rFonts w:hint="eastAsia" w:ascii="黑体" w:hAnsi="黑体" w:eastAsia="黑体" w:cs="Times New Roman"/>
                <w:snapToGrid w:val="0"/>
                <w:color w:val="auto"/>
                <w:sz w:val="30"/>
                <w:szCs w:val="30"/>
                <w:highlight w:val="none"/>
                <w:vertAlign w:val="baseline"/>
              </w:rPr>
            </w:pPr>
          </w:p>
          <w:p w14:paraId="229020D8">
            <w:pPr>
              <w:pStyle w:val="2"/>
              <w:rPr>
                <w:rFonts w:hint="eastAsia" w:ascii="黑体" w:hAnsi="黑体" w:eastAsia="黑体" w:cs="Times New Roman"/>
                <w:snapToGrid w:val="0"/>
                <w:color w:val="auto"/>
                <w:sz w:val="30"/>
                <w:szCs w:val="30"/>
                <w:highlight w:val="none"/>
                <w:vertAlign w:val="baseline"/>
              </w:rPr>
            </w:pPr>
          </w:p>
          <w:p w14:paraId="39E90236">
            <w:pPr>
              <w:pStyle w:val="3"/>
              <w:rPr>
                <w:rFonts w:hint="eastAsia" w:ascii="黑体" w:hAnsi="黑体" w:eastAsia="黑体" w:cs="Times New Roman"/>
                <w:snapToGrid w:val="0"/>
                <w:color w:val="auto"/>
                <w:sz w:val="30"/>
                <w:szCs w:val="30"/>
                <w:highlight w:val="none"/>
                <w:vertAlign w:val="baseline"/>
              </w:rPr>
            </w:pPr>
          </w:p>
          <w:p w14:paraId="3598BA27">
            <w:pPr>
              <w:rPr>
                <w:rFonts w:hint="eastAsia" w:ascii="黑体" w:hAnsi="黑体" w:eastAsia="黑体" w:cs="Times New Roman"/>
                <w:snapToGrid w:val="0"/>
                <w:color w:val="auto"/>
                <w:sz w:val="30"/>
                <w:szCs w:val="30"/>
                <w:highlight w:val="none"/>
                <w:vertAlign w:val="baseline"/>
              </w:rPr>
            </w:pPr>
          </w:p>
          <w:p w14:paraId="066A673C">
            <w:pPr>
              <w:pStyle w:val="2"/>
              <w:rPr>
                <w:rFonts w:hint="eastAsia" w:ascii="黑体" w:hAnsi="黑体" w:eastAsia="黑体" w:cs="Times New Roman"/>
                <w:snapToGrid w:val="0"/>
                <w:color w:val="auto"/>
                <w:sz w:val="30"/>
                <w:szCs w:val="30"/>
                <w:highlight w:val="none"/>
                <w:vertAlign w:val="baseline"/>
              </w:rPr>
            </w:pPr>
          </w:p>
          <w:p w14:paraId="72DDE438">
            <w:pPr>
              <w:pStyle w:val="3"/>
              <w:rPr>
                <w:rFonts w:hint="eastAsia"/>
                <w:color w:val="auto"/>
              </w:rPr>
            </w:pPr>
          </w:p>
        </w:tc>
      </w:tr>
    </w:tbl>
    <w:p w14:paraId="19AF1FEE">
      <w:pPr>
        <w:rPr>
          <w:rFonts w:hint="eastAsia" w:ascii="黑体" w:hAnsi="黑体" w:eastAsia="黑体" w:cs="Times New Roman"/>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8481"/>
      </w:tblGrid>
      <w:tr w14:paraId="1EBDC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11" w:hRule="atLeast"/>
        </w:trPr>
        <w:tc>
          <w:tcPr>
            <w:tcW w:w="977" w:type="dxa"/>
            <w:tcBorders>
              <w:tl2br w:val="nil"/>
              <w:tr2bl w:val="nil"/>
            </w:tcBorders>
          </w:tcPr>
          <w:p w14:paraId="79E5076C">
            <w:pPr>
              <w:rPr>
                <w:rFonts w:hint="eastAsia" w:ascii="黑体" w:hAnsi="黑体" w:eastAsia="黑体" w:cs="Times New Roman"/>
                <w:snapToGrid w:val="0"/>
                <w:color w:val="auto"/>
                <w:sz w:val="30"/>
                <w:szCs w:val="30"/>
                <w:highlight w:val="none"/>
                <w:vertAlign w:val="baseline"/>
              </w:rPr>
            </w:pPr>
          </w:p>
        </w:tc>
        <w:tc>
          <w:tcPr>
            <w:tcW w:w="8481" w:type="dxa"/>
            <w:tcBorders>
              <w:tl2br w:val="nil"/>
              <w:tr2bl w:val="nil"/>
            </w:tcBorders>
          </w:tcPr>
          <w:p w14:paraId="032C12F9">
            <w:pPr>
              <w:numPr>
                <w:ilvl w:val="0"/>
                <w:numId w:val="0"/>
              </w:numPr>
              <w:bidi w:val="0"/>
              <w:rPr>
                <w:rFonts w:hint="default"/>
                <w:b/>
                <w:bCs/>
                <w:color w:val="auto"/>
                <w:highlight w:val="none"/>
                <w:lang w:val="en-US" w:eastAsia="zh-CN"/>
              </w:rPr>
            </w:pPr>
            <w:r>
              <w:rPr>
                <w:rFonts w:hint="eastAsia"/>
                <w:b/>
                <w:bCs/>
                <w:color w:val="auto"/>
                <w:highlight w:val="none"/>
                <w:lang w:val="en-US" w:eastAsia="zh-CN"/>
              </w:rPr>
              <w:t>2、防渗措施</w:t>
            </w:r>
          </w:p>
          <w:p w14:paraId="78D64E91">
            <w:pPr>
              <w:rPr>
                <w:rFonts w:hint="eastAsia" w:ascii="Times New Roman" w:eastAsia="宋体"/>
                <w:color w:val="auto"/>
                <w:spacing w:val="0"/>
                <w:sz w:val="24"/>
                <w:highlight w:val="none"/>
              </w:rPr>
            </w:pPr>
            <w:r>
              <w:rPr>
                <w:rFonts w:hint="eastAsia" w:ascii="Times New Roman" w:eastAsia="宋体"/>
                <w:color w:val="auto"/>
                <w:spacing w:val="0"/>
                <w:sz w:val="24"/>
                <w:highlight w:val="none"/>
              </w:rPr>
              <w:t>根据现场调查及建设单位提供资料，厂区现有防渗情况如下：</w:t>
            </w:r>
          </w:p>
          <w:p w14:paraId="664D758A">
            <w:pPr>
              <w:numPr>
                <w:ilvl w:val="0"/>
                <w:numId w:val="23"/>
              </w:num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生产区地面进行基础防渗，满足等效黏土防渗层</w:t>
            </w:r>
            <w:r>
              <w:rPr>
                <w:rFonts w:hint="default" w:ascii="Times New Roman" w:hAnsi="Times New Roman" w:cs="Times New Roman"/>
                <w:color w:val="auto"/>
                <w:highlight w:val="none"/>
                <w:lang w:val="en-US" w:eastAsia="zh-CN"/>
              </w:rPr>
              <w:t>Mb≥1.5m，K≤1×10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w:t>
            </w:r>
            <w:r>
              <w:rPr>
                <w:rFonts w:hint="eastAsia" w:ascii="Times New Roman" w:hAnsi="Times New Roman" w:cs="Times New Roman"/>
                <w:color w:val="auto"/>
                <w:highlight w:val="none"/>
                <w:lang w:val="en-US" w:eastAsia="zh-CN"/>
              </w:rPr>
              <w:t>。</w:t>
            </w:r>
          </w:p>
          <w:p w14:paraId="31DB4D65">
            <w:pPr>
              <w:numPr>
                <w:ilvl w:val="0"/>
                <w:numId w:val="23"/>
              </w:numPr>
              <w:bidi w:val="0"/>
              <w:rPr>
                <w:rFonts w:hint="eastAsia" w:cs="Times New Roman"/>
                <w:color w:val="auto"/>
                <w:highlight w:val="none"/>
                <w:lang w:val="en-US" w:eastAsia="zh-CN"/>
              </w:rPr>
            </w:pPr>
            <w:r>
              <w:rPr>
                <w:rFonts w:hint="eastAsia" w:cs="Times New Roman"/>
                <w:color w:val="auto"/>
                <w:highlight w:val="none"/>
                <w:lang w:val="en-US" w:eastAsia="zh-CN"/>
              </w:rPr>
              <w:t>厂区道路硬化处理。</w:t>
            </w:r>
          </w:p>
          <w:p w14:paraId="795CBC8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highlight w:val="none"/>
                <w:lang w:val="en-US" w:eastAsia="zh-CN"/>
              </w:rPr>
            </w:pPr>
            <w:r>
              <w:rPr>
                <w:rFonts w:hint="eastAsia"/>
                <w:b/>
                <w:bCs/>
                <w:color w:val="auto"/>
                <w:highlight w:val="none"/>
                <w:lang w:val="en-US" w:eastAsia="zh-CN"/>
              </w:rPr>
              <w:t>3、环境管理</w:t>
            </w:r>
          </w:p>
          <w:p w14:paraId="65DA57AA">
            <w:pPr>
              <w:bidi w:val="0"/>
              <w:rPr>
                <w:rFonts w:hint="eastAsia"/>
                <w:color w:val="auto"/>
                <w:highlight w:val="none"/>
                <w:lang w:eastAsia="zh-CN"/>
              </w:rPr>
            </w:pPr>
            <w:r>
              <w:rPr>
                <w:rFonts w:hint="eastAsia"/>
                <w:color w:val="auto"/>
                <w:highlight w:val="none"/>
                <w:lang w:val="en-US" w:eastAsia="zh-CN"/>
              </w:rPr>
              <w:t>中信重工开诚智能装备有限公司环保手续齐全，</w:t>
            </w:r>
            <w:r>
              <w:rPr>
                <w:rFonts w:hint="default"/>
                <w:color w:val="auto"/>
                <w:highlight w:val="none"/>
              </w:rPr>
              <w:t>建立了完整的环保档案，并设有专人管理，公司建立</w:t>
            </w:r>
            <w:r>
              <w:rPr>
                <w:rFonts w:hint="eastAsia"/>
                <w:color w:val="auto"/>
                <w:highlight w:val="none"/>
                <w:lang w:eastAsia="zh-CN"/>
              </w:rPr>
              <w:t>了</w:t>
            </w:r>
            <w:r>
              <w:rPr>
                <w:rFonts w:hint="default"/>
                <w:color w:val="auto"/>
                <w:highlight w:val="none"/>
              </w:rPr>
              <w:t>环保管理规章制度，环保设施的运行、维护、日常监督均有专人负责。</w:t>
            </w:r>
          </w:p>
          <w:p w14:paraId="478190BC">
            <w:pPr>
              <w:numPr>
                <w:ilvl w:val="0"/>
                <w:numId w:val="0"/>
              </w:numPr>
              <w:bidi w:val="0"/>
              <w:ind w:leftChars="200"/>
              <w:rPr>
                <w:rFonts w:hint="default"/>
                <w:b/>
                <w:bCs/>
                <w:color w:val="auto"/>
                <w:highlight w:val="none"/>
              </w:rPr>
            </w:pPr>
            <w:r>
              <w:rPr>
                <w:rFonts w:hint="eastAsia"/>
                <w:b/>
                <w:bCs/>
                <w:color w:val="auto"/>
                <w:highlight w:val="none"/>
                <w:lang w:val="en-US" w:eastAsia="zh-CN"/>
              </w:rPr>
              <w:t>3.1</w:t>
            </w:r>
            <w:r>
              <w:rPr>
                <w:rFonts w:hint="default"/>
                <w:b/>
                <w:bCs/>
                <w:color w:val="auto"/>
                <w:highlight w:val="none"/>
              </w:rPr>
              <w:t>现有工程排污口规范化情况</w:t>
            </w:r>
          </w:p>
          <w:p w14:paraId="7105672B">
            <w:pPr>
              <w:pStyle w:val="13"/>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textAlignment w:val="auto"/>
              <w:rPr>
                <w:rFonts w:hint="eastAsia"/>
                <w:color w:val="auto"/>
                <w:sz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废水排放口规范化：</w:t>
            </w:r>
            <w:r>
              <w:rPr>
                <w:color w:val="auto"/>
                <w:sz w:val="24"/>
                <w:highlight w:val="none"/>
              </w:rPr>
              <w:t>厂区设</w:t>
            </w:r>
            <w:r>
              <w:rPr>
                <w:rFonts w:hint="eastAsia"/>
                <w:color w:val="auto"/>
                <w:sz w:val="24"/>
                <w:highlight w:val="none"/>
                <w:lang w:val="en-US" w:eastAsia="zh-CN"/>
              </w:rPr>
              <w:t>废水</w:t>
            </w:r>
            <w:r>
              <w:rPr>
                <w:color w:val="auto"/>
                <w:sz w:val="24"/>
                <w:highlight w:val="none"/>
              </w:rPr>
              <w:t>总排水口1个</w:t>
            </w:r>
            <w:r>
              <w:rPr>
                <w:rFonts w:hint="eastAsia"/>
                <w:color w:val="auto"/>
                <w:sz w:val="24"/>
                <w:highlight w:val="none"/>
                <w:lang w:eastAsia="zh-CN"/>
              </w:rPr>
              <w:t>，</w:t>
            </w:r>
            <w:r>
              <w:rPr>
                <w:rFonts w:hint="eastAsia"/>
                <w:color w:val="auto"/>
                <w:sz w:val="24"/>
                <w:highlight w:val="none"/>
                <w:lang w:val="en-US" w:eastAsia="zh-CN"/>
              </w:rPr>
              <w:t>已</w:t>
            </w:r>
            <w:r>
              <w:rPr>
                <w:color w:val="auto"/>
                <w:sz w:val="24"/>
                <w:highlight w:val="none"/>
              </w:rPr>
              <w:t>按国家《环境保护图形标志》（15562.1-1995）的规定，</w:t>
            </w:r>
            <w:r>
              <w:rPr>
                <w:rFonts w:hint="eastAsia"/>
                <w:color w:val="auto"/>
                <w:sz w:val="24"/>
                <w:highlight w:val="none"/>
                <w:lang w:val="en-US" w:eastAsia="zh-CN"/>
              </w:rPr>
              <w:t>在</w:t>
            </w:r>
            <w:r>
              <w:rPr>
                <w:color w:val="auto"/>
                <w:sz w:val="24"/>
                <w:highlight w:val="none"/>
              </w:rPr>
              <w:t>靠近采样点的醒目处设置国家环保总局统一制作的环境保护图形标志牌。</w:t>
            </w:r>
          </w:p>
          <w:p w14:paraId="7EFACF4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噪声：</w:t>
            </w:r>
            <w:r>
              <w:rPr>
                <w:rFonts w:ascii="宋体" w:hAnsi="宋体"/>
                <w:color w:val="auto"/>
                <w:sz w:val="24"/>
                <w:highlight w:val="none"/>
              </w:rPr>
              <w:t>按《工业企业厂界环境噪声排放标准》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rFonts w:ascii="宋体" w:hAnsi="宋体"/>
                <w:color w:val="auto"/>
                <w:sz w:val="24"/>
                <w:highlight w:val="none"/>
              </w:rPr>
              <w:t>的规定，设置环境噪声监测点，并在该处附近醒目处设置环境保护图形标志牌</w:t>
            </w:r>
            <w:r>
              <w:rPr>
                <w:rFonts w:hint="eastAsia" w:ascii="宋体" w:hAnsi="宋体"/>
                <w:color w:val="auto"/>
                <w:sz w:val="24"/>
                <w:highlight w:val="none"/>
                <w:lang w:eastAsia="zh-CN"/>
              </w:rPr>
              <w:t>。</w:t>
            </w:r>
          </w:p>
          <w:p w14:paraId="1A5AEF50">
            <w:pPr>
              <w:bidi w:val="0"/>
              <w:rPr>
                <w:rFonts w:hint="eastAsia"/>
                <w:b/>
                <w:bCs/>
                <w:color w:val="auto"/>
                <w:highlight w:val="none"/>
                <w:lang w:val="en-US" w:eastAsia="zh-CN"/>
              </w:rPr>
            </w:pPr>
            <w:r>
              <w:rPr>
                <w:rFonts w:hint="eastAsia"/>
                <w:b/>
                <w:bCs/>
                <w:color w:val="auto"/>
                <w:highlight w:val="none"/>
                <w:lang w:val="en-US" w:eastAsia="zh-CN"/>
              </w:rPr>
              <w:t>3.2应急预案备案情况</w:t>
            </w:r>
          </w:p>
          <w:p w14:paraId="2BD398A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color w:val="auto"/>
                <w:highlight w:val="none"/>
                <w:lang w:val="en-US" w:eastAsia="zh-CN"/>
              </w:rPr>
              <w:t>中信重工开诚智能装备有限公司现有工程不涉及风险物质使用、生产及排放，无需编制突发环境事件应急预案。</w:t>
            </w:r>
          </w:p>
          <w:p w14:paraId="1D3F0058">
            <w:pPr>
              <w:bidi w:val="0"/>
              <w:rPr>
                <w:rFonts w:hint="eastAsia"/>
                <w:b/>
                <w:bCs/>
                <w:color w:val="auto"/>
                <w:highlight w:val="none"/>
                <w:lang w:val="en-US" w:eastAsia="zh-CN"/>
              </w:rPr>
            </w:pPr>
            <w:r>
              <w:rPr>
                <w:rFonts w:hint="eastAsia"/>
                <w:b/>
                <w:bCs/>
                <w:color w:val="auto"/>
                <w:highlight w:val="none"/>
                <w:lang w:val="en-US" w:eastAsia="zh-CN"/>
              </w:rPr>
              <w:t>3.3自行监测计划和执行报告落实情况</w:t>
            </w:r>
          </w:p>
          <w:p w14:paraId="45C0DEE9">
            <w:pPr>
              <w:bidi w:val="0"/>
              <w:rPr>
                <w:rFonts w:hint="eastAsia"/>
                <w:color w:val="auto"/>
                <w:highlight w:val="none"/>
                <w:lang w:val="en-US" w:eastAsia="zh-CN"/>
              </w:rPr>
            </w:pPr>
            <w:r>
              <w:rPr>
                <w:rFonts w:hint="eastAsia"/>
                <w:color w:val="auto"/>
                <w:highlight w:val="none"/>
                <w:lang w:val="en-US" w:eastAsia="zh-CN"/>
              </w:rPr>
              <w:t>根据《固定污染源排污许可分类管理名录（2019年版）》，本企业为排污许可登记管理类，在全国排污许可证管理信息平台完成了排污填报，取得了固定污染源排污登记回执。</w:t>
            </w:r>
          </w:p>
          <w:p w14:paraId="2365289C">
            <w:pPr>
              <w:bidi w:val="0"/>
              <w:rPr>
                <w:rFonts w:hint="eastAsia"/>
                <w:b/>
                <w:bCs/>
                <w:color w:val="auto"/>
                <w:highlight w:val="none"/>
                <w:lang w:val="en-US" w:eastAsia="zh-CN"/>
              </w:rPr>
            </w:pPr>
            <w:r>
              <w:rPr>
                <w:rFonts w:hint="eastAsia"/>
                <w:b/>
                <w:bCs/>
                <w:color w:val="auto"/>
                <w:highlight w:val="none"/>
                <w:lang w:val="en-US" w:eastAsia="zh-CN"/>
              </w:rPr>
              <w:t>3.4信访事件</w:t>
            </w:r>
          </w:p>
          <w:p w14:paraId="046CF877">
            <w:pPr>
              <w:bidi w:val="0"/>
              <w:rPr>
                <w:rFonts w:hint="default"/>
                <w:color w:val="auto"/>
                <w:highlight w:val="none"/>
                <w:lang w:val="en-US" w:eastAsia="zh-CN"/>
              </w:rPr>
            </w:pPr>
            <w:r>
              <w:rPr>
                <w:rFonts w:hint="eastAsia"/>
                <w:color w:val="auto"/>
                <w:highlight w:val="none"/>
                <w:lang w:val="en-US" w:eastAsia="zh-CN"/>
              </w:rPr>
              <w:t xml:space="preserve">企业无信访事件发生。 </w:t>
            </w:r>
          </w:p>
          <w:p w14:paraId="2723CD2A">
            <w:pPr>
              <w:numPr>
                <w:ilvl w:val="0"/>
                <w:numId w:val="0"/>
              </w:numPr>
              <w:bidi w:val="0"/>
              <w:ind w:leftChars="0"/>
              <w:rPr>
                <w:rFonts w:hint="eastAsia"/>
                <w:b/>
                <w:bCs/>
                <w:color w:val="auto"/>
                <w:highlight w:val="none"/>
                <w:lang w:val="en-US" w:eastAsia="zh-CN"/>
              </w:rPr>
            </w:pPr>
            <w:r>
              <w:rPr>
                <w:rFonts w:hint="eastAsia"/>
                <w:b/>
                <w:bCs/>
                <w:color w:val="auto"/>
                <w:highlight w:val="none"/>
                <w:lang w:val="en-US" w:eastAsia="zh-CN"/>
              </w:rPr>
              <w:t>4、与该项目有关的主要环境问题</w:t>
            </w:r>
          </w:p>
          <w:p w14:paraId="47B29A33">
            <w:pPr>
              <w:rPr>
                <w:rFonts w:hint="default"/>
                <w:color w:val="auto"/>
                <w:highlight w:val="none"/>
                <w:lang w:val="en-US" w:eastAsia="zh-CN"/>
              </w:rPr>
            </w:pPr>
            <w:r>
              <w:rPr>
                <w:rFonts w:hint="default"/>
                <w:color w:val="auto"/>
                <w:highlight w:val="none"/>
              </w:rPr>
              <w:t>企业现有项目已通过验收，废水</w:t>
            </w:r>
            <w:r>
              <w:rPr>
                <w:rFonts w:hint="eastAsia"/>
                <w:color w:val="auto"/>
                <w:highlight w:val="none"/>
                <w:lang w:eastAsia="zh-CN"/>
              </w:rPr>
              <w:t>、</w:t>
            </w:r>
            <w:r>
              <w:rPr>
                <w:rFonts w:hint="eastAsia"/>
                <w:color w:val="auto"/>
                <w:highlight w:val="none"/>
                <w:lang w:val="en-US" w:eastAsia="zh-CN"/>
              </w:rPr>
              <w:t>噪声</w:t>
            </w:r>
            <w:r>
              <w:rPr>
                <w:rFonts w:hint="default"/>
                <w:color w:val="auto"/>
                <w:highlight w:val="none"/>
              </w:rPr>
              <w:t>可实现达标排放，固体废物去向合理，废水排放口和固废暂存处均</w:t>
            </w:r>
            <w:r>
              <w:rPr>
                <w:rFonts w:hint="eastAsia"/>
                <w:color w:val="auto"/>
                <w:highlight w:val="none"/>
                <w:lang w:val="en-US" w:eastAsia="zh-CN"/>
              </w:rPr>
              <w:t>已按照环保</w:t>
            </w:r>
            <w:r>
              <w:rPr>
                <w:rFonts w:hint="default"/>
                <w:color w:val="auto"/>
                <w:highlight w:val="none"/>
              </w:rPr>
              <w:t>相关要求进行了排污口规范化建设</w:t>
            </w:r>
            <w:r>
              <w:rPr>
                <w:rFonts w:hint="eastAsia"/>
                <w:color w:val="auto"/>
                <w:highlight w:val="none"/>
                <w:lang w:val="en-US" w:eastAsia="zh-CN"/>
              </w:rPr>
              <w:t>不存在与项目有关的原有环境问题。</w:t>
            </w:r>
          </w:p>
        </w:tc>
      </w:tr>
    </w:tbl>
    <w:p w14:paraId="5EAAE893">
      <w:pPr>
        <w:rPr>
          <w:rFonts w:hint="eastAsia" w:ascii="黑体" w:hAnsi="黑体" w:eastAsia="黑体" w:cs="Times New Roman"/>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EA1B6AC">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黑体" w:hAnsi="黑体" w:eastAsia="黑体" w:cs="Times New Roman"/>
          <w:snapToGrid w:val="0"/>
          <w:color w:val="auto"/>
          <w:sz w:val="30"/>
          <w:szCs w:val="30"/>
          <w:highlight w:val="none"/>
        </w:rPr>
      </w:pPr>
      <w:bookmarkStart w:id="4" w:name="_Toc31686"/>
      <w:r>
        <w:rPr>
          <w:rFonts w:hint="eastAsia" w:ascii="黑体" w:hAnsi="黑体" w:eastAsia="黑体" w:cs="Times New Roman"/>
          <w:snapToGrid w:val="0"/>
          <w:color w:val="auto"/>
          <w:sz w:val="30"/>
          <w:szCs w:val="30"/>
          <w:highlight w:val="none"/>
        </w:rPr>
        <w:t>三、区域环境质量现状、环境保护目标及评价标准</w:t>
      </w:r>
      <w:bookmarkEnd w:id="4"/>
    </w:p>
    <w:tbl>
      <w:tblPr>
        <w:tblStyle w:val="24"/>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4"/>
        <w:gridCol w:w="8500"/>
      </w:tblGrid>
      <w:tr w14:paraId="352A3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64" w:hRule="atLeast"/>
          <w:jc w:val="center"/>
        </w:trPr>
        <w:tc>
          <w:tcPr>
            <w:tcW w:w="854" w:type="dxa"/>
            <w:noWrap w:val="0"/>
            <w:vAlign w:val="center"/>
          </w:tcPr>
          <w:p w14:paraId="4A534F3D">
            <w:pPr>
              <w:pStyle w:val="31"/>
              <w:bidi w:val="0"/>
              <w:rPr>
                <w:rFonts w:hint="eastAsia"/>
                <w:color w:val="auto"/>
                <w:sz w:val="24"/>
                <w:szCs w:val="24"/>
                <w:highlight w:val="none"/>
              </w:rPr>
            </w:pPr>
            <w:r>
              <w:rPr>
                <w:rFonts w:hint="eastAsia"/>
                <w:color w:val="auto"/>
                <w:sz w:val="24"/>
                <w:szCs w:val="24"/>
                <w:highlight w:val="none"/>
              </w:rPr>
              <w:t>区域</w:t>
            </w:r>
          </w:p>
          <w:p w14:paraId="44D6DB0F">
            <w:pPr>
              <w:pStyle w:val="31"/>
              <w:bidi w:val="0"/>
              <w:rPr>
                <w:rFonts w:hint="eastAsia"/>
                <w:color w:val="auto"/>
                <w:sz w:val="24"/>
                <w:szCs w:val="24"/>
                <w:highlight w:val="none"/>
              </w:rPr>
            </w:pPr>
            <w:r>
              <w:rPr>
                <w:rFonts w:hint="eastAsia"/>
                <w:color w:val="auto"/>
                <w:sz w:val="24"/>
                <w:szCs w:val="24"/>
                <w:highlight w:val="none"/>
              </w:rPr>
              <w:t>环境</w:t>
            </w:r>
          </w:p>
          <w:p w14:paraId="122A5B0F">
            <w:pPr>
              <w:pStyle w:val="31"/>
              <w:bidi w:val="0"/>
              <w:rPr>
                <w:rFonts w:hint="eastAsia"/>
                <w:color w:val="auto"/>
                <w:sz w:val="24"/>
                <w:szCs w:val="24"/>
                <w:highlight w:val="none"/>
              </w:rPr>
            </w:pPr>
            <w:r>
              <w:rPr>
                <w:rFonts w:hint="eastAsia"/>
                <w:color w:val="auto"/>
                <w:sz w:val="24"/>
                <w:szCs w:val="24"/>
                <w:highlight w:val="none"/>
              </w:rPr>
              <w:t>质量</w:t>
            </w:r>
          </w:p>
          <w:p w14:paraId="709C7844">
            <w:pPr>
              <w:pStyle w:val="31"/>
              <w:bidi w:val="0"/>
              <w:rPr>
                <w:color w:val="auto"/>
                <w:sz w:val="24"/>
                <w:szCs w:val="24"/>
                <w:highlight w:val="none"/>
              </w:rPr>
            </w:pPr>
            <w:r>
              <w:rPr>
                <w:rFonts w:hint="eastAsia"/>
                <w:color w:val="auto"/>
                <w:sz w:val="24"/>
                <w:szCs w:val="24"/>
                <w:highlight w:val="none"/>
              </w:rPr>
              <w:t>现状</w:t>
            </w:r>
          </w:p>
        </w:tc>
        <w:tc>
          <w:tcPr>
            <w:tcW w:w="8500" w:type="dxa"/>
            <w:noWrap w:val="0"/>
            <w:vAlign w:val="center"/>
          </w:tcPr>
          <w:p w14:paraId="2A829080">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b/>
                <w:bCs/>
                <w:color w:val="auto"/>
                <w:highlight w:val="none"/>
              </w:rPr>
            </w:pPr>
            <w:r>
              <w:rPr>
                <w:rFonts w:hint="default"/>
                <w:b/>
                <w:bCs/>
                <w:color w:val="auto"/>
                <w:highlight w:val="none"/>
              </w:rPr>
              <w:t>1</w:t>
            </w:r>
            <w:r>
              <w:rPr>
                <w:rFonts w:hint="eastAsia"/>
                <w:b/>
                <w:bCs/>
                <w:color w:val="auto"/>
                <w:highlight w:val="none"/>
                <w:lang w:eastAsia="zh-CN"/>
              </w:rPr>
              <w:t>、</w:t>
            </w:r>
            <w:r>
              <w:rPr>
                <w:rFonts w:hint="default"/>
                <w:b/>
                <w:bCs/>
                <w:color w:val="auto"/>
                <w:highlight w:val="none"/>
              </w:rPr>
              <w:t>环境空气</w:t>
            </w:r>
          </w:p>
          <w:p w14:paraId="741EC3E6">
            <w:pPr>
              <w:bidi w:val="0"/>
              <w:rPr>
                <w:rFonts w:hint="default"/>
                <w:color w:val="auto"/>
                <w:highlight w:val="none"/>
              </w:rPr>
            </w:pPr>
            <w:r>
              <w:rPr>
                <w:rFonts w:hint="eastAsia"/>
                <w:color w:val="auto"/>
                <w:highlight w:val="none"/>
              </w:rPr>
              <w:t>（1）</w:t>
            </w:r>
            <w:r>
              <w:rPr>
                <w:rFonts w:hint="default"/>
                <w:color w:val="auto"/>
                <w:highlight w:val="none"/>
              </w:rPr>
              <w:t>项目所在区域环境质量达标情况</w:t>
            </w:r>
          </w:p>
          <w:p w14:paraId="273DD972">
            <w:pPr>
              <w:bidi w:val="0"/>
              <w:rPr>
                <w:rFonts w:hint="default"/>
                <w:color w:val="auto"/>
                <w:highlight w:val="none"/>
              </w:rPr>
            </w:pPr>
            <w:r>
              <w:rPr>
                <w:rFonts w:hint="default"/>
                <w:color w:val="auto"/>
                <w:highlight w:val="none"/>
              </w:rPr>
              <w:t>项目所在区域环境空气质量现状数据采用唐山市生态环境局公开发布的</w:t>
            </w:r>
            <w:r>
              <w:rPr>
                <w:rFonts w:hint="default"/>
                <w:color w:val="auto"/>
                <w:highlight w:val="none"/>
                <w:lang w:val="zh-CN"/>
              </w:rPr>
              <w:t>《20</w:t>
            </w:r>
            <w:r>
              <w:rPr>
                <w:rFonts w:hint="eastAsia"/>
                <w:color w:val="auto"/>
                <w:highlight w:val="none"/>
                <w:lang w:val="en-US" w:eastAsia="zh-CN"/>
              </w:rPr>
              <w:t>22</w:t>
            </w:r>
            <w:r>
              <w:rPr>
                <w:rFonts w:hint="default"/>
                <w:color w:val="auto"/>
                <w:highlight w:val="none"/>
                <w:lang w:val="zh-CN"/>
              </w:rPr>
              <w:t>年唐山市</w:t>
            </w:r>
            <w:r>
              <w:rPr>
                <w:rFonts w:hint="eastAsia"/>
                <w:color w:val="auto"/>
                <w:highlight w:val="none"/>
                <w:lang w:val="en-US" w:eastAsia="zh-CN"/>
              </w:rPr>
              <w:t>生态</w:t>
            </w:r>
            <w:r>
              <w:rPr>
                <w:rFonts w:hint="default"/>
                <w:color w:val="auto"/>
                <w:highlight w:val="none"/>
                <w:lang w:val="zh-CN"/>
              </w:rPr>
              <w:t>环境状况公报》中唐山市空气质量数据，</w:t>
            </w:r>
            <w:r>
              <w:rPr>
                <w:rFonts w:hint="default"/>
                <w:color w:val="auto"/>
                <w:highlight w:val="none"/>
              </w:rPr>
              <w:t>具体情况见下表。</w:t>
            </w:r>
          </w:p>
          <w:p w14:paraId="62F7FFAF">
            <w:pPr>
              <w:pStyle w:val="33"/>
              <w:bidi w:val="0"/>
              <w:rPr>
                <w:rFonts w:hint="default"/>
                <w:color w:val="auto"/>
                <w:highlight w:val="none"/>
              </w:rPr>
            </w:pPr>
            <w:r>
              <w:rPr>
                <w:rFonts w:hint="default"/>
                <w:color w:val="auto"/>
                <w:sz w:val="21"/>
                <w:szCs w:val="21"/>
                <w:highlight w:val="none"/>
              </w:rPr>
              <w:t>表</w:t>
            </w:r>
            <w:r>
              <w:rPr>
                <w:rFonts w:hint="eastAsia"/>
                <w:color w:val="auto"/>
                <w:sz w:val="21"/>
                <w:szCs w:val="21"/>
                <w:highlight w:val="none"/>
                <w:lang w:val="en-US" w:eastAsia="zh-CN"/>
              </w:rPr>
              <w:t xml:space="preserve">28  </w:t>
            </w:r>
            <w:r>
              <w:rPr>
                <w:rFonts w:hint="default"/>
                <w:color w:val="auto"/>
                <w:sz w:val="21"/>
                <w:szCs w:val="21"/>
                <w:highlight w:val="none"/>
              </w:rPr>
              <w:t>20</w:t>
            </w:r>
            <w:r>
              <w:rPr>
                <w:rFonts w:hint="eastAsia"/>
                <w:color w:val="auto"/>
                <w:sz w:val="21"/>
                <w:szCs w:val="21"/>
                <w:highlight w:val="none"/>
                <w:lang w:val="en-US" w:eastAsia="zh-CN"/>
              </w:rPr>
              <w:t>22</w:t>
            </w:r>
            <w:r>
              <w:rPr>
                <w:rFonts w:hint="default"/>
                <w:color w:val="auto"/>
                <w:sz w:val="21"/>
                <w:szCs w:val="21"/>
                <w:highlight w:val="none"/>
              </w:rPr>
              <w:t>年区域环境质量现状评价表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3"/>
              <w:gridCol w:w="1860"/>
              <w:gridCol w:w="1668"/>
              <w:gridCol w:w="1539"/>
              <w:gridCol w:w="1230"/>
              <w:gridCol w:w="1157"/>
            </w:tblGrid>
            <w:tr w14:paraId="79AF1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2" w:type="dxa"/>
                  <w:tcBorders>
                    <w:tl2br w:val="nil"/>
                    <w:tr2bl w:val="nil"/>
                  </w:tcBorders>
                  <w:noWrap w:val="0"/>
                  <w:vAlign w:val="center"/>
                </w:tcPr>
                <w:p w14:paraId="5BEB99F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14:paraId="271FCF7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14:paraId="7AD3B2D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14:paraId="0EBF41C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14:paraId="4161783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14:paraId="1FC08C6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达标情况</w:t>
                  </w:r>
                </w:p>
              </w:tc>
            </w:tr>
            <w:tr w14:paraId="7C63C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802" w:type="dxa"/>
                  <w:tcBorders>
                    <w:tl2br w:val="nil"/>
                    <w:tr2bl w:val="nil"/>
                  </w:tcBorders>
                  <w:noWrap w:val="0"/>
                  <w:vAlign w:val="center"/>
                </w:tcPr>
                <w:p w14:paraId="7E2C93C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1813" w:type="dxa"/>
                  <w:tcBorders>
                    <w:tl2br w:val="nil"/>
                    <w:tr2bl w:val="nil"/>
                  </w:tcBorders>
                  <w:noWrap w:val="0"/>
                  <w:vAlign w:val="center"/>
                </w:tcPr>
                <w:p w14:paraId="08F5A80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30E7553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w:t>
                  </w:r>
                </w:p>
              </w:tc>
              <w:tc>
                <w:tcPr>
                  <w:tcW w:w="1500" w:type="dxa"/>
                  <w:tcBorders>
                    <w:tl2br w:val="nil"/>
                    <w:tr2bl w:val="nil"/>
                  </w:tcBorders>
                  <w:noWrap w:val="0"/>
                  <w:vAlign w:val="center"/>
                </w:tcPr>
                <w:p w14:paraId="3685872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60</w:t>
                  </w:r>
                </w:p>
              </w:tc>
              <w:tc>
                <w:tcPr>
                  <w:tcW w:w="1199" w:type="dxa"/>
                  <w:tcBorders>
                    <w:tl2br w:val="nil"/>
                    <w:tr2bl w:val="nil"/>
                  </w:tcBorders>
                  <w:noWrap w:val="0"/>
                  <w:vAlign w:val="center"/>
                </w:tcPr>
                <w:p w14:paraId="4477379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13.3</w:t>
                  </w:r>
                </w:p>
              </w:tc>
              <w:tc>
                <w:tcPr>
                  <w:tcW w:w="1127" w:type="dxa"/>
                  <w:tcBorders>
                    <w:tl2br w:val="nil"/>
                    <w:tr2bl w:val="nil"/>
                  </w:tcBorders>
                  <w:noWrap w:val="0"/>
                  <w:vAlign w:val="center"/>
                </w:tcPr>
                <w:p w14:paraId="56EDA7D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14:paraId="78BFF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802" w:type="dxa"/>
                  <w:tcBorders>
                    <w:tl2br w:val="nil"/>
                    <w:tr2bl w:val="nil"/>
                  </w:tcBorders>
                  <w:noWrap w:val="0"/>
                  <w:vAlign w:val="center"/>
                </w:tcPr>
                <w:p w14:paraId="676ADA6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2</w:t>
                  </w:r>
                </w:p>
              </w:tc>
              <w:tc>
                <w:tcPr>
                  <w:tcW w:w="1813" w:type="dxa"/>
                  <w:tcBorders>
                    <w:tl2br w:val="nil"/>
                    <w:tr2bl w:val="nil"/>
                  </w:tcBorders>
                  <w:noWrap w:val="0"/>
                  <w:vAlign w:val="center"/>
                </w:tcPr>
                <w:p w14:paraId="7138166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447E80AA">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32</w:t>
                  </w:r>
                </w:p>
              </w:tc>
              <w:tc>
                <w:tcPr>
                  <w:tcW w:w="1500" w:type="dxa"/>
                  <w:tcBorders>
                    <w:tl2br w:val="nil"/>
                    <w:tr2bl w:val="nil"/>
                  </w:tcBorders>
                  <w:noWrap w:val="0"/>
                  <w:vAlign w:val="center"/>
                </w:tcPr>
                <w:p w14:paraId="04043D2F">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40</w:t>
                  </w:r>
                </w:p>
              </w:tc>
              <w:tc>
                <w:tcPr>
                  <w:tcW w:w="1199" w:type="dxa"/>
                  <w:tcBorders>
                    <w:tl2br w:val="nil"/>
                    <w:tr2bl w:val="nil"/>
                  </w:tcBorders>
                  <w:noWrap w:val="0"/>
                  <w:vAlign w:val="center"/>
                </w:tcPr>
                <w:p w14:paraId="1B25E7F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c>
                <w:tcPr>
                  <w:tcW w:w="1127" w:type="dxa"/>
                  <w:tcBorders>
                    <w:tl2br w:val="nil"/>
                    <w:tr2bl w:val="nil"/>
                  </w:tcBorders>
                  <w:noWrap w:val="0"/>
                  <w:vAlign w:val="center"/>
                </w:tcPr>
                <w:p w14:paraId="7BB3FBF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14:paraId="486DF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802" w:type="dxa"/>
                  <w:tcBorders>
                    <w:tl2br w:val="nil"/>
                    <w:tr2bl w:val="nil"/>
                  </w:tcBorders>
                  <w:noWrap w:val="0"/>
                  <w:vAlign w:val="center"/>
                </w:tcPr>
                <w:p w14:paraId="0A689C1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1813" w:type="dxa"/>
                  <w:tcBorders>
                    <w:tl2br w:val="nil"/>
                    <w:tr2bl w:val="nil"/>
                  </w:tcBorders>
                  <w:noWrap w:val="0"/>
                  <w:vAlign w:val="center"/>
                </w:tcPr>
                <w:p w14:paraId="75B3BCE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1A0985C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67</w:t>
                  </w:r>
                </w:p>
              </w:tc>
              <w:tc>
                <w:tcPr>
                  <w:tcW w:w="1500" w:type="dxa"/>
                  <w:tcBorders>
                    <w:tl2br w:val="nil"/>
                    <w:tr2bl w:val="nil"/>
                  </w:tcBorders>
                  <w:noWrap w:val="0"/>
                  <w:vAlign w:val="center"/>
                </w:tcPr>
                <w:p w14:paraId="0C2F687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70</w:t>
                  </w:r>
                </w:p>
              </w:tc>
              <w:tc>
                <w:tcPr>
                  <w:tcW w:w="1199" w:type="dxa"/>
                  <w:tcBorders>
                    <w:tl2br w:val="nil"/>
                    <w:tr2bl w:val="nil"/>
                  </w:tcBorders>
                  <w:noWrap w:val="0"/>
                  <w:vAlign w:val="center"/>
                </w:tcPr>
                <w:p w14:paraId="0E9DD86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95.7</w:t>
                  </w:r>
                </w:p>
              </w:tc>
              <w:tc>
                <w:tcPr>
                  <w:tcW w:w="1127" w:type="dxa"/>
                  <w:tcBorders>
                    <w:tl2br w:val="nil"/>
                    <w:tr2bl w:val="nil"/>
                  </w:tcBorders>
                  <w:noWrap w:val="0"/>
                  <w:vAlign w:val="center"/>
                </w:tcPr>
                <w:p w14:paraId="42117AF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14:paraId="69259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802" w:type="dxa"/>
                  <w:tcBorders>
                    <w:tl2br w:val="nil"/>
                    <w:tr2bl w:val="nil"/>
                  </w:tcBorders>
                  <w:noWrap w:val="0"/>
                  <w:vAlign w:val="center"/>
                </w:tcPr>
                <w:p w14:paraId="63EE9E6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1813" w:type="dxa"/>
                  <w:tcBorders>
                    <w:tl2br w:val="nil"/>
                    <w:tr2bl w:val="nil"/>
                  </w:tcBorders>
                  <w:noWrap w:val="0"/>
                  <w:vAlign w:val="center"/>
                </w:tcPr>
                <w:p w14:paraId="0A4EC94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08602EB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37</w:t>
                  </w:r>
                </w:p>
              </w:tc>
              <w:tc>
                <w:tcPr>
                  <w:tcW w:w="1500" w:type="dxa"/>
                  <w:tcBorders>
                    <w:tl2br w:val="nil"/>
                    <w:tr2bl w:val="nil"/>
                  </w:tcBorders>
                  <w:noWrap w:val="0"/>
                  <w:vAlign w:val="center"/>
                </w:tcPr>
                <w:p w14:paraId="439B40E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35</w:t>
                  </w:r>
                </w:p>
              </w:tc>
              <w:tc>
                <w:tcPr>
                  <w:tcW w:w="1199" w:type="dxa"/>
                  <w:tcBorders>
                    <w:tl2br w:val="nil"/>
                    <w:tr2bl w:val="nil"/>
                  </w:tcBorders>
                  <w:noWrap w:val="0"/>
                  <w:vAlign w:val="center"/>
                </w:tcPr>
                <w:p w14:paraId="3AF0D55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105.7</w:t>
                  </w:r>
                </w:p>
              </w:tc>
              <w:tc>
                <w:tcPr>
                  <w:tcW w:w="1127" w:type="dxa"/>
                  <w:tcBorders>
                    <w:tl2br w:val="nil"/>
                    <w:tr2bl w:val="nil"/>
                  </w:tcBorders>
                  <w:noWrap w:val="0"/>
                  <w:vAlign w:val="center"/>
                </w:tcPr>
                <w:p w14:paraId="17FC176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超标</w:t>
                  </w:r>
                </w:p>
              </w:tc>
            </w:tr>
            <w:tr w14:paraId="2A2A0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802" w:type="dxa"/>
                  <w:tcBorders>
                    <w:tl2br w:val="nil"/>
                    <w:tr2bl w:val="nil"/>
                  </w:tcBorders>
                  <w:noWrap w:val="0"/>
                  <w:vAlign w:val="center"/>
                </w:tcPr>
                <w:p w14:paraId="3879846E">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CO</w:t>
                  </w:r>
                </w:p>
              </w:tc>
              <w:tc>
                <w:tcPr>
                  <w:tcW w:w="1813" w:type="dxa"/>
                  <w:tcBorders>
                    <w:tl2br w:val="nil"/>
                    <w:tr2bl w:val="nil"/>
                  </w:tcBorders>
                  <w:noWrap w:val="0"/>
                  <w:vAlign w:val="center"/>
                </w:tcPr>
                <w:p w14:paraId="03BE875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日均值第95百分位浓度</w:t>
                  </w:r>
                </w:p>
              </w:tc>
              <w:tc>
                <w:tcPr>
                  <w:tcW w:w="1625" w:type="dxa"/>
                  <w:tcBorders>
                    <w:tl2br w:val="nil"/>
                    <w:tr2bl w:val="nil"/>
                  </w:tcBorders>
                  <w:noWrap w:val="0"/>
                  <w:vAlign w:val="center"/>
                </w:tcPr>
                <w:p w14:paraId="28532A5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1500</w:t>
                  </w:r>
                </w:p>
              </w:tc>
              <w:tc>
                <w:tcPr>
                  <w:tcW w:w="1500" w:type="dxa"/>
                  <w:tcBorders>
                    <w:tl2br w:val="nil"/>
                    <w:tr2bl w:val="nil"/>
                  </w:tcBorders>
                  <w:noWrap w:val="0"/>
                  <w:vAlign w:val="center"/>
                </w:tcPr>
                <w:p w14:paraId="0BC9D2A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4000</w:t>
                  </w:r>
                </w:p>
              </w:tc>
              <w:tc>
                <w:tcPr>
                  <w:tcW w:w="1199" w:type="dxa"/>
                  <w:tcBorders>
                    <w:tl2br w:val="nil"/>
                    <w:tr2bl w:val="nil"/>
                  </w:tcBorders>
                  <w:noWrap w:val="0"/>
                  <w:vAlign w:val="center"/>
                </w:tcPr>
                <w:p w14:paraId="2136BB8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37.5</w:t>
                  </w:r>
                </w:p>
              </w:tc>
              <w:tc>
                <w:tcPr>
                  <w:tcW w:w="1127" w:type="dxa"/>
                  <w:tcBorders>
                    <w:tl2br w:val="nil"/>
                    <w:tr2bl w:val="nil"/>
                  </w:tcBorders>
                  <w:noWrap w:val="0"/>
                  <w:vAlign w:val="center"/>
                </w:tcPr>
                <w:p w14:paraId="0F4EA4E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14:paraId="74051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802" w:type="dxa"/>
                  <w:tcBorders>
                    <w:tl2br w:val="nil"/>
                    <w:tr2bl w:val="nil"/>
                  </w:tcBorders>
                  <w:noWrap w:val="0"/>
                  <w:vAlign w:val="center"/>
                </w:tcPr>
                <w:p w14:paraId="239C8E0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O</w:t>
                  </w:r>
                  <w:r>
                    <w:rPr>
                      <w:rFonts w:hint="default"/>
                      <w:color w:val="auto"/>
                      <w:sz w:val="21"/>
                      <w:szCs w:val="21"/>
                      <w:highlight w:val="none"/>
                      <w:vertAlign w:val="subscript"/>
                    </w:rPr>
                    <w:t>3</w:t>
                  </w:r>
                </w:p>
              </w:tc>
              <w:tc>
                <w:tcPr>
                  <w:tcW w:w="1813" w:type="dxa"/>
                  <w:tcBorders>
                    <w:tl2br w:val="nil"/>
                    <w:tr2bl w:val="nil"/>
                  </w:tcBorders>
                  <w:noWrap w:val="0"/>
                  <w:vAlign w:val="center"/>
                </w:tcPr>
                <w:p w14:paraId="7C35185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日最大8h平均第90百分位浓度</w:t>
                  </w:r>
                </w:p>
              </w:tc>
              <w:tc>
                <w:tcPr>
                  <w:tcW w:w="1625" w:type="dxa"/>
                  <w:tcBorders>
                    <w:tl2br w:val="nil"/>
                    <w:tr2bl w:val="nil"/>
                  </w:tcBorders>
                  <w:noWrap w:val="0"/>
                  <w:vAlign w:val="center"/>
                </w:tcPr>
                <w:p w14:paraId="4B7A9BD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182</w:t>
                  </w:r>
                </w:p>
              </w:tc>
              <w:tc>
                <w:tcPr>
                  <w:tcW w:w="1500" w:type="dxa"/>
                  <w:tcBorders>
                    <w:tl2br w:val="nil"/>
                    <w:tr2bl w:val="nil"/>
                  </w:tcBorders>
                  <w:noWrap w:val="0"/>
                  <w:vAlign w:val="center"/>
                </w:tcPr>
                <w:p w14:paraId="39FBBB1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160</w:t>
                  </w:r>
                </w:p>
              </w:tc>
              <w:tc>
                <w:tcPr>
                  <w:tcW w:w="1199" w:type="dxa"/>
                  <w:tcBorders>
                    <w:tl2br w:val="nil"/>
                    <w:tr2bl w:val="nil"/>
                  </w:tcBorders>
                  <w:noWrap w:val="0"/>
                  <w:vAlign w:val="center"/>
                </w:tcPr>
                <w:p w14:paraId="3A29188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113.8</w:t>
                  </w:r>
                </w:p>
              </w:tc>
              <w:tc>
                <w:tcPr>
                  <w:tcW w:w="1127" w:type="dxa"/>
                  <w:tcBorders>
                    <w:tl2br w:val="nil"/>
                    <w:tr2bl w:val="nil"/>
                  </w:tcBorders>
                  <w:noWrap w:val="0"/>
                  <w:vAlign w:val="center"/>
                </w:tcPr>
                <w:p w14:paraId="7F05EE56">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超标</w:t>
                  </w:r>
                </w:p>
              </w:tc>
            </w:tr>
          </w:tbl>
          <w:p w14:paraId="546FA62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eastAsia="宋体" w:cs="Times New Roman"/>
                <w:color w:val="auto"/>
                <w:kern w:val="2"/>
                <w:sz w:val="24"/>
                <w:szCs w:val="21"/>
                <w:highlight w:val="none"/>
                <w:shd w:val="clear" w:color="auto" w:fill="auto"/>
                <w:lang w:val="en-US" w:eastAsia="zh-CN" w:bidi="ar"/>
              </w:rPr>
            </w:pPr>
            <w:r>
              <w:rPr>
                <w:rFonts w:hint="default" w:ascii="Times New Roman" w:hAnsi="Times New Roman" w:eastAsia="宋体" w:cs="Times New Roman"/>
                <w:color w:val="auto"/>
                <w:kern w:val="2"/>
                <w:sz w:val="24"/>
                <w:szCs w:val="21"/>
                <w:highlight w:val="none"/>
                <w:shd w:val="clear" w:color="auto" w:fill="auto"/>
                <w:lang w:val="en-US" w:eastAsia="zh-CN" w:bidi="ar"/>
              </w:rPr>
              <w:t>由上表可知，SO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olor w:val="auto"/>
                <w:sz w:val="24"/>
                <w:szCs w:val="24"/>
                <w:highlight w:val="none"/>
                <w:vertAlign w:val="baseline"/>
                <w:lang w:eastAsia="zh-CN"/>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eastAsia"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的年平均质量浓度达标，CO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2"/>
                <w:sz w:val="24"/>
                <w:szCs w:val="21"/>
                <w:highlight w:val="none"/>
                <w:shd w:val="clear" w:color="auto" w:fill="auto"/>
                <w:lang w:val="en-US" w:eastAsia="zh-CN" w:bidi="ar"/>
              </w:rPr>
              <w:t>达标，PM</w:t>
            </w:r>
            <w:r>
              <w:rPr>
                <w:rFonts w:hint="eastAsia"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的年平均质量浓度不达标，O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的日最大8h平均第90百分位浓度不达标，故项目所在区域环境空气质量不达标，属于不达标区。</w:t>
            </w:r>
          </w:p>
          <w:p w14:paraId="36EBFB6E">
            <w:pPr>
              <w:bidi w:val="0"/>
              <w:rPr>
                <w:rFonts w:hint="default"/>
                <w:color w:val="auto"/>
                <w:highlight w:val="none"/>
              </w:rPr>
            </w:pPr>
            <w:r>
              <w:rPr>
                <w:rFonts w:hint="default"/>
                <w:color w:val="auto"/>
                <w:highlight w:val="none"/>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ascii="Times New Roman" w:hAnsi="Times New Roman" w:eastAsia="宋体" w:cs="Times New Roman"/>
                <w:color w:val="auto"/>
                <w:sz w:val="24"/>
                <w:szCs w:val="24"/>
                <w:highlight w:val="none"/>
              </w:rPr>
              <w:t>根据</w:t>
            </w:r>
            <w:r>
              <w:rPr>
                <w:rFonts w:hint="eastAsia" w:cs="Times New Roman"/>
                <w:color w:val="auto"/>
                <w:sz w:val="24"/>
                <w:szCs w:val="24"/>
                <w:highlight w:val="none"/>
                <w:lang w:eastAsia="zh-CN"/>
              </w:rPr>
              <w:t>《京津冀及周边地区、汾渭平原2020—2021年秋冬季大气污染综合治理攻坚行动方案》、《唐山市2023年第一季度大气污染综合治理工作方案》</w:t>
            </w:r>
            <w:r>
              <w:rPr>
                <w:rFonts w:hint="default" w:ascii="Times New Roman" w:hAnsi="Times New Roman" w:eastAsia="宋体" w:cs="Times New Roman"/>
                <w:color w:val="auto"/>
                <w:sz w:val="24"/>
                <w:szCs w:val="24"/>
                <w:highlight w:val="none"/>
                <w:lang w:val="en-US" w:eastAsia="zh-CN"/>
              </w:rPr>
              <w:t>可知，按照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分级、分类、分区域、分气象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原则，实施精准治理、精细管控，做到问题、时间、区位、对象和措施</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五个精准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，推动大气环境质量持续有效改善，项目所在区域空气质量将会逐步得到改善。</w:t>
            </w:r>
          </w:p>
          <w:p w14:paraId="182B86E5">
            <w:pPr>
              <w:bidi w:val="0"/>
              <w:rPr>
                <w:rFonts w:hint="default"/>
                <w:color w:val="auto"/>
                <w:highlight w:val="none"/>
              </w:rPr>
            </w:pPr>
            <w:r>
              <w:rPr>
                <w:rFonts w:hint="eastAsia"/>
                <w:color w:val="auto"/>
                <w:highlight w:val="none"/>
              </w:rPr>
              <w:t>（2）</w:t>
            </w:r>
            <w:r>
              <w:rPr>
                <w:rFonts w:hint="default"/>
                <w:color w:val="auto"/>
                <w:highlight w:val="none"/>
              </w:rPr>
              <w:t>项目所在区域污染物环境质量现状</w:t>
            </w:r>
          </w:p>
          <w:p w14:paraId="44BECC37">
            <w:pPr>
              <w:bidi w:val="0"/>
              <w:rPr>
                <w:rFonts w:hint="default"/>
                <w:color w:val="auto"/>
                <w:highlight w:val="none"/>
              </w:rPr>
            </w:pPr>
            <w:r>
              <w:rPr>
                <w:rFonts w:hint="eastAsia"/>
                <w:color w:val="auto"/>
                <w:highlight w:val="none"/>
              </w:rPr>
              <w:t>①</w:t>
            </w:r>
            <w:r>
              <w:rPr>
                <w:rFonts w:hint="default"/>
                <w:color w:val="auto"/>
                <w:highlight w:val="none"/>
              </w:rPr>
              <w:t>基本污染物环境质量现状评价</w:t>
            </w:r>
          </w:p>
          <w:p w14:paraId="14FA4CE5">
            <w:pPr>
              <w:bidi w:val="0"/>
              <w:rPr>
                <w:rFonts w:hint="eastAsia"/>
                <w:color w:val="auto"/>
                <w:szCs w:val="24"/>
                <w:highlight w:val="none"/>
                <w:lang w:val="en-US" w:eastAsia="zh-CN"/>
              </w:rPr>
            </w:pPr>
            <w:r>
              <w:rPr>
                <w:rFonts w:hint="eastAsia" w:ascii="Times New Roman" w:hAnsi="Times New Roman" w:eastAsia="宋体" w:cs="Times New Roman"/>
                <w:color w:val="auto"/>
                <w:sz w:val="24"/>
                <w:szCs w:val="21"/>
                <w:highlight w:val="none"/>
                <w:shd w:val="clear" w:color="auto" w:fill="auto"/>
                <w:lang w:val="en-US" w:eastAsia="zh-CN"/>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因此，本评价在分析区域大气环境质量现状时，对于常规因子</w:t>
            </w:r>
            <w:r>
              <w:rPr>
                <w:rFonts w:hint="eastAsia" w:ascii="Times New Roman" w:hAnsi="Times New Roman" w:cs="Times New Roman"/>
                <w:color w:val="auto"/>
                <w:sz w:val="24"/>
                <w:szCs w:val="21"/>
                <w:highlight w:val="none"/>
                <w:shd w:val="clear" w:color="auto" w:fill="auto"/>
                <w:lang w:val="en-US" w:eastAsia="zh-CN"/>
              </w:rPr>
              <w:t>，引用</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202</w:t>
            </w:r>
            <w:r>
              <w:rPr>
                <w:rFonts w:hint="eastAsia"/>
                <w:color w:val="auto"/>
                <w:szCs w:val="24"/>
                <w:highlight w:val="none"/>
                <w:lang w:val="en-US" w:eastAsia="zh-CN"/>
              </w:rPr>
              <w:t>2</w:t>
            </w:r>
            <w:r>
              <w:rPr>
                <w:rFonts w:hint="eastAsia" w:ascii="Times New Roman" w:hAnsi="Times New Roman"/>
                <w:color w:val="auto"/>
                <w:szCs w:val="24"/>
                <w:highlight w:val="none"/>
                <w:lang w:val="en-US" w:eastAsia="zh-CN"/>
              </w:rPr>
              <w:t>年唐山市生态环境状况公报</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中</w:t>
            </w:r>
            <w:r>
              <w:rPr>
                <w:rFonts w:hint="eastAsia"/>
                <w:color w:val="auto"/>
                <w:szCs w:val="24"/>
                <w:highlight w:val="none"/>
                <w:lang w:val="en-US" w:eastAsia="zh-CN"/>
              </w:rPr>
              <w:t>高新技术开发区</w:t>
            </w:r>
            <w:r>
              <w:rPr>
                <w:rFonts w:hint="eastAsia" w:ascii="Times New Roman" w:hAnsi="Times New Roman"/>
                <w:color w:val="auto"/>
                <w:szCs w:val="24"/>
                <w:highlight w:val="none"/>
                <w:lang w:val="en-US" w:eastAsia="zh-CN"/>
              </w:rPr>
              <w:t>环境空气质量数据，环境空气质量数据</w:t>
            </w:r>
            <w:r>
              <w:rPr>
                <w:rFonts w:hint="eastAsia"/>
                <w:color w:val="auto"/>
                <w:szCs w:val="24"/>
                <w:highlight w:val="none"/>
                <w:lang w:val="en-US" w:eastAsia="zh-CN"/>
              </w:rPr>
              <w:t>见下表。</w:t>
            </w:r>
          </w:p>
          <w:p w14:paraId="1909D850">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29</w:t>
            </w:r>
            <w:r>
              <w:rPr>
                <w:rFonts w:hint="default" w:ascii="Times New Roman" w:hAnsi="Times New Roman" w:eastAsia="宋体" w:cs="Times New Roman"/>
                <w:b/>
                <w:bCs/>
                <w:color w:val="auto"/>
                <w:sz w:val="21"/>
                <w:szCs w:val="21"/>
                <w:highlight w:val="none"/>
              </w:rPr>
              <w:t xml:space="preserve">  202</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年</w:t>
            </w:r>
            <w:r>
              <w:rPr>
                <w:rFonts w:hint="eastAsia" w:cs="Times New Roman"/>
                <w:b/>
                <w:bCs/>
                <w:color w:val="auto"/>
                <w:sz w:val="21"/>
                <w:szCs w:val="21"/>
                <w:highlight w:val="none"/>
                <w:lang w:val="en-US" w:eastAsia="zh-CN"/>
              </w:rPr>
              <w:t>高新技术开发区</w:t>
            </w:r>
            <w:r>
              <w:rPr>
                <w:rFonts w:hint="default" w:ascii="Times New Roman" w:hAnsi="Times New Roman" w:eastAsia="宋体" w:cs="Times New Roman"/>
                <w:b/>
                <w:bCs/>
                <w:color w:val="auto"/>
                <w:sz w:val="21"/>
                <w:szCs w:val="21"/>
                <w:highlight w:val="none"/>
              </w:rPr>
              <w:t>环境空气质量浓度值情况</w:t>
            </w:r>
            <w:r>
              <w:rPr>
                <w:rFonts w:hint="eastAsia" w:ascii="Times New Roman" w:hAnsi="Times New Roman" w:eastAsia="宋体" w:cs="Times New Roman"/>
                <w:b/>
                <w:bCs/>
                <w:color w:val="auto"/>
                <w:sz w:val="21"/>
                <w:szCs w:val="21"/>
                <w:highlight w:val="none"/>
                <w:lang w:val="en-US" w:eastAsia="zh-CN"/>
              </w:rPr>
              <w:t>一览</w:t>
            </w:r>
            <w:r>
              <w:rPr>
                <w:rFonts w:hint="default" w:ascii="Times New Roman" w:hAnsi="Times New Roman" w:eastAsia="宋体" w:cs="Times New Roman"/>
                <w:b/>
                <w:bCs/>
                <w:color w:val="auto"/>
                <w:sz w:val="21"/>
                <w:szCs w:val="21"/>
                <w:highlight w:val="none"/>
              </w:rPr>
              <w:t>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3"/>
              <w:gridCol w:w="1860"/>
              <w:gridCol w:w="1668"/>
              <w:gridCol w:w="1539"/>
              <w:gridCol w:w="1230"/>
              <w:gridCol w:w="1157"/>
            </w:tblGrid>
            <w:tr w14:paraId="2B066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2" w:type="dxa"/>
                  <w:tcBorders>
                    <w:tl2br w:val="nil"/>
                    <w:tr2bl w:val="nil"/>
                  </w:tcBorders>
                  <w:noWrap w:val="0"/>
                  <w:vAlign w:val="center"/>
                </w:tcPr>
                <w:p w14:paraId="67B89C8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14:paraId="7F7C510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14:paraId="6A185A0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14:paraId="2B17E7D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14:paraId="648B0AF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14:paraId="2454BB9F">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达标情况</w:t>
                  </w:r>
                </w:p>
              </w:tc>
            </w:tr>
            <w:tr w14:paraId="3EE5E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802" w:type="dxa"/>
                  <w:tcBorders>
                    <w:tl2br w:val="nil"/>
                    <w:tr2bl w:val="nil"/>
                  </w:tcBorders>
                  <w:noWrap w:val="0"/>
                  <w:vAlign w:val="center"/>
                </w:tcPr>
                <w:p w14:paraId="069351A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1813" w:type="dxa"/>
                  <w:tcBorders>
                    <w:tl2br w:val="nil"/>
                    <w:tr2bl w:val="nil"/>
                  </w:tcBorders>
                  <w:noWrap w:val="0"/>
                  <w:vAlign w:val="center"/>
                </w:tcPr>
                <w:p w14:paraId="3679681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1633FE4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1500" w:type="dxa"/>
                  <w:tcBorders>
                    <w:tl2br w:val="nil"/>
                    <w:tr2bl w:val="nil"/>
                  </w:tcBorders>
                  <w:noWrap w:val="0"/>
                  <w:vAlign w:val="center"/>
                </w:tcPr>
                <w:p w14:paraId="08A3879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60</w:t>
                  </w:r>
                </w:p>
              </w:tc>
              <w:tc>
                <w:tcPr>
                  <w:tcW w:w="1199" w:type="dxa"/>
                  <w:tcBorders>
                    <w:tl2br w:val="nil"/>
                    <w:tr2bl w:val="nil"/>
                  </w:tcBorders>
                  <w:noWrap w:val="0"/>
                  <w:vAlign w:val="center"/>
                </w:tcPr>
                <w:p w14:paraId="6604E9B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15.0 </w:t>
                  </w:r>
                </w:p>
              </w:tc>
              <w:tc>
                <w:tcPr>
                  <w:tcW w:w="1127" w:type="dxa"/>
                  <w:tcBorders>
                    <w:tl2br w:val="nil"/>
                    <w:tr2bl w:val="nil"/>
                  </w:tcBorders>
                  <w:noWrap w:val="0"/>
                  <w:vAlign w:val="center"/>
                </w:tcPr>
                <w:p w14:paraId="434C659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6AB22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802" w:type="dxa"/>
                  <w:tcBorders>
                    <w:tl2br w:val="nil"/>
                    <w:tr2bl w:val="nil"/>
                  </w:tcBorders>
                  <w:noWrap w:val="0"/>
                  <w:vAlign w:val="center"/>
                </w:tcPr>
                <w:p w14:paraId="676397C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2</w:t>
                  </w:r>
                </w:p>
              </w:tc>
              <w:tc>
                <w:tcPr>
                  <w:tcW w:w="1813" w:type="dxa"/>
                  <w:tcBorders>
                    <w:tl2br w:val="nil"/>
                    <w:tr2bl w:val="nil"/>
                  </w:tcBorders>
                  <w:noWrap w:val="0"/>
                  <w:vAlign w:val="center"/>
                </w:tcPr>
                <w:p w14:paraId="4074E74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5E004E0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31</w:t>
                  </w:r>
                </w:p>
              </w:tc>
              <w:tc>
                <w:tcPr>
                  <w:tcW w:w="1500" w:type="dxa"/>
                  <w:tcBorders>
                    <w:tl2br w:val="nil"/>
                    <w:tr2bl w:val="nil"/>
                  </w:tcBorders>
                  <w:noWrap w:val="0"/>
                  <w:vAlign w:val="center"/>
                </w:tcPr>
                <w:p w14:paraId="13EF57B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w:t>
                  </w:r>
                </w:p>
              </w:tc>
              <w:tc>
                <w:tcPr>
                  <w:tcW w:w="1199" w:type="dxa"/>
                  <w:tcBorders>
                    <w:tl2br w:val="nil"/>
                    <w:tr2bl w:val="nil"/>
                  </w:tcBorders>
                  <w:noWrap w:val="0"/>
                  <w:vAlign w:val="center"/>
                </w:tcPr>
                <w:p w14:paraId="57476C9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77.5 </w:t>
                  </w:r>
                </w:p>
              </w:tc>
              <w:tc>
                <w:tcPr>
                  <w:tcW w:w="1127" w:type="dxa"/>
                  <w:tcBorders>
                    <w:tl2br w:val="nil"/>
                    <w:tr2bl w:val="nil"/>
                  </w:tcBorders>
                  <w:noWrap w:val="0"/>
                  <w:vAlign w:val="center"/>
                </w:tcPr>
                <w:p w14:paraId="3496C82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6D042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3" w:hRule="atLeast"/>
                <w:jc w:val="center"/>
              </w:trPr>
              <w:tc>
                <w:tcPr>
                  <w:tcW w:w="802" w:type="dxa"/>
                  <w:tcBorders>
                    <w:tl2br w:val="nil"/>
                    <w:tr2bl w:val="nil"/>
                  </w:tcBorders>
                  <w:noWrap w:val="0"/>
                  <w:vAlign w:val="center"/>
                </w:tcPr>
                <w:p w14:paraId="74DE4511">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1813" w:type="dxa"/>
                  <w:tcBorders>
                    <w:tl2br w:val="nil"/>
                    <w:tr2bl w:val="nil"/>
                  </w:tcBorders>
                  <w:noWrap w:val="0"/>
                  <w:vAlign w:val="center"/>
                </w:tcPr>
                <w:p w14:paraId="1F4537E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76F1D2CF">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1500" w:type="dxa"/>
                  <w:tcBorders>
                    <w:tl2br w:val="nil"/>
                    <w:tr2bl w:val="nil"/>
                  </w:tcBorders>
                  <w:noWrap w:val="0"/>
                  <w:vAlign w:val="center"/>
                </w:tcPr>
                <w:p w14:paraId="4E005FE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70</w:t>
                  </w:r>
                </w:p>
              </w:tc>
              <w:tc>
                <w:tcPr>
                  <w:tcW w:w="1199" w:type="dxa"/>
                  <w:tcBorders>
                    <w:tl2br w:val="nil"/>
                    <w:tr2bl w:val="nil"/>
                  </w:tcBorders>
                  <w:noWrap w:val="0"/>
                  <w:vAlign w:val="center"/>
                </w:tcPr>
                <w:p w14:paraId="2D3BEB7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85.7 </w:t>
                  </w:r>
                </w:p>
              </w:tc>
              <w:tc>
                <w:tcPr>
                  <w:tcW w:w="1127" w:type="dxa"/>
                  <w:tcBorders>
                    <w:tl2br w:val="nil"/>
                    <w:tr2bl w:val="nil"/>
                  </w:tcBorders>
                  <w:noWrap w:val="0"/>
                  <w:vAlign w:val="center"/>
                </w:tcPr>
                <w:p w14:paraId="6BB0FB3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eastAsia"/>
                      <w:color w:val="auto"/>
                      <w:sz w:val="21"/>
                      <w:szCs w:val="21"/>
                      <w:highlight w:val="none"/>
                      <w:lang w:val="en-US" w:eastAsia="zh-CN"/>
                    </w:rPr>
                    <w:t>达</w:t>
                  </w:r>
                  <w:r>
                    <w:rPr>
                      <w:rFonts w:hint="default"/>
                      <w:color w:val="auto"/>
                      <w:sz w:val="21"/>
                      <w:szCs w:val="21"/>
                      <w:highlight w:val="none"/>
                    </w:rPr>
                    <w:t>标</w:t>
                  </w:r>
                </w:p>
              </w:tc>
            </w:tr>
            <w:tr w14:paraId="6783D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802" w:type="dxa"/>
                  <w:tcBorders>
                    <w:tl2br w:val="nil"/>
                    <w:tr2bl w:val="nil"/>
                  </w:tcBorders>
                  <w:noWrap w:val="0"/>
                  <w:vAlign w:val="center"/>
                </w:tcPr>
                <w:p w14:paraId="00F3857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1813" w:type="dxa"/>
                  <w:tcBorders>
                    <w:tl2br w:val="nil"/>
                    <w:tr2bl w:val="nil"/>
                  </w:tcBorders>
                  <w:noWrap w:val="0"/>
                  <w:vAlign w:val="center"/>
                </w:tcPr>
                <w:p w14:paraId="1DC90AAF">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14:paraId="1D829B7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33</w:t>
                  </w:r>
                </w:p>
              </w:tc>
              <w:tc>
                <w:tcPr>
                  <w:tcW w:w="1500" w:type="dxa"/>
                  <w:tcBorders>
                    <w:tl2br w:val="nil"/>
                    <w:tr2bl w:val="nil"/>
                  </w:tcBorders>
                  <w:noWrap w:val="0"/>
                  <w:vAlign w:val="center"/>
                </w:tcPr>
                <w:p w14:paraId="141857D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35</w:t>
                  </w:r>
                </w:p>
              </w:tc>
              <w:tc>
                <w:tcPr>
                  <w:tcW w:w="1199" w:type="dxa"/>
                  <w:tcBorders>
                    <w:tl2br w:val="nil"/>
                    <w:tr2bl w:val="nil"/>
                  </w:tcBorders>
                  <w:noWrap w:val="0"/>
                  <w:vAlign w:val="center"/>
                </w:tcPr>
                <w:p w14:paraId="17A190A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94.3 </w:t>
                  </w:r>
                </w:p>
              </w:tc>
              <w:tc>
                <w:tcPr>
                  <w:tcW w:w="1127" w:type="dxa"/>
                  <w:tcBorders>
                    <w:tl2br w:val="nil"/>
                    <w:tr2bl w:val="nil"/>
                  </w:tcBorders>
                  <w:noWrap w:val="0"/>
                  <w:vAlign w:val="center"/>
                </w:tcPr>
                <w:p w14:paraId="163020A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eastAsia"/>
                      <w:color w:val="auto"/>
                      <w:sz w:val="21"/>
                      <w:szCs w:val="21"/>
                      <w:highlight w:val="none"/>
                      <w:lang w:val="en-US" w:eastAsia="zh-CN"/>
                    </w:rPr>
                    <w:t>达</w:t>
                  </w:r>
                  <w:r>
                    <w:rPr>
                      <w:rFonts w:hint="default"/>
                      <w:color w:val="auto"/>
                      <w:sz w:val="21"/>
                      <w:szCs w:val="21"/>
                      <w:highlight w:val="none"/>
                    </w:rPr>
                    <w:t>标</w:t>
                  </w:r>
                </w:p>
              </w:tc>
            </w:tr>
            <w:tr w14:paraId="48D74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802" w:type="dxa"/>
                  <w:tcBorders>
                    <w:tl2br w:val="nil"/>
                    <w:tr2bl w:val="nil"/>
                  </w:tcBorders>
                  <w:noWrap w:val="0"/>
                  <w:vAlign w:val="center"/>
                </w:tcPr>
                <w:p w14:paraId="27EFBB2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CO</w:t>
                  </w:r>
                </w:p>
              </w:tc>
              <w:tc>
                <w:tcPr>
                  <w:tcW w:w="1813" w:type="dxa"/>
                  <w:tcBorders>
                    <w:tl2br w:val="nil"/>
                    <w:tr2bl w:val="nil"/>
                  </w:tcBorders>
                  <w:noWrap w:val="0"/>
                  <w:vAlign w:val="center"/>
                </w:tcPr>
                <w:p w14:paraId="1C8B6EC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日均值第95百分位浓度</w:t>
                  </w:r>
                </w:p>
              </w:tc>
              <w:tc>
                <w:tcPr>
                  <w:tcW w:w="1625" w:type="dxa"/>
                  <w:tcBorders>
                    <w:tl2br w:val="nil"/>
                    <w:tr2bl w:val="nil"/>
                  </w:tcBorders>
                  <w:noWrap w:val="0"/>
                  <w:vAlign w:val="center"/>
                </w:tcPr>
                <w:p w14:paraId="51E2ACE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1600</w:t>
                  </w:r>
                </w:p>
              </w:tc>
              <w:tc>
                <w:tcPr>
                  <w:tcW w:w="1500" w:type="dxa"/>
                  <w:tcBorders>
                    <w:tl2br w:val="nil"/>
                    <w:tr2bl w:val="nil"/>
                  </w:tcBorders>
                  <w:noWrap w:val="0"/>
                  <w:vAlign w:val="center"/>
                </w:tcPr>
                <w:p w14:paraId="52555EAA">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4000</w:t>
                  </w:r>
                </w:p>
              </w:tc>
              <w:tc>
                <w:tcPr>
                  <w:tcW w:w="1199" w:type="dxa"/>
                  <w:tcBorders>
                    <w:tl2br w:val="nil"/>
                    <w:tr2bl w:val="nil"/>
                  </w:tcBorders>
                  <w:noWrap w:val="0"/>
                  <w:vAlign w:val="center"/>
                </w:tcPr>
                <w:p w14:paraId="44382D31">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40.0 </w:t>
                  </w:r>
                </w:p>
              </w:tc>
              <w:tc>
                <w:tcPr>
                  <w:tcW w:w="1127" w:type="dxa"/>
                  <w:tcBorders>
                    <w:tl2br w:val="nil"/>
                    <w:tr2bl w:val="nil"/>
                  </w:tcBorders>
                  <w:noWrap w:val="0"/>
                  <w:vAlign w:val="center"/>
                </w:tcPr>
                <w:p w14:paraId="66A76FFA">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14:paraId="586AF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802" w:type="dxa"/>
                  <w:tcBorders>
                    <w:tl2br w:val="nil"/>
                    <w:tr2bl w:val="nil"/>
                  </w:tcBorders>
                  <w:noWrap w:val="0"/>
                  <w:vAlign w:val="center"/>
                </w:tcPr>
                <w:p w14:paraId="7A7F5A8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O</w:t>
                  </w:r>
                  <w:r>
                    <w:rPr>
                      <w:rFonts w:hint="default"/>
                      <w:color w:val="auto"/>
                      <w:sz w:val="21"/>
                      <w:szCs w:val="21"/>
                      <w:highlight w:val="none"/>
                      <w:vertAlign w:val="subscript"/>
                    </w:rPr>
                    <w:t>3</w:t>
                  </w:r>
                </w:p>
              </w:tc>
              <w:tc>
                <w:tcPr>
                  <w:tcW w:w="1813" w:type="dxa"/>
                  <w:tcBorders>
                    <w:tl2br w:val="nil"/>
                    <w:tr2bl w:val="nil"/>
                  </w:tcBorders>
                  <w:noWrap w:val="0"/>
                  <w:vAlign w:val="center"/>
                </w:tcPr>
                <w:p w14:paraId="4E4790D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日最大8h平均第90百分位浓度</w:t>
                  </w:r>
                </w:p>
              </w:tc>
              <w:tc>
                <w:tcPr>
                  <w:tcW w:w="1625" w:type="dxa"/>
                  <w:tcBorders>
                    <w:tl2br w:val="nil"/>
                    <w:tr2bl w:val="nil"/>
                  </w:tcBorders>
                  <w:noWrap w:val="0"/>
                  <w:vAlign w:val="center"/>
                </w:tcPr>
                <w:p w14:paraId="77B8167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182</w:t>
                  </w:r>
                </w:p>
              </w:tc>
              <w:tc>
                <w:tcPr>
                  <w:tcW w:w="1500" w:type="dxa"/>
                  <w:tcBorders>
                    <w:tl2br w:val="nil"/>
                    <w:tr2bl w:val="nil"/>
                  </w:tcBorders>
                  <w:noWrap w:val="0"/>
                  <w:vAlign w:val="center"/>
                </w:tcPr>
                <w:p w14:paraId="35CC8E3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160</w:t>
                  </w:r>
                </w:p>
              </w:tc>
              <w:tc>
                <w:tcPr>
                  <w:tcW w:w="1199" w:type="dxa"/>
                  <w:tcBorders>
                    <w:tl2br w:val="nil"/>
                    <w:tr2bl w:val="nil"/>
                  </w:tcBorders>
                  <w:noWrap w:val="0"/>
                  <w:vAlign w:val="center"/>
                </w:tcPr>
                <w:p w14:paraId="36077DE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113.8 </w:t>
                  </w:r>
                </w:p>
              </w:tc>
              <w:tc>
                <w:tcPr>
                  <w:tcW w:w="1127" w:type="dxa"/>
                  <w:tcBorders>
                    <w:tl2br w:val="nil"/>
                    <w:tr2bl w:val="nil"/>
                  </w:tcBorders>
                  <w:noWrap w:val="0"/>
                  <w:vAlign w:val="center"/>
                </w:tcPr>
                <w:p w14:paraId="2CDB492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eastAsia"/>
                      <w:color w:val="auto"/>
                      <w:sz w:val="21"/>
                      <w:szCs w:val="21"/>
                      <w:highlight w:val="none"/>
                      <w:lang w:val="en-US" w:eastAsia="zh-CN"/>
                    </w:rPr>
                    <w:t>超标</w:t>
                  </w:r>
                </w:p>
              </w:tc>
            </w:tr>
          </w:tbl>
          <w:p w14:paraId="113E3317">
            <w:pPr>
              <w:keepNext w:val="0"/>
              <w:keepLines w:val="0"/>
              <w:pageBreakBefore w:val="0"/>
              <w:widowControl w:val="0"/>
              <w:kinsoku/>
              <w:wordWrap/>
              <w:overflowPunct/>
              <w:topLinePunct w:val="0"/>
              <w:autoSpaceDE/>
              <w:autoSpaceDN/>
              <w:bidi w:val="0"/>
              <w:adjustRightInd/>
              <w:snapToGrid/>
              <w:spacing w:line="480" w:lineRule="exact"/>
              <w:ind w:firstLine="500" w:firstLineChars="200"/>
              <w:textAlignment w:val="auto"/>
              <w:rPr>
                <w:rFonts w:hint="eastAsia"/>
                <w:color w:val="auto"/>
                <w:spacing w:val="5"/>
                <w:szCs w:val="21"/>
                <w:highlight w:val="none"/>
              </w:rPr>
            </w:pPr>
            <w:r>
              <w:rPr>
                <w:color w:val="auto"/>
                <w:spacing w:val="5"/>
                <w:szCs w:val="21"/>
                <w:highlight w:val="none"/>
              </w:rPr>
              <w:t>根据上表可知，项目所在区域环境空气质量评价指标中</w:t>
            </w:r>
            <w:r>
              <w:rPr>
                <w:rFonts w:hint="default" w:ascii="Times New Roman" w:hAnsi="Times New Roman" w:eastAsia="宋体" w:cs="Times New Roman"/>
                <w:color w:val="auto"/>
                <w:kern w:val="2"/>
                <w:sz w:val="24"/>
                <w:szCs w:val="21"/>
                <w:highlight w:val="none"/>
                <w:shd w:val="clear" w:color="auto" w:fill="auto"/>
                <w:lang w:val="en-US" w:eastAsia="zh-CN" w:bidi="ar"/>
              </w:rPr>
              <w:t>，SO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olor w:val="auto"/>
                <w:sz w:val="24"/>
                <w:szCs w:val="24"/>
                <w:highlight w:val="none"/>
                <w:vertAlign w:val="baseline"/>
                <w:lang w:eastAsia="zh-CN"/>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的年平均质量浓度达标，CO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2"/>
                <w:sz w:val="24"/>
                <w:szCs w:val="21"/>
                <w:highlight w:val="none"/>
                <w:shd w:val="clear" w:color="auto" w:fill="auto"/>
                <w:lang w:val="en-US" w:eastAsia="zh-CN" w:bidi="ar"/>
              </w:rPr>
              <w:t>达标</w:t>
            </w:r>
            <w:r>
              <w:rPr>
                <w:rFonts w:hint="eastAsia" w:ascii="Times New Roman" w:hAnsi="Times New Roman" w:eastAsia="宋体" w:cs="Times New Roman"/>
                <w:color w:val="auto"/>
                <w:kern w:val="2"/>
                <w:sz w:val="24"/>
                <w:szCs w:val="21"/>
                <w:highlight w:val="none"/>
                <w:shd w:val="clear" w:color="auto" w:fill="auto"/>
                <w:lang w:val="en-US" w:eastAsia="zh-CN" w:bidi="ar"/>
              </w:rPr>
              <w:t>，</w:t>
            </w:r>
            <w:r>
              <w:rPr>
                <w:rFonts w:hint="default" w:ascii="Times New Roman" w:hAnsi="Times New Roman" w:eastAsia="宋体" w:cs="Times New Roman"/>
                <w:color w:val="auto"/>
                <w:kern w:val="2"/>
                <w:sz w:val="24"/>
                <w:szCs w:val="21"/>
                <w:highlight w:val="none"/>
                <w:shd w:val="clear" w:color="auto" w:fill="auto"/>
                <w:lang w:val="en-US" w:eastAsia="zh-CN" w:bidi="ar"/>
              </w:rPr>
              <w:t>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w:t>
            </w:r>
            <w:r>
              <w:rPr>
                <w:rFonts w:hint="eastAsia" w:cs="Times New Roman"/>
                <w:color w:val="auto"/>
                <w:kern w:val="2"/>
                <w:sz w:val="24"/>
                <w:szCs w:val="21"/>
                <w:highlight w:val="none"/>
                <w:shd w:val="clear" w:color="auto" w:fill="auto"/>
                <w:lang w:val="en-US" w:eastAsia="zh-CN" w:bidi="ar"/>
              </w:rPr>
              <w:t>不</w:t>
            </w:r>
            <w:r>
              <w:rPr>
                <w:rFonts w:hint="default" w:ascii="Times New Roman" w:hAnsi="Times New Roman" w:eastAsia="宋体" w:cs="Times New Roman"/>
                <w:color w:val="auto"/>
                <w:kern w:val="2"/>
                <w:sz w:val="24"/>
                <w:szCs w:val="21"/>
                <w:highlight w:val="none"/>
                <w:shd w:val="clear" w:color="auto" w:fill="auto"/>
                <w:lang w:val="en-US" w:eastAsia="zh-CN" w:bidi="ar"/>
              </w:rPr>
              <w:t>达标</w:t>
            </w:r>
            <w:r>
              <w:rPr>
                <w:color w:val="auto"/>
                <w:spacing w:val="5"/>
                <w:szCs w:val="21"/>
                <w:highlight w:val="none"/>
              </w:rPr>
              <w:t>。</w:t>
            </w:r>
          </w:p>
          <w:p w14:paraId="508DE221">
            <w:pPr>
              <w:bidi w:val="0"/>
              <w:rPr>
                <w:rFonts w:hint="default"/>
                <w:color w:val="auto"/>
                <w:highlight w:val="none"/>
              </w:rPr>
            </w:pPr>
            <w:r>
              <w:rPr>
                <w:rFonts w:hint="eastAsia"/>
                <w:color w:val="auto"/>
                <w:highlight w:val="none"/>
              </w:rPr>
              <w:t>②</w:t>
            </w:r>
            <w:r>
              <w:rPr>
                <w:rFonts w:hint="default"/>
                <w:color w:val="auto"/>
                <w:highlight w:val="none"/>
              </w:rPr>
              <w:t>其他污染物环境质量现状评价</w:t>
            </w:r>
          </w:p>
          <w:p w14:paraId="17C1518C">
            <w:pPr>
              <w:bidi w:val="0"/>
              <w:rPr>
                <w:rFonts w:hint="eastAsia"/>
                <w:color w:val="auto"/>
                <w:highlight w:val="none"/>
                <w:lang w:val="en-US" w:eastAsia="zh-CN"/>
              </w:rPr>
            </w:pPr>
            <w:r>
              <w:rPr>
                <w:rFonts w:hint="eastAsia"/>
                <w:color w:val="auto"/>
                <w:highlight w:val="none"/>
                <w:lang w:val="en-US" w:eastAsia="zh-CN"/>
              </w:rPr>
              <w:t>根据《建设项目环境影响报告表编制技术指南 （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生产过程排放的特征污染物为颗粒物（TSP）、非甲烷总烃、甲苯、二甲苯，其中，颗粒物有国家环境空气质量标准，非甲烷总烃有地方环境空气质量标准。本次在评价特征污染物环境质量现状时，引用建设项目周边5千米范围内近3年的现有监测数据进行分析。</w:t>
            </w:r>
          </w:p>
          <w:p w14:paraId="27F6815F">
            <w:pPr>
              <w:bidi w:val="0"/>
              <w:rPr>
                <w:rFonts w:hint="default" w:ascii="Times New Roman" w:hAnsi="Times New Roman" w:eastAsia="宋体" w:cs="Times New Roman"/>
                <w:color w:val="auto"/>
                <w:spacing w:val="0"/>
                <w:position w:val="0"/>
                <w:sz w:val="24"/>
                <w:szCs w:val="21"/>
                <w:highlight w:val="none"/>
                <w:shd w:val="clear" w:color="auto" w:fill="auto"/>
                <w:lang w:eastAsia="zh-TW"/>
              </w:rPr>
            </w:pPr>
            <w:r>
              <w:rPr>
                <w:rFonts w:hint="eastAsia"/>
                <w:color w:val="auto"/>
                <w:highlight w:val="none"/>
                <w:lang w:val="en-US" w:eastAsia="zh-CN"/>
              </w:rPr>
              <w:t>非甲烷总烃、颗粒物（TSP）环境质量现状检测数据引用高新区北部拓展区环境影响跟踪评价环境质量现状监测数据，检测时间为2020年11月30日</w:t>
            </w:r>
            <w:r>
              <w:rPr>
                <w:rFonts w:hint="default" w:ascii="Times New Roman" w:hAnsi="Times New Roman" w:eastAsia="宋体" w:cs="Times New Roman"/>
                <w:color w:val="auto"/>
                <w:spacing w:val="0"/>
                <w:position w:val="0"/>
                <w:sz w:val="24"/>
                <w:szCs w:val="21"/>
                <w:highlight w:val="none"/>
                <w:shd w:val="clear" w:color="auto" w:fill="auto"/>
                <w:lang w:eastAsia="zh-TW"/>
              </w:rPr>
              <w:t>～</w:t>
            </w:r>
            <w:r>
              <w:rPr>
                <w:rFonts w:hint="eastAsia"/>
                <w:color w:val="auto"/>
                <w:highlight w:val="none"/>
                <w:lang w:val="en-US" w:eastAsia="zh-CN"/>
              </w:rPr>
              <w:t>2020年12月06日，检测点位为三益庄，位于本项目东北侧约2850m处，</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w:t>
            </w:r>
            <w:r>
              <w:rPr>
                <w:rFonts w:hint="eastAsia" w:ascii="Times New Roman" w:hAnsi="Times New Roman" w:eastAsia="宋体" w:cs="Times New Roman"/>
                <w:color w:val="auto"/>
                <w:spacing w:val="0"/>
                <w:position w:val="0"/>
                <w:sz w:val="24"/>
                <w:szCs w:val="21"/>
                <w:highlight w:val="none"/>
                <w:shd w:val="clear" w:color="auto" w:fill="auto"/>
                <w:lang w:val="en-US" w:eastAsia="zh-CN"/>
              </w:rPr>
              <w:t>符合</w:t>
            </w:r>
            <w:r>
              <w:rPr>
                <w:rFonts w:hint="eastAsia" w:ascii="Times New Roman" w:hAnsi="Times New Roman" w:eastAsia="宋体" w:cs="Times New Roman"/>
                <w:color w:val="auto"/>
                <w:sz w:val="24"/>
                <w:szCs w:val="21"/>
                <w:highlight w:val="none"/>
                <w:shd w:val="clear" w:color="auto" w:fill="auto"/>
                <w:lang w:val="en-US" w:eastAsia="zh-CN"/>
              </w:rPr>
              <w:t>《建设项目环境影响报告表编制技术指南（污染影响类）（试行）》要求，</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引用数据可用。</w:t>
            </w:r>
          </w:p>
          <w:p w14:paraId="7360ED61">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表</w:t>
            </w:r>
            <w:r>
              <w:rPr>
                <w:rFonts w:hint="eastAsia" w:cs="Times New Roman"/>
                <w:b/>
                <w:color w:val="auto"/>
                <w:spacing w:val="0"/>
                <w:kern w:val="0"/>
                <w:position w:val="0"/>
                <w:sz w:val="21"/>
                <w:szCs w:val="21"/>
                <w:highlight w:val="none"/>
                <w:shd w:val="clear" w:color="auto" w:fill="auto"/>
                <w:lang w:val="en-US" w:eastAsia="zh-CN"/>
              </w:rPr>
              <w:t>30</w:t>
            </w:r>
            <w:r>
              <w:rPr>
                <w:rFonts w:hint="eastAsia" w:ascii="Times New Roman" w:hAnsi="Times New Roman" w:eastAsia="宋体" w:cs="Times New Roman"/>
                <w:b/>
                <w:color w:val="auto"/>
                <w:spacing w:val="0"/>
                <w:kern w:val="0"/>
                <w:position w:val="0"/>
                <w:sz w:val="21"/>
                <w:szCs w:val="21"/>
                <w:highlight w:val="none"/>
                <w:shd w:val="clear" w:color="auto" w:fill="auto"/>
                <w:lang w:val="en-US" w:eastAsia="zh-CN"/>
              </w:rPr>
              <w:t xml:space="preserve">  </w:t>
            </w: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其他污染物环境质量现状</w:t>
            </w:r>
            <w:r>
              <w:rPr>
                <w:rFonts w:hint="eastAsia" w:ascii="Times New Roman" w:hAnsi="Times New Roman" w:eastAsia="宋体" w:cs="Times New Roman"/>
                <w:b/>
                <w:color w:val="auto"/>
                <w:spacing w:val="0"/>
                <w:kern w:val="0"/>
                <w:position w:val="0"/>
                <w:sz w:val="21"/>
                <w:szCs w:val="21"/>
                <w:highlight w:val="none"/>
                <w:shd w:val="clear" w:color="auto" w:fill="auto"/>
                <w:lang w:val="en-US" w:eastAsia="zh-CN"/>
              </w:rPr>
              <w:t>检测</w:t>
            </w: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结果</w:t>
            </w:r>
            <w:r>
              <w:rPr>
                <w:rFonts w:hint="eastAsia" w:cs="Times New Roman"/>
                <w:b/>
                <w:color w:val="auto"/>
                <w:spacing w:val="0"/>
                <w:kern w:val="0"/>
                <w:position w:val="0"/>
                <w:sz w:val="21"/>
                <w:szCs w:val="21"/>
                <w:highlight w:val="none"/>
                <w:shd w:val="clear" w:color="auto" w:fill="auto"/>
                <w:lang w:val="en-US" w:eastAsia="zh-CN"/>
              </w:rPr>
              <w:t>一览表</w:t>
            </w:r>
          </w:p>
          <w:tbl>
            <w:tblPr>
              <w:tblStyle w:val="24"/>
              <w:tblW w:w="8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17"/>
              <w:gridCol w:w="1188"/>
              <w:gridCol w:w="1163"/>
              <w:gridCol w:w="1234"/>
              <w:gridCol w:w="1122"/>
              <w:gridCol w:w="1072"/>
              <w:gridCol w:w="804"/>
              <w:gridCol w:w="720"/>
            </w:tblGrid>
            <w:tr w14:paraId="11B0E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17" w:type="dxa"/>
                  <w:vMerge w:val="restart"/>
                  <w:noWrap w:val="0"/>
                  <w:vAlign w:val="center"/>
                </w:tcPr>
                <w:p w14:paraId="7C8024D7">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检测</w:t>
                  </w:r>
                  <w:r>
                    <w:rPr>
                      <w:rFonts w:hint="default" w:ascii="Times New Roman" w:hAnsi="Times New Roman" w:eastAsia="宋体" w:cs="Times New Roman"/>
                      <w:color w:val="auto"/>
                      <w:sz w:val="21"/>
                      <w:szCs w:val="21"/>
                      <w:highlight w:val="none"/>
                      <w:shd w:val="clear" w:color="auto" w:fill="auto"/>
                      <w:lang w:val="en-US" w:eastAsia="zh-CN"/>
                    </w:rPr>
                    <w:t>点位</w:t>
                  </w:r>
                </w:p>
              </w:tc>
              <w:tc>
                <w:tcPr>
                  <w:tcW w:w="1188" w:type="dxa"/>
                  <w:vMerge w:val="restart"/>
                  <w:noWrap w:val="0"/>
                  <w:vAlign w:val="center"/>
                </w:tcPr>
                <w:p w14:paraId="78EBED64">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污染物</w:t>
                  </w:r>
                </w:p>
              </w:tc>
              <w:tc>
                <w:tcPr>
                  <w:tcW w:w="1163" w:type="dxa"/>
                  <w:vMerge w:val="restart"/>
                  <w:noWrap w:val="0"/>
                  <w:vAlign w:val="center"/>
                </w:tcPr>
                <w:p w14:paraId="74492AEB">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平均时间</w:t>
                  </w:r>
                </w:p>
              </w:tc>
              <w:tc>
                <w:tcPr>
                  <w:tcW w:w="1234" w:type="dxa"/>
                  <w:vMerge w:val="restart"/>
                  <w:noWrap w:val="0"/>
                  <w:vAlign w:val="center"/>
                </w:tcPr>
                <w:p w14:paraId="6E1ACB47">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评价标准（μg/m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122" w:type="dxa"/>
                  <w:vMerge w:val="restart"/>
                  <w:noWrap w:val="0"/>
                  <w:vAlign w:val="center"/>
                </w:tcPr>
                <w:p w14:paraId="79E55477">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检测</w:t>
                  </w:r>
                  <w:r>
                    <w:rPr>
                      <w:rFonts w:hint="default" w:ascii="Times New Roman" w:hAnsi="Times New Roman" w:eastAsia="宋体" w:cs="Times New Roman"/>
                      <w:color w:val="auto"/>
                      <w:sz w:val="21"/>
                      <w:szCs w:val="21"/>
                      <w:highlight w:val="none"/>
                      <w:shd w:val="clear" w:color="auto" w:fill="auto"/>
                      <w:lang w:val="en-US" w:eastAsia="zh-CN"/>
                    </w:rPr>
                    <w:t>浓度范围（μg/m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072" w:type="dxa"/>
                  <w:vMerge w:val="restart"/>
                  <w:noWrap w:val="0"/>
                  <w:vAlign w:val="center"/>
                </w:tcPr>
                <w:p w14:paraId="599DCD1E">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最大浓度占标率</w:t>
                  </w:r>
                  <w:r>
                    <w:rPr>
                      <w:rFonts w:hint="eastAsia"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eastAsia="宋体" w:cs="Times New Roman"/>
                      <w:color w:val="auto"/>
                      <w:sz w:val="21"/>
                      <w:szCs w:val="21"/>
                      <w:highlight w:val="none"/>
                      <w:shd w:val="clear" w:color="auto" w:fill="auto"/>
                      <w:lang w:val="en-US" w:eastAsia="zh-CN"/>
                    </w:rPr>
                    <w:t>）</w:t>
                  </w:r>
                </w:p>
              </w:tc>
              <w:tc>
                <w:tcPr>
                  <w:tcW w:w="804" w:type="dxa"/>
                  <w:vMerge w:val="restart"/>
                  <w:noWrap w:val="0"/>
                  <w:vAlign w:val="center"/>
                </w:tcPr>
                <w:p w14:paraId="28A8141B">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超标率</w:t>
                  </w:r>
                  <w:r>
                    <w:rPr>
                      <w:rFonts w:hint="eastAsia"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eastAsia="宋体" w:cs="Times New Roman"/>
                      <w:color w:val="auto"/>
                      <w:sz w:val="21"/>
                      <w:szCs w:val="21"/>
                      <w:highlight w:val="none"/>
                      <w:shd w:val="clear" w:color="auto" w:fill="auto"/>
                      <w:lang w:val="en-US" w:eastAsia="zh-CN"/>
                    </w:rPr>
                    <w:t>）</w:t>
                  </w:r>
                </w:p>
              </w:tc>
              <w:tc>
                <w:tcPr>
                  <w:tcW w:w="720" w:type="dxa"/>
                  <w:vMerge w:val="restart"/>
                  <w:noWrap w:val="0"/>
                  <w:vAlign w:val="center"/>
                </w:tcPr>
                <w:p w14:paraId="77CB38E5">
                  <w:pPr>
                    <w:pStyle w:val="43"/>
                    <w:keepNext w:val="0"/>
                    <w:keepLines w:val="0"/>
                    <w:pageBreakBefore w:val="0"/>
                    <w:shd w:val="clear" w:color="auto" w:fill="auto"/>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达标情况</w:t>
                  </w:r>
                </w:p>
              </w:tc>
            </w:tr>
            <w:tr w14:paraId="1C998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917" w:type="dxa"/>
                  <w:vMerge w:val="continue"/>
                  <w:noWrap w:val="0"/>
                  <w:vAlign w:val="center"/>
                </w:tcPr>
                <w:p w14:paraId="0B879A50">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88" w:type="dxa"/>
                  <w:vMerge w:val="continue"/>
                  <w:noWrap w:val="0"/>
                  <w:vAlign w:val="center"/>
                </w:tcPr>
                <w:p w14:paraId="4B310640">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63" w:type="dxa"/>
                  <w:vMerge w:val="continue"/>
                  <w:noWrap w:val="0"/>
                  <w:vAlign w:val="center"/>
                </w:tcPr>
                <w:p w14:paraId="22CC1587">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234" w:type="dxa"/>
                  <w:vMerge w:val="continue"/>
                  <w:noWrap w:val="0"/>
                  <w:vAlign w:val="center"/>
                </w:tcPr>
                <w:p w14:paraId="68026E40">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22" w:type="dxa"/>
                  <w:vMerge w:val="continue"/>
                  <w:noWrap w:val="0"/>
                  <w:vAlign w:val="center"/>
                </w:tcPr>
                <w:p w14:paraId="0B12025B">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072" w:type="dxa"/>
                  <w:vMerge w:val="continue"/>
                  <w:noWrap w:val="0"/>
                  <w:vAlign w:val="center"/>
                </w:tcPr>
                <w:p w14:paraId="7D8B1740">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804" w:type="dxa"/>
                  <w:vMerge w:val="continue"/>
                  <w:noWrap w:val="0"/>
                  <w:vAlign w:val="center"/>
                </w:tcPr>
                <w:p w14:paraId="281858EA">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720" w:type="dxa"/>
                  <w:vMerge w:val="continue"/>
                  <w:noWrap w:val="0"/>
                  <w:vAlign w:val="center"/>
                </w:tcPr>
                <w:p w14:paraId="7A8C9980">
                  <w:pPr>
                    <w:pStyle w:val="43"/>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p>
              </w:tc>
            </w:tr>
            <w:tr w14:paraId="32105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917" w:type="dxa"/>
                  <w:vMerge w:val="restart"/>
                  <w:noWrap w:val="0"/>
                  <w:vAlign w:val="center"/>
                </w:tcPr>
                <w:p w14:paraId="76465E1F">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highlight w:val="none"/>
                      <w:lang w:val="en-US" w:eastAsia="zh-CN"/>
                    </w:rPr>
                    <w:t>三益庄</w:t>
                  </w:r>
                </w:p>
              </w:tc>
              <w:tc>
                <w:tcPr>
                  <w:tcW w:w="1188" w:type="dxa"/>
                  <w:noWrap w:val="0"/>
                  <w:vAlign w:val="center"/>
                </w:tcPr>
                <w:p w14:paraId="4EB0C515">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非甲烷总烃</w:t>
                  </w:r>
                </w:p>
              </w:tc>
              <w:tc>
                <w:tcPr>
                  <w:tcW w:w="1163" w:type="dxa"/>
                  <w:noWrap w:val="0"/>
                  <w:vAlign w:val="center"/>
                </w:tcPr>
                <w:p w14:paraId="08712A08">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lang w:val="en-US" w:eastAsia="zh-CN"/>
                    </w:rPr>
                    <w:t>小时平均</w:t>
                  </w:r>
                </w:p>
              </w:tc>
              <w:tc>
                <w:tcPr>
                  <w:tcW w:w="1234" w:type="dxa"/>
                  <w:noWrap w:val="0"/>
                  <w:vAlign w:val="center"/>
                </w:tcPr>
                <w:p w14:paraId="7E9129B3">
                  <w:pPr>
                    <w:pStyle w:val="41"/>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color w:val="auto"/>
                      <w:sz w:val="21"/>
                      <w:szCs w:val="21"/>
                      <w:highlight w:val="none"/>
                      <w:lang w:val="en-US" w:eastAsia="zh-CN"/>
                    </w:rPr>
                    <w:t>2000</w:t>
                  </w:r>
                </w:p>
              </w:tc>
              <w:tc>
                <w:tcPr>
                  <w:tcW w:w="1122" w:type="dxa"/>
                  <w:noWrap w:val="0"/>
                  <w:vAlign w:val="center"/>
                </w:tcPr>
                <w:p w14:paraId="55D69808">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730～990</w:t>
                  </w:r>
                </w:p>
              </w:tc>
              <w:tc>
                <w:tcPr>
                  <w:tcW w:w="1072" w:type="dxa"/>
                  <w:noWrap w:val="0"/>
                  <w:vAlign w:val="center"/>
                </w:tcPr>
                <w:p w14:paraId="5D83F28A">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49.5</w:t>
                  </w:r>
                </w:p>
              </w:tc>
              <w:tc>
                <w:tcPr>
                  <w:tcW w:w="804" w:type="dxa"/>
                  <w:noWrap w:val="0"/>
                  <w:vAlign w:val="center"/>
                </w:tcPr>
                <w:p w14:paraId="668D5070">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0</w:t>
                  </w:r>
                </w:p>
              </w:tc>
              <w:tc>
                <w:tcPr>
                  <w:tcW w:w="720" w:type="dxa"/>
                  <w:noWrap w:val="0"/>
                  <w:vAlign w:val="center"/>
                </w:tcPr>
                <w:p w14:paraId="65568AF4">
                  <w:pPr>
                    <w:pStyle w:val="43"/>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达标</w:t>
                  </w:r>
                </w:p>
              </w:tc>
            </w:tr>
            <w:tr w14:paraId="20EED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917" w:type="dxa"/>
                  <w:vMerge w:val="continue"/>
                  <w:noWrap w:val="0"/>
                  <w:vAlign w:val="center"/>
                </w:tcPr>
                <w:p w14:paraId="5B657EC9">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eastAsia"/>
                      <w:color w:val="auto"/>
                      <w:highlight w:val="none"/>
                      <w:lang w:val="en-US" w:eastAsia="zh-CN"/>
                    </w:rPr>
                  </w:pPr>
                </w:p>
              </w:tc>
              <w:tc>
                <w:tcPr>
                  <w:tcW w:w="1188" w:type="dxa"/>
                  <w:noWrap w:val="0"/>
                  <w:vAlign w:val="center"/>
                </w:tcPr>
                <w:p w14:paraId="5359A75A">
                  <w:pPr>
                    <w:pStyle w:val="31"/>
                    <w:bidi w:val="0"/>
                    <w:ind w:firstLine="0" w:firstLineChars="0"/>
                    <w:rPr>
                      <w:rFonts w:hint="default"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TSP</w:t>
                  </w:r>
                </w:p>
              </w:tc>
              <w:tc>
                <w:tcPr>
                  <w:tcW w:w="1163" w:type="dxa"/>
                  <w:noWrap w:val="0"/>
                  <w:vAlign w:val="center"/>
                </w:tcPr>
                <w:p w14:paraId="5A0E639C">
                  <w:pPr>
                    <w:pStyle w:val="31"/>
                    <w:bidi w:val="0"/>
                    <w:ind w:firstLine="0" w:firstLineChars="0"/>
                    <w:rPr>
                      <w:rFonts w:hint="eastAsia"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24小时平均</w:t>
                  </w:r>
                </w:p>
              </w:tc>
              <w:tc>
                <w:tcPr>
                  <w:tcW w:w="1234" w:type="dxa"/>
                  <w:noWrap w:val="0"/>
                  <w:vAlign w:val="center"/>
                </w:tcPr>
                <w:p w14:paraId="2E45884E">
                  <w:pPr>
                    <w:pStyle w:val="31"/>
                    <w:bidi w:val="0"/>
                    <w:ind w:firstLine="0" w:firstLineChars="0"/>
                    <w:rPr>
                      <w:rFonts w:hint="eastAsia"/>
                      <w:color w:val="auto"/>
                      <w:sz w:val="21"/>
                      <w:szCs w:val="21"/>
                      <w:highlight w:val="none"/>
                      <w:lang w:val="en-US" w:eastAsia="zh-CN"/>
                    </w:rPr>
                  </w:pPr>
                  <w:r>
                    <w:rPr>
                      <w:rFonts w:hint="eastAsia" w:eastAsia="宋体" w:cs="Times New Roman"/>
                      <w:color w:val="auto"/>
                      <w:sz w:val="21"/>
                      <w:szCs w:val="21"/>
                      <w:highlight w:val="none"/>
                      <w:shd w:val="clear" w:color="auto" w:fill="auto"/>
                      <w:lang w:val="en-US" w:eastAsia="zh-CN"/>
                    </w:rPr>
                    <w:t>300</w:t>
                  </w:r>
                </w:p>
              </w:tc>
              <w:tc>
                <w:tcPr>
                  <w:tcW w:w="1122" w:type="dxa"/>
                  <w:noWrap w:val="0"/>
                  <w:vAlign w:val="center"/>
                </w:tcPr>
                <w:p w14:paraId="32DC31D1">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235～241</w:t>
                  </w:r>
                </w:p>
              </w:tc>
              <w:tc>
                <w:tcPr>
                  <w:tcW w:w="1072" w:type="dxa"/>
                  <w:noWrap w:val="0"/>
                  <w:vAlign w:val="center"/>
                </w:tcPr>
                <w:p w14:paraId="364E76DC">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80.3</w:t>
                  </w:r>
                </w:p>
              </w:tc>
              <w:tc>
                <w:tcPr>
                  <w:tcW w:w="804" w:type="dxa"/>
                  <w:noWrap w:val="0"/>
                  <w:vAlign w:val="center"/>
                </w:tcPr>
                <w:p w14:paraId="0C542824">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eastAsia"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0</w:t>
                  </w:r>
                </w:p>
              </w:tc>
              <w:tc>
                <w:tcPr>
                  <w:tcW w:w="720" w:type="dxa"/>
                  <w:noWrap w:val="0"/>
                  <w:vAlign w:val="center"/>
                </w:tcPr>
                <w:p w14:paraId="05AFE1CD">
                  <w:pPr>
                    <w:pStyle w:val="43"/>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达标</w:t>
                  </w:r>
                </w:p>
              </w:tc>
            </w:tr>
          </w:tbl>
          <w:p w14:paraId="08E63B3D">
            <w:pPr>
              <w:bidi w:val="0"/>
              <w:rPr>
                <w:rFonts w:hint="eastAsia"/>
                <w:color w:val="auto"/>
                <w:highlight w:val="none"/>
                <w:lang w:eastAsia="zh-CN"/>
              </w:rPr>
            </w:pPr>
            <w:r>
              <w:rPr>
                <w:rFonts w:hint="default"/>
                <w:color w:val="auto"/>
                <w:highlight w:val="none"/>
              </w:rPr>
              <w:t>由上表可以看出，其他污染物非甲烷总烃</w:t>
            </w:r>
            <w:r>
              <w:rPr>
                <w:rFonts w:hint="eastAsia"/>
                <w:color w:val="auto"/>
                <w:highlight w:val="none"/>
                <w:lang w:val="en-US" w:eastAsia="zh-CN"/>
              </w:rPr>
              <w:t>1</w:t>
            </w:r>
            <w:r>
              <w:rPr>
                <w:rFonts w:hint="default"/>
                <w:color w:val="auto"/>
                <w:highlight w:val="none"/>
              </w:rPr>
              <w:t>小时</w:t>
            </w:r>
            <w:r>
              <w:rPr>
                <w:rFonts w:hint="eastAsia"/>
                <w:color w:val="auto"/>
                <w:highlight w:val="none"/>
                <w:lang w:val="en-US" w:eastAsia="zh-CN"/>
              </w:rPr>
              <w:t>平均</w:t>
            </w:r>
            <w:r>
              <w:rPr>
                <w:rFonts w:hint="default"/>
                <w:color w:val="auto"/>
                <w:highlight w:val="none"/>
              </w:rPr>
              <w:t>浓度满足河北省地方标准《环境空气质量 非甲烷总烃</w:t>
            </w:r>
            <w:r>
              <w:rPr>
                <w:rFonts w:hint="eastAsia"/>
                <w:color w:val="auto"/>
                <w:highlight w:val="none"/>
                <w:lang w:val="en-US" w:eastAsia="zh-CN"/>
              </w:rPr>
              <w:t>限值</w:t>
            </w:r>
            <w:r>
              <w:rPr>
                <w:rFonts w:hint="default"/>
                <w:color w:val="auto"/>
                <w:highlight w:val="none"/>
              </w:rPr>
              <w:t>》（DB13/1577-2012）</w:t>
            </w:r>
            <w:r>
              <w:rPr>
                <w:rFonts w:hint="eastAsia"/>
                <w:color w:val="auto"/>
                <w:highlight w:val="none"/>
                <w:lang w:val="en-US" w:eastAsia="zh-CN"/>
              </w:rPr>
              <w:t>限值的要求，</w:t>
            </w:r>
            <w:r>
              <w:rPr>
                <w:rFonts w:hint="default"/>
                <w:color w:val="auto"/>
                <w:highlight w:val="none"/>
              </w:rPr>
              <w:t>TSP</w:t>
            </w:r>
            <w:r>
              <w:rPr>
                <w:rFonts w:hint="eastAsia"/>
                <w:color w:val="auto"/>
                <w:highlight w:val="none"/>
              </w:rPr>
              <w:t xml:space="preserve"> </w:t>
            </w:r>
            <w:r>
              <w:rPr>
                <w:rFonts w:hint="default"/>
                <w:color w:val="auto"/>
                <w:highlight w:val="none"/>
              </w:rPr>
              <w:t>24小时浓度满足《环境空气质量标准》（GB3095</w:t>
            </w:r>
            <w:r>
              <w:rPr>
                <w:rFonts w:hint="eastAsia"/>
                <w:color w:val="auto"/>
                <w:highlight w:val="none"/>
                <w:lang w:val="en-US" w:eastAsia="zh-CN"/>
              </w:rPr>
              <w:t>-</w:t>
            </w:r>
            <w:r>
              <w:rPr>
                <w:rFonts w:hint="default"/>
                <w:color w:val="auto"/>
                <w:highlight w:val="none"/>
              </w:rPr>
              <w:t>2012）中二级标准及其修改单</w:t>
            </w:r>
            <w:r>
              <w:rPr>
                <w:rFonts w:hint="eastAsia"/>
                <w:color w:val="auto"/>
                <w:highlight w:val="none"/>
                <w:lang w:val="en-US" w:eastAsia="zh-CN"/>
              </w:rPr>
              <w:t>的要求</w:t>
            </w:r>
            <w:r>
              <w:rPr>
                <w:rFonts w:hint="eastAsia"/>
                <w:color w:val="auto"/>
                <w:highlight w:val="none"/>
                <w:lang w:eastAsia="zh-CN"/>
              </w:rPr>
              <w:t>。</w:t>
            </w:r>
          </w:p>
          <w:p w14:paraId="0314B5A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highlight w:val="none"/>
              </w:rPr>
            </w:pPr>
            <w:r>
              <w:rPr>
                <w:rFonts w:hint="eastAsia"/>
                <w:b/>
                <w:bCs/>
                <w:color w:val="auto"/>
                <w:highlight w:val="none"/>
                <w:lang w:val="en-US" w:eastAsia="zh-CN"/>
              </w:rPr>
              <w:t>2、</w:t>
            </w:r>
            <w:r>
              <w:rPr>
                <w:rFonts w:hint="default"/>
                <w:b/>
                <w:bCs/>
                <w:color w:val="auto"/>
                <w:highlight w:val="none"/>
              </w:rPr>
              <w:t>声环境</w:t>
            </w:r>
          </w:p>
          <w:p w14:paraId="481ACCFB">
            <w:pPr>
              <w:bidi w:val="0"/>
              <w:rPr>
                <w:rFonts w:hint="default"/>
                <w:color w:val="auto"/>
                <w:highlight w:val="none"/>
                <w:lang w:val="en-US" w:eastAsia="zh-CN"/>
              </w:rPr>
            </w:pPr>
            <w:r>
              <w:rPr>
                <w:rFonts w:hint="default"/>
                <w:color w:val="auto"/>
                <w:highlight w:val="none"/>
                <w:lang w:val="en-US" w:eastAsia="zh-CN"/>
              </w:rPr>
              <w:t>本项目</w:t>
            </w:r>
            <w:r>
              <w:rPr>
                <w:rFonts w:hint="eastAsia"/>
                <w:color w:val="auto"/>
                <w:sz w:val="24"/>
                <w:szCs w:val="24"/>
                <w:highlight w:val="none"/>
                <w:lang w:val="en-US" w:eastAsia="zh-CN"/>
              </w:rPr>
              <w:t>西侧31m处为高新实验小学操场</w:t>
            </w:r>
            <w:r>
              <w:rPr>
                <w:rFonts w:hint="default"/>
                <w:color w:val="auto"/>
                <w:highlight w:val="none"/>
                <w:lang w:val="zh-CN"/>
              </w:rPr>
              <w:t>，</w:t>
            </w:r>
            <w:r>
              <w:rPr>
                <w:rFonts w:hint="eastAsia"/>
                <w:color w:val="auto"/>
                <w:highlight w:val="none"/>
                <w:lang w:val="en-US" w:eastAsia="zh-CN"/>
              </w:rPr>
              <w:t>距离教学楼约100m，根据《环境影响评价极速导则 声环境》（HJ2.4-2021）中声环境保护目标定义：依据法律、法规、标准政策等确定的需要保持安静的建筑物及建筑物集中区，本项目距</w:t>
            </w:r>
            <w:r>
              <w:rPr>
                <w:rFonts w:hint="eastAsia"/>
                <w:color w:val="auto"/>
                <w:sz w:val="24"/>
                <w:szCs w:val="24"/>
                <w:highlight w:val="none"/>
                <w:lang w:val="en-US" w:eastAsia="zh-CN"/>
              </w:rPr>
              <w:t>高新实验小学教学楼约100m，不在50m范围内，因此，</w:t>
            </w:r>
            <w:r>
              <w:rPr>
                <w:rFonts w:hint="eastAsia"/>
                <w:color w:val="auto"/>
                <w:highlight w:val="none"/>
                <w:lang w:val="en-US" w:eastAsia="zh-CN"/>
              </w:rPr>
              <w:t>厂界外50m范围内无声环境敏感点，</w:t>
            </w:r>
            <w:r>
              <w:rPr>
                <w:rFonts w:hint="default"/>
                <w:color w:val="auto"/>
                <w:highlight w:val="none"/>
                <w:lang w:val="zh-CN"/>
              </w:rPr>
              <w:t>项目所在地声环境质量较好</w:t>
            </w:r>
            <w:r>
              <w:rPr>
                <w:rFonts w:hint="default"/>
                <w:color w:val="auto"/>
                <w:highlight w:val="none"/>
                <w:lang w:val="en-US" w:eastAsia="zh-CN"/>
              </w:rPr>
              <w:t>。</w:t>
            </w:r>
          </w:p>
          <w:p w14:paraId="5B1211B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b/>
                <w:bCs/>
                <w:color w:val="auto"/>
                <w:highlight w:val="none"/>
                <w:lang w:val="en-US" w:eastAsia="zh-CN"/>
              </w:rPr>
            </w:pPr>
            <w:r>
              <w:rPr>
                <w:b/>
                <w:bCs/>
                <w:color w:val="auto"/>
                <w:highlight w:val="none"/>
              </w:rPr>
              <w:t>3、地表水</w:t>
            </w:r>
            <w:r>
              <w:rPr>
                <w:rFonts w:hint="eastAsia"/>
                <w:b/>
                <w:bCs/>
                <w:color w:val="auto"/>
                <w:highlight w:val="none"/>
                <w:lang w:val="en-US" w:eastAsia="zh-CN"/>
              </w:rPr>
              <w:t>环境</w:t>
            </w:r>
          </w:p>
          <w:p w14:paraId="15A66F3E">
            <w:pPr>
              <w:pStyle w:val="44"/>
              <w:keepNext w:val="0"/>
              <w:keepLines w:val="0"/>
              <w:pageBreakBefore w:val="0"/>
              <w:kinsoku/>
              <w:wordWrap/>
              <w:overflowPunct/>
              <w:topLinePunct w:val="0"/>
              <w:autoSpaceDE/>
              <w:autoSpaceDN/>
              <w:bidi w:val="0"/>
              <w:snapToGrid/>
              <w:spacing w:line="480" w:lineRule="exact"/>
              <w:ind w:firstLine="480" w:firstLineChars="200"/>
              <w:textAlignment w:val="auto"/>
              <w:rPr>
                <w:rFonts w:hint="eastAsia" w:eastAsia="宋体" w:cs="Times New Roman"/>
                <w:bCs/>
                <w:smallCaps w:val="0"/>
                <w:snapToGrid/>
                <w:color w:val="auto"/>
                <w:spacing w:val="0"/>
                <w:kern w:val="2"/>
                <w:position w:val="0"/>
                <w:sz w:val="24"/>
                <w:szCs w:val="24"/>
                <w:highlight w:val="none"/>
                <w:lang w:val="en-US" w:eastAsia="zh-CN" w:bidi="ar-SA"/>
              </w:rPr>
            </w:pPr>
            <w:r>
              <w:rPr>
                <w:rFonts w:hint="eastAsia" w:eastAsia="宋体" w:cs="Times New Roman"/>
                <w:bCs/>
                <w:smallCaps w:val="0"/>
                <w:snapToGrid/>
                <w:color w:val="auto"/>
                <w:spacing w:val="0"/>
                <w:kern w:val="2"/>
                <w:position w:val="0"/>
                <w:sz w:val="24"/>
                <w:szCs w:val="24"/>
                <w:highlight w:val="none"/>
                <w:lang w:val="en-US" w:eastAsia="zh-CN" w:bidi="ar-SA"/>
              </w:rPr>
              <w:t>本项目食堂废水隔油处理后与其他生活污水一起排入市政污水管网，最终进入西郊污水处理厂处理，</w:t>
            </w:r>
            <w:r>
              <w:rPr>
                <w:rFonts w:hint="eastAsia" w:ascii="Times New Roman" w:hAnsi="Times New Roman" w:eastAsia="宋体" w:cs="Times New Roman"/>
                <w:color w:val="auto"/>
                <w:sz w:val="24"/>
                <w:szCs w:val="24"/>
                <w:highlight w:val="none"/>
                <w:shd w:val="clear" w:color="auto" w:fill="auto"/>
                <w:lang w:val="en-US" w:eastAsia="zh-CN"/>
              </w:rPr>
              <w:t>不会对周边地表</w:t>
            </w:r>
            <w:r>
              <w:rPr>
                <w:rFonts w:hint="default" w:ascii="Times New Roman" w:hAnsi="Times New Roman" w:eastAsia="宋体" w:cs="Times New Roman"/>
                <w:color w:val="auto"/>
                <w:sz w:val="24"/>
                <w:szCs w:val="24"/>
                <w:highlight w:val="none"/>
                <w:shd w:val="clear" w:color="auto" w:fill="auto"/>
              </w:rPr>
              <w:t>水环境</w:t>
            </w:r>
            <w:r>
              <w:rPr>
                <w:rFonts w:hint="eastAsia" w:ascii="Times New Roman" w:hAnsi="Times New Roman" w:eastAsia="宋体" w:cs="Times New Roman"/>
                <w:color w:val="auto"/>
                <w:sz w:val="24"/>
                <w:szCs w:val="24"/>
                <w:highlight w:val="none"/>
                <w:shd w:val="clear" w:color="auto" w:fill="auto"/>
                <w:lang w:val="en-US" w:eastAsia="zh-CN"/>
              </w:rPr>
              <w:t>造成</w:t>
            </w:r>
            <w:r>
              <w:rPr>
                <w:rFonts w:hint="default" w:ascii="Times New Roman" w:hAnsi="Times New Roman" w:eastAsia="宋体" w:cs="Times New Roman"/>
                <w:color w:val="auto"/>
                <w:sz w:val="24"/>
                <w:szCs w:val="24"/>
                <w:highlight w:val="none"/>
                <w:shd w:val="clear" w:color="auto" w:fill="auto"/>
              </w:rPr>
              <w:t>影响</w:t>
            </w:r>
            <w:r>
              <w:rPr>
                <w:rFonts w:hint="eastAsia" w:eastAsia="宋体" w:cs="Times New Roman"/>
                <w:bCs/>
                <w:smallCaps w:val="0"/>
                <w:snapToGrid/>
                <w:color w:val="auto"/>
                <w:spacing w:val="0"/>
                <w:kern w:val="2"/>
                <w:position w:val="0"/>
                <w:sz w:val="24"/>
                <w:szCs w:val="24"/>
                <w:highlight w:val="none"/>
                <w:lang w:val="en-US" w:eastAsia="zh-CN" w:bidi="ar-SA"/>
              </w:rPr>
              <w:t>。</w:t>
            </w:r>
          </w:p>
          <w:p w14:paraId="09F84FB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2022年唐山市生态环境状况公报》，2022年全市共有地表水国、省考监测断面14个，分布于滦河、还乡河、陡河、青龙河、蓟运河、煤河、淋河、黎河、沙河9条河流，2022年国、省考核9条河流14个断面水质全部达标，11个断面达到地表水Ⅲ类及以上水质标准，优良（Ⅰ-Ⅲ）比例为78.57%。</w:t>
            </w:r>
          </w:p>
          <w:p w14:paraId="18EF0BD9">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地下水环境</w:t>
            </w:r>
          </w:p>
          <w:p w14:paraId="2E3F42F9">
            <w:pPr>
              <w:bidi w:val="0"/>
              <w:rPr>
                <w:rFonts w:hint="eastAsia"/>
                <w:color w:val="auto"/>
                <w:highlight w:val="none"/>
                <w:lang w:val="en-US" w:eastAsia="zh-CN"/>
              </w:rPr>
            </w:pPr>
            <w:r>
              <w:rPr>
                <w:rFonts w:hint="eastAsia"/>
                <w:color w:val="auto"/>
                <w:highlight w:val="none"/>
                <w:lang w:val="en-US" w:eastAsia="zh-CN"/>
              </w:rPr>
              <w:t>本项目不在地下水水源地保护区内，项目厂界外500米范围内无地下水集中式饮用水水源和热水、矿泉水、温泉等特殊地下水资源，地下水保护目标为占地范围内的潜水层。</w:t>
            </w:r>
          </w:p>
          <w:p w14:paraId="0F0A2CF3">
            <w:pPr>
              <w:bidi w:val="0"/>
              <w:rPr>
                <w:rFonts w:hint="eastAsia"/>
                <w:color w:val="auto"/>
                <w:lang w:val="en-US" w:eastAsia="zh-CN"/>
              </w:rPr>
            </w:pPr>
            <w:r>
              <w:rPr>
                <w:rFonts w:hint="eastAsia"/>
                <w:color w:val="auto"/>
                <w:lang w:val="en-US" w:eastAsia="zh-CN"/>
              </w:rPr>
              <w:t>本项目所用漆料密闭桶装储存于油漆库，油漆库地面防腐防渗处理</w:t>
            </w:r>
            <w:r>
              <w:rPr>
                <w:rFonts w:hint="eastAsia"/>
                <w:color w:val="auto"/>
                <w:sz w:val="24"/>
                <w:szCs w:val="24"/>
                <w:lang w:val="en-US" w:eastAsia="zh-CN"/>
              </w:rPr>
              <w:t>，</w:t>
            </w:r>
            <w:r>
              <w:rPr>
                <w:color w:val="auto"/>
                <w:sz w:val="24"/>
                <w:szCs w:val="24"/>
                <w:highlight w:val="none"/>
              </w:rPr>
              <w:t>防渗层渗透系数≤10</w:t>
            </w:r>
            <w:r>
              <w:rPr>
                <w:color w:val="auto"/>
                <w:sz w:val="24"/>
                <w:szCs w:val="24"/>
                <w:highlight w:val="none"/>
                <w:vertAlign w:val="superscript"/>
              </w:rPr>
              <w:t>-</w:t>
            </w:r>
            <w:r>
              <w:rPr>
                <w:rFonts w:hint="eastAsia"/>
                <w:color w:val="auto"/>
                <w:sz w:val="24"/>
                <w:szCs w:val="24"/>
                <w:highlight w:val="none"/>
                <w:vertAlign w:val="superscript"/>
              </w:rPr>
              <w:t>7</w:t>
            </w:r>
            <w:r>
              <w:rPr>
                <w:color w:val="auto"/>
                <w:sz w:val="24"/>
                <w:szCs w:val="24"/>
                <w:highlight w:val="none"/>
              </w:rPr>
              <w:t>cm/s</w:t>
            </w:r>
            <w:r>
              <w:rPr>
                <w:rFonts w:hint="eastAsia"/>
                <w:color w:val="auto"/>
                <w:sz w:val="24"/>
                <w:szCs w:val="24"/>
                <w:lang w:val="en-US" w:eastAsia="zh-CN"/>
              </w:rPr>
              <w:t>；</w:t>
            </w:r>
            <w:r>
              <w:rPr>
                <w:rFonts w:hint="eastAsia"/>
                <w:color w:val="auto"/>
                <w:lang w:val="en-US" w:eastAsia="zh-CN"/>
              </w:rPr>
              <w:t>废稀释剂桶装加盖，暂存于危废间内，危废间地面防腐防渗处理</w:t>
            </w:r>
            <w:r>
              <w:rPr>
                <w:rFonts w:hint="eastAsia"/>
                <w:color w:val="auto"/>
                <w:sz w:val="24"/>
                <w:szCs w:val="24"/>
                <w:lang w:val="en-US" w:eastAsia="zh-CN"/>
              </w:rPr>
              <w:t>，</w:t>
            </w:r>
            <w:r>
              <w:rPr>
                <w:color w:val="auto"/>
                <w:sz w:val="24"/>
                <w:szCs w:val="24"/>
                <w:highlight w:val="none"/>
              </w:rPr>
              <w:t>防渗层渗透系数≤10</w:t>
            </w:r>
            <w:r>
              <w:rPr>
                <w:color w:val="auto"/>
                <w:sz w:val="24"/>
                <w:szCs w:val="24"/>
                <w:highlight w:val="none"/>
                <w:vertAlign w:val="superscript"/>
              </w:rPr>
              <w:t>-</w:t>
            </w:r>
            <w:r>
              <w:rPr>
                <w:rFonts w:hint="eastAsia"/>
                <w:color w:val="auto"/>
                <w:sz w:val="24"/>
                <w:szCs w:val="24"/>
                <w:highlight w:val="none"/>
                <w:vertAlign w:val="superscript"/>
                <w:lang w:val="en-US" w:eastAsia="zh-CN"/>
              </w:rPr>
              <w:t>10</w:t>
            </w:r>
            <w:r>
              <w:rPr>
                <w:color w:val="auto"/>
                <w:sz w:val="24"/>
                <w:szCs w:val="24"/>
                <w:highlight w:val="none"/>
              </w:rPr>
              <w:t>cm/s</w:t>
            </w:r>
            <w:r>
              <w:rPr>
                <w:rFonts w:hint="eastAsia"/>
                <w:color w:val="auto"/>
                <w:lang w:val="en-US" w:eastAsia="zh-CN"/>
              </w:rPr>
              <w:t>；喷漆房地面防腐防渗处理</w:t>
            </w:r>
            <w:r>
              <w:rPr>
                <w:rFonts w:hint="eastAsia"/>
                <w:color w:val="auto"/>
                <w:sz w:val="24"/>
                <w:szCs w:val="24"/>
                <w:lang w:val="en-US" w:eastAsia="zh-CN"/>
              </w:rPr>
              <w:t>，</w:t>
            </w:r>
            <w:r>
              <w:rPr>
                <w:color w:val="auto"/>
                <w:sz w:val="24"/>
                <w:szCs w:val="24"/>
                <w:highlight w:val="none"/>
              </w:rPr>
              <w:t>防渗层渗透系数≤10</w:t>
            </w:r>
            <w:r>
              <w:rPr>
                <w:color w:val="auto"/>
                <w:sz w:val="24"/>
                <w:szCs w:val="24"/>
                <w:highlight w:val="none"/>
                <w:vertAlign w:val="superscript"/>
              </w:rPr>
              <w:t>-</w:t>
            </w:r>
            <w:r>
              <w:rPr>
                <w:rFonts w:hint="eastAsia"/>
                <w:color w:val="auto"/>
                <w:sz w:val="24"/>
                <w:szCs w:val="24"/>
                <w:highlight w:val="none"/>
                <w:vertAlign w:val="superscript"/>
              </w:rPr>
              <w:t>7</w:t>
            </w:r>
            <w:r>
              <w:rPr>
                <w:color w:val="auto"/>
                <w:sz w:val="24"/>
                <w:szCs w:val="24"/>
                <w:highlight w:val="none"/>
              </w:rPr>
              <w:t>cm/s</w:t>
            </w:r>
            <w:r>
              <w:rPr>
                <w:rFonts w:hint="eastAsia"/>
                <w:color w:val="auto"/>
                <w:lang w:val="en-US" w:eastAsia="zh-CN"/>
              </w:rPr>
              <w:t>。</w:t>
            </w:r>
          </w:p>
          <w:p w14:paraId="527D2759">
            <w:pPr>
              <w:bidi w:val="0"/>
              <w:rPr>
                <w:rFonts w:hint="default"/>
                <w:color w:val="auto"/>
                <w:lang w:val="en-US" w:eastAsia="zh-CN"/>
              </w:rPr>
            </w:pPr>
            <w:r>
              <w:rPr>
                <w:rFonts w:hint="eastAsia"/>
                <w:color w:val="auto"/>
                <w:lang w:val="en-US" w:eastAsia="zh-CN"/>
              </w:rPr>
              <w:t>综上所述，本项目采取相应措施后，阻断了地下水环境污染途径，现有工程无地下水污染途径，故不开展地下水环境质量现状调查。</w:t>
            </w:r>
          </w:p>
          <w:p w14:paraId="318CC585">
            <w:pPr>
              <w:bidi w:val="0"/>
              <w:ind w:left="0" w:leftChars="0" w:firstLine="0" w:firstLineChars="0"/>
              <w:rPr>
                <w:b/>
                <w:bCs/>
                <w:color w:val="auto"/>
                <w:highlight w:val="none"/>
              </w:rPr>
            </w:pPr>
            <w:r>
              <w:rPr>
                <w:rFonts w:hint="eastAsia"/>
                <w:b/>
                <w:bCs/>
                <w:color w:val="auto"/>
                <w:highlight w:val="none"/>
                <w:lang w:val="en-US" w:eastAsia="zh-CN"/>
              </w:rPr>
              <w:t>5</w:t>
            </w:r>
            <w:r>
              <w:rPr>
                <w:b/>
                <w:bCs/>
                <w:color w:val="auto"/>
                <w:highlight w:val="none"/>
              </w:rPr>
              <w:t>、生态</w:t>
            </w:r>
          </w:p>
          <w:p w14:paraId="5829B0EE">
            <w:pPr>
              <w:bidi w:val="0"/>
              <w:rPr>
                <w:rFonts w:hint="default"/>
                <w:color w:val="auto"/>
                <w:highlight w:val="none"/>
                <w:lang w:val="zh-CN"/>
              </w:rPr>
            </w:pPr>
            <w:r>
              <w:rPr>
                <w:rFonts w:hint="eastAsia"/>
                <w:color w:val="auto"/>
                <w:highlight w:val="none"/>
                <w:lang w:val="en-US" w:eastAsia="zh-CN"/>
              </w:rPr>
              <w:t>本项目</w:t>
            </w:r>
            <w:r>
              <w:rPr>
                <w:rFonts w:hint="eastAsia"/>
                <w:color w:val="auto"/>
                <w:highlight w:val="none"/>
                <w:lang w:val="zh-CN" w:eastAsia="zh-CN"/>
              </w:rPr>
              <w:t>不新增占地，</w:t>
            </w:r>
            <w:r>
              <w:rPr>
                <w:rFonts w:hint="eastAsia"/>
                <w:color w:val="auto"/>
                <w:highlight w:val="none"/>
                <w:lang w:val="en-US" w:eastAsia="zh-CN"/>
              </w:rPr>
              <w:t>在现有厂区内进行建设，</w:t>
            </w:r>
            <w:r>
              <w:rPr>
                <w:rFonts w:hint="eastAsia"/>
                <w:color w:val="auto"/>
                <w:szCs w:val="21"/>
                <w:highlight w:val="none"/>
              </w:rPr>
              <w:t>无需</w:t>
            </w:r>
            <w:r>
              <w:rPr>
                <w:color w:val="auto"/>
                <w:szCs w:val="21"/>
                <w:highlight w:val="none"/>
              </w:rPr>
              <w:t>开展</w:t>
            </w:r>
            <w:r>
              <w:rPr>
                <w:rFonts w:hint="eastAsia"/>
                <w:color w:val="auto"/>
                <w:szCs w:val="21"/>
                <w:highlight w:val="none"/>
              </w:rPr>
              <w:t>生态</w:t>
            </w:r>
            <w:r>
              <w:rPr>
                <w:color w:val="auto"/>
                <w:szCs w:val="21"/>
                <w:highlight w:val="none"/>
              </w:rPr>
              <w:t>现状调查</w:t>
            </w:r>
            <w:r>
              <w:rPr>
                <w:rFonts w:hint="eastAsia"/>
                <w:color w:val="auto"/>
                <w:highlight w:val="none"/>
                <w:lang w:val="zh-CN"/>
              </w:rPr>
              <w:t>。</w:t>
            </w:r>
          </w:p>
          <w:p w14:paraId="62ADFB4D">
            <w:pPr>
              <w:keepNext w:val="0"/>
              <w:keepLines w:val="0"/>
              <w:pageBreakBefore w:val="0"/>
              <w:widowControl w:val="0"/>
              <w:numPr>
                <w:ilvl w:val="0"/>
                <w:numId w:val="24"/>
              </w:numPr>
              <w:kinsoku/>
              <w:wordWrap/>
              <w:overflowPunct/>
              <w:topLinePunct w:val="0"/>
              <w:autoSpaceDE/>
              <w:autoSpaceDN/>
              <w:bidi w:val="0"/>
              <w:adjustRightInd/>
              <w:snapToGrid/>
              <w:spacing w:line="480" w:lineRule="atLeast"/>
              <w:ind w:firstLine="0" w:firstLineChars="0"/>
              <w:textAlignment w:val="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电磁辐射</w:t>
            </w:r>
          </w:p>
          <w:p w14:paraId="21C8B0BD">
            <w:pPr>
              <w:bidi w:val="0"/>
              <w:rPr>
                <w:rFonts w:hint="default"/>
                <w:color w:val="auto"/>
                <w:highlight w:val="none"/>
                <w:lang w:val="en-US" w:eastAsia="zh-CN"/>
              </w:rPr>
            </w:pPr>
            <w:r>
              <w:rPr>
                <w:rFonts w:hint="eastAsia"/>
                <w:color w:val="auto"/>
                <w:highlight w:val="none"/>
                <w:lang w:val="en-US" w:eastAsia="zh-CN"/>
              </w:rPr>
              <w:t>本项目为C3360金属表面处理及热处理加工，不涉及电磁辐射。</w:t>
            </w:r>
          </w:p>
          <w:p w14:paraId="3DD5E20B">
            <w:pPr>
              <w:numPr>
                <w:ilvl w:val="0"/>
                <w:numId w:val="24"/>
              </w:numPr>
              <w:ind w:left="0" w:leftChars="0" w:firstLine="0" w:firstLineChars="0"/>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土壤环境</w:t>
            </w:r>
          </w:p>
          <w:p w14:paraId="2206147C">
            <w:pPr>
              <w:bidi w:val="0"/>
              <w:rPr>
                <w:rFonts w:hint="eastAsia"/>
                <w:color w:val="auto"/>
                <w:highlight w:val="none"/>
                <w:lang w:val="en-US" w:eastAsia="zh-CN"/>
              </w:rPr>
            </w:pPr>
            <w:r>
              <w:rPr>
                <w:rFonts w:hint="eastAsia"/>
                <w:color w:val="auto"/>
                <w:lang w:val="en-US" w:eastAsia="zh-CN"/>
              </w:rPr>
              <w:t>本项目所用漆料密闭桶装储存于油漆库，油漆库地面防腐防渗处理</w:t>
            </w:r>
            <w:r>
              <w:rPr>
                <w:rFonts w:hint="eastAsia"/>
                <w:color w:val="auto"/>
                <w:sz w:val="24"/>
                <w:szCs w:val="24"/>
                <w:lang w:val="en-US" w:eastAsia="zh-CN"/>
              </w:rPr>
              <w:t>，</w:t>
            </w:r>
            <w:r>
              <w:rPr>
                <w:color w:val="auto"/>
                <w:sz w:val="24"/>
                <w:szCs w:val="24"/>
                <w:highlight w:val="none"/>
              </w:rPr>
              <w:t>防渗层渗透系数≤10</w:t>
            </w:r>
            <w:r>
              <w:rPr>
                <w:color w:val="auto"/>
                <w:sz w:val="24"/>
                <w:szCs w:val="24"/>
                <w:highlight w:val="none"/>
                <w:vertAlign w:val="superscript"/>
              </w:rPr>
              <w:t>-</w:t>
            </w:r>
            <w:r>
              <w:rPr>
                <w:rFonts w:hint="eastAsia"/>
                <w:color w:val="auto"/>
                <w:sz w:val="24"/>
                <w:szCs w:val="24"/>
                <w:highlight w:val="none"/>
                <w:vertAlign w:val="superscript"/>
              </w:rPr>
              <w:t>7</w:t>
            </w:r>
            <w:r>
              <w:rPr>
                <w:color w:val="auto"/>
                <w:sz w:val="24"/>
                <w:szCs w:val="24"/>
                <w:highlight w:val="none"/>
              </w:rPr>
              <w:t>cm/s</w:t>
            </w:r>
            <w:r>
              <w:rPr>
                <w:rFonts w:hint="eastAsia"/>
                <w:color w:val="auto"/>
                <w:sz w:val="24"/>
                <w:szCs w:val="24"/>
                <w:lang w:val="en-US" w:eastAsia="zh-CN"/>
              </w:rPr>
              <w:t>；</w:t>
            </w:r>
            <w:r>
              <w:rPr>
                <w:rFonts w:hint="eastAsia"/>
                <w:color w:val="auto"/>
                <w:lang w:val="en-US" w:eastAsia="zh-CN"/>
              </w:rPr>
              <w:t>废稀释剂桶装加盖，暂存于危废间内，危废间地面防腐防渗处理</w:t>
            </w:r>
            <w:r>
              <w:rPr>
                <w:rFonts w:hint="eastAsia"/>
                <w:color w:val="auto"/>
                <w:sz w:val="24"/>
                <w:szCs w:val="24"/>
                <w:lang w:val="en-US" w:eastAsia="zh-CN"/>
              </w:rPr>
              <w:t>，</w:t>
            </w:r>
            <w:r>
              <w:rPr>
                <w:color w:val="auto"/>
                <w:sz w:val="24"/>
                <w:szCs w:val="24"/>
                <w:highlight w:val="none"/>
              </w:rPr>
              <w:t>防渗层渗透系数≤10</w:t>
            </w:r>
            <w:r>
              <w:rPr>
                <w:color w:val="auto"/>
                <w:sz w:val="24"/>
                <w:szCs w:val="24"/>
                <w:highlight w:val="none"/>
                <w:vertAlign w:val="superscript"/>
              </w:rPr>
              <w:t>-</w:t>
            </w:r>
            <w:r>
              <w:rPr>
                <w:rFonts w:hint="eastAsia"/>
                <w:color w:val="auto"/>
                <w:sz w:val="24"/>
                <w:szCs w:val="24"/>
                <w:highlight w:val="none"/>
                <w:vertAlign w:val="superscript"/>
                <w:lang w:val="en-US" w:eastAsia="zh-CN"/>
              </w:rPr>
              <w:t>10</w:t>
            </w:r>
            <w:r>
              <w:rPr>
                <w:color w:val="auto"/>
                <w:sz w:val="24"/>
                <w:szCs w:val="24"/>
                <w:highlight w:val="none"/>
              </w:rPr>
              <w:t>cm/s</w:t>
            </w:r>
            <w:r>
              <w:rPr>
                <w:rFonts w:hint="eastAsia"/>
                <w:color w:val="auto"/>
                <w:lang w:val="en-US" w:eastAsia="zh-CN"/>
              </w:rPr>
              <w:t>；喷漆房地面防腐防渗处理</w:t>
            </w:r>
            <w:r>
              <w:rPr>
                <w:rFonts w:hint="eastAsia"/>
                <w:color w:val="auto"/>
                <w:sz w:val="24"/>
                <w:szCs w:val="24"/>
                <w:lang w:val="en-US" w:eastAsia="zh-CN"/>
              </w:rPr>
              <w:t>，</w:t>
            </w:r>
            <w:r>
              <w:rPr>
                <w:color w:val="auto"/>
                <w:sz w:val="24"/>
                <w:szCs w:val="24"/>
                <w:highlight w:val="none"/>
              </w:rPr>
              <w:t>防渗层渗透系数≤10</w:t>
            </w:r>
            <w:r>
              <w:rPr>
                <w:color w:val="auto"/>
                <w:sz w:val="24"/>
                <w:szCs w:val="24"/>
                <w:highlight w:val="none"/>
                <w:vertAlign w:val="superscript"/>
              </w:rPr>
              <w:t>-</w:t>
            </w:r>
            <w:r>
              <w:rPr>
                <w:rFonts w:hint="eastAsia"/>
                <w:color w:val="auto"/>
                <w:sz w:val="24"/>
                <w:szCs w:val="24"/>
                <w:highlight w:val="none"/>
                <w:vertAlign w:val="superscript"/>
              </w:rPr>
              <w:t>7</w:t>
            </w:r>
            <w:r>
              <w:rPr>
                <w:color w:val="auto"/>
                <w:sz w:val="24"/>
                <w:szCs w:val="24"/>
                <w:highlight w:val="none"/>
              </w:rPr>
              <w:t>cm/s</w:t>
            </w:r>
            <w:r>
              <w:rPr>
                <w:rFonts w:hint="eastAsia"/>
                <w:color w:val="auto"/>
                <w:lang w:val="en-US" w:eastAsia="zh-CN"/>
              </w:rPr>
              <w:t>。</w:t>
            </w:r>
          </w:p>
          <w:p w14:paraId="54742492">
            <w:pPr>
              <w:bidi w:val="0"/>
              <w:rPr>
                <w:rFonts w:hint="eastAsia"/>
                <w:color w:val="auto"/>
                <w:highlight w:val="none"/>
                <w:lang w:val="en-US" w:eastAsia="zh-CN"/>
              </w:rPr>
            </w:pPr>
            <w:r>
              <w:rPr>
                <w:rFonts w:hint="eastAsia"/>
                <w:color w:val="auto"/>
                <w:lang w:val="en-US" w:eastAsia="zh-CN"/>
              </w:rPr>
              <w:t>综上所述，本项目采取相应措施后，阻断了土壤环境污染途径，现有工程无土壤污染途径，故不开展土壤环境质量现状调查。</w:t>
            </w:r>
          </w:p>
        </w:tc>
      </w:tr>
      <w:tr w14:paraId="3C40F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854" w:type="dxa"/>
            <w:noWrap w:val="0"/>
            <w:vAlign w:val="center"/>
          </w:tcPr>
          <w:p w14:paraId="4B662C1F">
            <w:pPr>
              <w:pStyle w:val="31"/>
              <w:bidi w:val="0"/>
              <w:rPr>
                <w:rFonts w:hint="eastAsia"/>
                <w:color w:val="auto"/>
                <w:sz w:val="24"/>
                <w:szCs w:val="24"/>
                <w:highlight w:val="none"/>
              </w:rPr>
            </w:pPr>
            <w:r>
              <w:rPr>
                <w:rFonts w:hint="eastAsia"/>
                <w:color w:val="auto"/>
                <w:sz w:val="24"/>
                <w:szCs w:val="24"/>
                <w:highlight w:val="none"/>
              </w:rPr>
              <w:t>环境</w:t>
            </w:r>
          </w:p>
          <w:p w14:paraId="49780170">
            <w:pPr>
              <w:pStyle w:val="31"/>
              <w:bidi w:val="0"/>
              <w:rPr>
                <w:rFonts w:hint="eastAsia"/>
                <w:color w:val="auto"/>
                <w:sz w:val="24"/>
                <w:szCs w:val="24"/>
                <w:highlight w:val="none"/>
              </w:rPr>
            </w:pPr>
            <w:r>
              <w:rPr>
                <w:rFonts w:hint="eastAsia"/>
                <w:color w:val="auto"/>
                <w:sz w:val="24"/>
                <w:szCs w:val="24"/>
                <w:highlight w:val="none"/>
              </w:rPr>
              <w:t>保护</w:t>
            </w:r>
          </w:p>
          <w:p w14:paraId="73596805">
            <w:pPr>
              <w:pStyle w:val="31"/>
              <w:bidi w:val="0"/>
              <w:ind w:firstLine="0" w:firstLineChars="0"/>
              <w:rPr>
                <w:rFonts w:hint="eastAsia" w:ascii="Times New Roman" w:hAnsi="Times New Roman" w:eastAsia="宋体" w:cs="Times New Roman"/>
                <w:color w:val="auto"/>
                <w:kern w:val="1"/>
                <w:sz w:val="24"/>
                <w:szCs w:val="24"/>
                <w:highlight w:val="none"/>
                <w:lang w:val="en-US" w:eastAsia="zh-CN" w:bidi="ar-SA"/>
              </w:rPr>
            </w:pPr>
            <w:r>
              <w:rPr>
                <w:rFonts w:hint="eastAsia"/>
                <w:color w:val="auto"/>
                <w:sz w:val="24"/>
                <w:szCs w:val="24"/>
                <w:highlight w:val="none"/>
              </w:rPr>
              <w:t>目标</w:t>
            </w:r>
          </w:p>
        </w:tc>
        <w:tc>
          <w:tcPr>
            <w:tcW w:w="8500" w:type="dxa"/>
            <w:noWrap w:val="0"/>
            <w:vAlign w:val="center"/>
          </w:tcPr>
          <w:p w14:paraId="2775DD31">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大气环境：厂界外500m范围内</w:t>
            </w:r>
            <w:r>
              <w:rPr>
                <w:rFonts w:hint="eastAsia"/>
                <w:b w:val="0"/>
                <w:bCs w:val="0"/>
                <w:color w:val="auto"/>
                <w:sz w:val="24"/>
                <w:szCs w:val="24"/>
                <w:highlight w:val="none"/>
                <w:lang w:val="en-US" w:eastAsia="zh-CN"/>
              </w:rPr>
              <w:t>的大气环境保护目标为</w:t>
            </w:r>
            <w:r>
              <w:rPr>
                <w:rFonts w:hint="eastAsia"/>
                <w:color w:val="auto"/>
                <w:sz w:val="24"/>
                <w:szCs w:val="24"/>
                <w:highlight w:val="none"/>
                <w:lang w:val="en-US" w:eastAsia="zh-CN"/>
              </w:rPr>
              <w:t>西侧31m处的高新实验小学（距离教学楼100m）、西南侧68m处的唐山市高新中学（距离教学楼170m）和南侧56m处的国贸府</w:t>
            </w:r>
            <w:r>
              <w:rPr>
                <w:rFonts w:hint="eastAsia" w:ascii="Times New Roman" w:hAnsi="Times New Roman" w:eastAsia="宋体"/>
                <w:b w:val="0"/>
                <w:bCs w:val="0"/>
                <w:color w:val="auto"/>
                <w:sz w:val="24"/>
                <w:szCs w:val="24"/>
                <w:highlight w:val="none"/>
                <w:lang w:val="en-US" w:eastAsia="zh-CN"/>
              </w:rPr>
              <w:t>；</w:t>
            </w:r>
          </w:p>
          <w:p w14:paraId="38B82005">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声环境：厂界外50m范围内</w:t>
            </w:r>
            <w:r>
              <w:rPr>
                <w:rFonts w:hint="eastAsia"/>
                <w:b w:val="0"/>
                <w:bCs w:val="0"/>
                <w:color w:val="auto"/>
                <w:sz w:val="24"/>
                <w:szCs w:val="24"/>
                <w:highlight w:val="none"/>
                <w:lang w:val="en-US" w:eastAsia="zh-CN"/>
              </w:rPr>
              <w:t>无</w:t>
            </w:r>
            <w:r>
              <w:rPr>
                <w:rFonts w:hint="eastAsia" w:ascii="Times New Roman" w:hAnsi="Times New Roman" w:eastAsia="宋体"/>
                <w:b w:val="0"/>
                <w:bCs w:val="0"/>
                <w:color w:val="auto"/>
                <w:sz w:val="24"/>
                <w:szCs w:val="24"/>
                <w:highlight w:val="none"/>
                <w:lang w:val="en-US" w:eastAsia="zh-CN"/>
              </w:rPr>
              <w:t>声环境保护目标；</w:t>
            </w:r>
          </w:p>
          <w:p w14:paraId="0B4FF36D">
            <w:pPr>
              <w:bidi w:val="0"/>
              <w:rPr>
                <w:rFonts w:hint="eastAsia"/>
                <w:color w:val="auto"/>
                <w:highlight w:val="none"/>
                <w:lang w:val="en-US" w:eastAsia="zh-CN"/>
              </w:rPr>
            </w:pPr>
            <w:r>
              <w:rPr>
                <w:rFonts w:hint="eastAsia"/>
                <w:color w:val="auto"/>
                <w:highlight w:val="none"/>
                <w:lang w:val="en-US" w:eastAsia="zh-CN"/>
              </w:rPr>
              <w:t>地下水环境：厂界外500m范围内无地下水集中式饮用水水源和热水、矿泉水、温泉等特殊地下水资源，地下水环境保护目标主要为占地范围内的潜水层；</w:t>
            </w:r>
          </w:p>
          <w:p w14:paraId="282D7D68">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eastAsia"/>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生态环境：本项目用地范围内无生态环境保护目标</w:t>
            </w:r>
            <w:r>
              <w:rPr>
                <w:rFonts w:hint="eastAsia"/>
                <w:color w:val="auto"/>
                <w:sz w:val="24"/>
                <w:szCs w:val="24"/>
                <w:highlight w:val="none"/>
                <w:lang w:val="en-US" w:eastAsia="zh-CN"/>
              </w:rPr>
              <w:t>。</w:t>
            </w:r>
          </w:p>
          <w:p w14:paraId="4C47CF3D">
            <w:pPr>
              <w:bidi w:val="0"/>
              <w:rPr>
                <w:rFonts w:hint="default"/>
                <w:color w:val="auto"/>
                <w:highlight w:val="none"/>
              </w:rPr>
            </w:pPr>
            <w:r>
              <w:rPr>
                <w:rFonts w:hint="eastAsia"/>
                <w:color w:val="auto"/>
                <w:highlight w:val="none"/>
                <w:lang w:val="en-US" w:eastAsia="zh-CN"/>
              </w:rPr>
              <w:t>本项目</w:t>
            </w:r>
            <w:r>
              <w:rPr>
                <w:rFonts w:hint="default"/>
                <w:color w:val="auto"/>
                <w:highlight w:val="none"/>
              </w:rPr>
              <w:t>环境保护目标见下表。</w:t>
            </w:r>
          </w:p>
          <w:p w14:paraId="0EA3C198">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p>
          <w:p w14:paraId="408751EA">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p>
          <w:p w14:paraId="4493E478">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p>
          <w:p w14:paraId="4A9565F7">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p>
          <w:p w14:paraId="62B7E06F">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eastAsia" w:cs="Times New Roman"/>
                <w:b/>
                <w:bCs/>
                <w:color w:val="auto"/>
                <w:sz w:val="21"/>
                <w:szCs w:val="21"/>
                <w:highlight w:val="none"/>
                <w:lang w:val="en-US" w:eastAsia="zh-CN"/>
              </w:rPr>
              <w:t>31</w:t>
            </w:r>
            <w:r>
              <w:rPr>
                <w:rFonts w:hint="default" w:ascii="Times New Roman" w:hAnsi="Times New Roman" w:eastAsia="宋体" w:cs="Times New Roman"/>
                <w:b/>
                <w:bCs/>
                <w:color w:val="auto"/>
                <w:sz w:val="21"/>
                <w:szCs w:val="21"/>
                <w:highlight w:val="none"/>
                <w:lang w:eastAsia="zh-CN"/>
              </w:rPr>
              <w:t xml:space="preserve">  环境保护目标一览表</w:t>
            </w:r>
          </w:p>
          <w:tbl>
            <w:tblPr>
              <w:tblStyle w:val="24"/>
              <w:tblW w:w="8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117"/>
              <w:gridCol w:w="1200"/>
              <w:gridCol w:w="1125"/>
              <w:gridCol w:w="653"/>
              <w:gridCol w:w="821"/>
              <w:gridCol w:w="775"/>
              <w:gridCol w:w="729"/>
              <w:gridCol w:w="932"/>
            </w:tblGrid>
            <w:tr w14:paraId="72581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57" w:type="dxa"/>
                  <w:vMerge w:val="restart"/>
                  <w:tcBorders>
                    <w:tl2br w:val="nil"/>
                    <w:tr2bl w:val="nil"/>
                  </w:tcBorders>
                  <w:noWrap w:val="0"/>
                  <w:vAlign w:val="center"/>
                </w:tcPr>
                <w:p w14:paraId="3D74A8C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类别</w:t>
                  </w:r>
                </w:p>
              </w:tc>
              <w:tc>
                <w:tcPr>
                  <w:tcW w:w="1103" w:type="dxa"/>
                  <w:vMerge w:val="restart"/>
                  <w:tcBorders>
                    <w:tl2br w:val="nil"/>
                    <w:tr2bl w:val="nil"/>
                  </w:tcBorders>
                  <w:noWrap w:val="0"/>
                  <w:vAlign w:val="center"/>
                </w:tcPr>
                <w:p w14:paraId="08C0925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名称</w:t>
                  </w:r>
                </w:p>
              </w:tc>
              <w:tc>
                <w:tcPr>
                  <w:tcW w:w="2295" w:type="dxa"/>
                  <w:gridSpan w:val="2"/>
                  <w:tcBorders>
                    <w:tl2br w:val="nil"/>
                    <w:tr2bl w:val="nil"/>
                  </w:tcBorders>
                  <w:noWrap w:val="0"/>
                  <w:vAlign w:val="center"/>
                </w:tcPr>
                <w:p w14:paraId="6A9CE66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坐标</w:t>
                  </w:r>
                </w:p>
              </w:tc>
              <w:tc>
                <w:tcPr>
                  <w:tcW w:w="645" w:type="dxa"/>
                  <w:vMerge w:val="restart"/>
                  <w:tcBorders>
                    <w:tl2br w:val="nil"/>
                    <w:tr2bl w:val="nil"/>
                  </w:tcBorders>
                  <w:noWrap w:val="0"/>
                  <w:vAlign w:val="center"/>
                </w:tcPr>
                <w:p w14:paraId="5BB9320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保护对象</w:t>
                  </w:r>
                </w:p>
              </w:tc>
              <w:tc>
                <w:tcPr>
                  <w:tcW w:w="810" w:type="dxa"/>
                  <w:vMerge w:val="restart"/>
                  <w:tcBorders>
                    <w:tl2br w:val="nil"/>
                    <w:tr2bl w:val="nil"/>
                  </w:tcBorders>
                  <w:noWrap w:val="0"/>
                  <w:vAlign w:val="center"/>
                </w:tcPr>
                <w:p w14:paraId="4FB0741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保护内容</w:t>
                  </w:r>
                </w:p>
              </w:tc>
              <w:tc>
                <w:tcPr>
                  <w:tcW w:w="765" w:type="dxa"/>
                  <w:vMerge w:val="restart"/>
                  <w:tcBorders>
                    <w:tl2br w:val="nil"/>
                    <w:tr2bl w:val="nil"/>
                  </w:tcBorders>
                  <w:noWrap w:val="0"/>
                  <w:vAlign w:val="center"/>
                </w:tcPr>
                <w:p w14:paraId="73F65F6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环境功能区</w:t>
                  </w:r>
                </w:p>
              </w:tc>
              <w:tc>
                <w:tcPr>
                  <w:tcW w:w="720" w:type="dxa"/>
                  <w:vMerge w:val="restart"/>
                  <w:tcBorders>
                    <w:tl2br w:val="nil"/>
                    <w:tr2bl w:val="nil"/>
                  </w:tcBorders>
                  <w:noWrap w:val="0"/>
                  <w:vAlign w:val="center"/>
                </w:tcPr>
                <w:p w14:paraId="0948903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相对厂址方位</w:t>
                  </w:r>
                </w:p>
              </w:tc>
              <w:tc>
                <w:tcPr>
                  <w:tcW w:w="919" w:type="dxa"/>
                  <w:vMerge w:val="restart"/>
                  <w:tcBorders>
                    <w:tl2br w:val="nil"/>
                    <w:tr2bl w:val="nil"/>
                  </w:tcBorders>
                  <w:noWrap w:val="0"/>
                  <w:vAlign w:val="center"/>
                </w:tcPr>
                <w:p w14:paraId="0C82896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相对厂界距离</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eastAsia" w:cs="Times New Roman"/>
                      <w:color w:val="auto"/>
                      <w:sz w:val="21"/>
                      <w:szCs w:val="21"/>
                      <w:highlight w:val="none"/>
                      <w:lang w:eastAsia="zh-CN"/>
                    </w:rPr>
                    <w:t>）</w:t>
                  </w:r>
                </w:p>
              </w:tc>
            </w:tr>
            <w:tr w14:paraId="77D53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57" w:type="dxa"/>
                  <w:vMerge w:val="continue"/>
                  <w:tcBorders>
                    <w:tl2br w:val="nil"/>
                    <w:tr2bl w:val="nil"/>
                  </w:tcBorders>
                  <w:noWrap w:val="0"/>
                  <w:vAlign w:val="center"/>
                </w:tcPr>
                <w:p w14:paraId="714F3EA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color w:val="auto"/>
                      <w:sz w:val="21"/>
                      <w:szCs w:val="21"/>
                      <w:highlight w:val="none"/>
                    </w:rPr>
                  </w:pPr>
                </w:p>
              </w:tc>
              <w:tc>
                <w:tcPr>
                  <w:tcW w:w="1103" w:type="dxa"/>
                  <w:vMerge w:val="continue"/>
                  <w:tcBorders>
                    <w:tl2br w:val="nil"/>
                    <w:tr2bl w:val="nil"/>
                  </w:tcBorders>
                  <w:noWrap w:val="0"/>
                  <w:vAlign w:val="center"/>
                </w:tcPr>
                <w:p w14:paraId="6A4705D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1185" w:type="dxa"/>
                  <w:tcBorders>
                    <w:tl2br w:val="nil"/>
                    <w:tr2bl w:val="nil"/>
                  </w:tcBorders>
                  <w:noWrap w:val="0"/>
                  <w:vAlign w:val="center"/>
                </w:tcPr>
                <w:p w14:paraId="0FB4752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东经（°）</w:t>
                  </w:r>
                </w:p>
              </w:tc>
              <w:tc>
                <w:tcPr>
                  <w:tcW w:w="1110" w:type="dxa"/>
                  <w:tcBorders>
                    <w:tl2br w:val="nil"/>
                    <w:tr2bl w:val="nil"/>
                  </w:tcBorders>
                  <w:noWrap w:val="0"/>
                  <w:vAlign w:val="center"/>
                </w:tcPr>
                <w:p w14:paraId="0B59915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北纬（°）</w:t>
                  </w:r>
                </w:p>
              </w:tc>
              <w:tc>
                <w:tcPr>
                  <w:tcW w:w="645" w:type="dxa"/>
                  <w:vMerge w:val="continue"/>
                  <w:tcBorders>
                    <w:tl2br w:val="nil"/>
                    <w:tr2bl w:val="nil"/>
                  </w:tcBorders>
                  <w:noWrap w:val="0"/>
                  <w:vAlign w:val="center"/>
                </w:tcPr>
                <w:p w14:paraId="646E1A6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810" w:type="dxa"/>
                  <w:vMerge w:val="continue"/>
                  <w:tcBorders>
                    <w:tl2br w:val="nil"/>
                    <w:tr2bl w:val="nil"/>
                  </w:tcBorders>
                  <w:noWrap w:val="0"/>
                  <w:vAlign w:val="center"/>
                </w:tcPr>
                <w:p w14:paraId="2752CF0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765" w:type="dxa"/>
                  <w:vMerge w:val="continue"/>
                  <w:tcBorders>
                    <w:tl2br w:val="nil"/>
                    <w:tr2bl w:val="nil"/>
                  </w:tcBorders>
                  <w:noWrap w:val="0"/>
                  <w:vAlign w:val="center"/>
                </w:tcPr>
                <w:p w14:paraId="27C4630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720" w:type="dxa"/>
                  <w:vMerge w:val="continue"/>
                  <w:tcBorders>
                    <w:tl2br w:val="nil"/>
                    <w:tr2bl w:val="nil"/>
                  </w:tcBorders>
                  <w:noWrap w:val="0"/>
                  <w:vAlign w:val="center"/>
                </w:tcPr>
                <w:p w14:paraId="6F17615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19" w:type="dxa"/>
                  <w:vMerge w:val="continue"/>
                  <w:tcBorders>
                    <w:tl2br w:val="nil"/>
                    <w:tr2bl w:val="nil"/>
                  </w:tcBorders>
                  <w:noWrap w:val="0"/>
                  <w:vAlign w:val="center"/>
                </w:tcPr>
                <w:p w14:paraId="072862C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r>
            <w:tr w14:paraId="325A8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7" w:type="dxa"/>
                  <w:vMerge w:val="restart"/>
                  <w:tcBorders>
                    <w:tl2br w:val="nil"/>
                    <w:tr2bl w:val="nil"/>
                  </w:tcBorders>
                  <w:noWrap w:val="0"/>
                  <w:vAlign w:val="center"/>
                </w:tcPr>
                <w:p w14:paraId="77B2598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大气环境</w:t>
                  </w:r>
                </w:p>
              </w:tc>
              <w:tc>
                <w:tcPr>
                  <w:tcW w:w="1103" w:type="dxa"/>
                  <w:tcBorders>
                    <w:tl2br w:val="nil"/>
                    <w:tr2bl w:val="nil"/>
                  </w:tcBorders>
                  <w:noWrap w:val="0"/>
                  <w:vAlign w:val="center"/>
                </w:tcPr>
                <w:p w14:paraId="0B9E13A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高新实验小学</w:t>
                  </w:r>
                </w:p>
              </w:tc>
              <w:tc>
                <w:tcPr>
                  <w:tcW w:w="1185" w:type="dxa"/>
                  <w:tcBorders>
                    <w:tl2br w:val="nil"/>
                    <w:tr2bl w:val="nil"/>
                  </w:tcBorders>
                  <w:noWrap w:val="0"/>
                  <w:vAlign w:val="center"/>
                </w:tcPr>
                <w:p w14:paraId="6C85626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118.147889</w:t>
                  </w:r>
                </w:p>
              </w:tc>
              <w:tc>
                <w:tcPr>
                  <w:tcW w:w="1110" w:type="dxa"/>
                  <w:tcBorders>
                    <w:tl2br w:val="nil"/>
                    <w:tr2bl w:val="nil"/>
                  </w:tcBorders>
                  <w:noWrap w:val="0"/>
                  <w:vAlign w:val="center"/>
                </w:tcPr>
                <w:p w14:paraId="6FC6593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39.685018</w:t>
                  </w:r>
                </w:p>
              </w:tc>
              <w:tc>
                <w:tcPr>
                  <w:tcW w:w="645" w:type="dxa"/>
                  <w:tcBorders>
                    <w:tl2br w:val="nil"/>
                    <w:tr2bl w:val="nil"/>
                  </w:tcBorders>
                  <w:noWrap w:val="0"/>
                  <w:vAlign w:val="center"/>
                </w:tcPr>
                <w:p w14:paraId="5EC29DE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师生</w:t>
                  </w:r>
                </w:p>
              </w:tc>
              <w:tc>
                <w:tcPr>
                  <w:tcW w:w="810" w:type="dxa"/>
                  <w:tcBorders>
                    <w:tl2br w:val="nil"/>
                    <w:tr2bl w:val="nil"/>
                  </w:tcBorders>
                  <w:noWrap w:val="0"/>
                  <w:vAlign w:val="center"/>
                </w:tcPr>
                <w:p w14:paraId="14A8B23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文化教育</w:t>
                  </w:r>
                </w:p>
              </w:tc>
              <w:tc>
                <w:tcPr>
                  <w:tcW w:w="765" w:type="dxa"/>
                  <w:tcBorders>
                    <w:tl2br w:val="nil"/>
                    <w:tr2bl w:val="nil"/>
                  </w:tcBorders>
                  <w:noWrap w:val="0"/>
                  <w:vAlign w:val="center"/>
                </w:tcPr>
                <w:p w14:paraId="2662DAF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二类区</w:t>
                  </w:r>
                </w:p>
              </w:tc>
              <w:tc>
                <w:tcPr>
                  <w:tcW w:w="720" w:type="dxa"/>
                  <w:tcBorders>
                    <w:tl2br w:val="nil"/>
                    <w:tr2bl w:val="nil"/>
                  </w:tcBorders>
                  <w:noWrap w:val="0"/>
                  <w:vAlign w:val="center"/>
                </w:tcPr>
                <w:p w14:paraId="632926F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w:t>
                  </w:r>
                </w:p>
              </w:tc>
              <w:tc>
                <w:tcPr>
                  <w:tcW w:w="919" w:type="dxa"/>
                  <w:tcBorders>
                    <w:tl2br w:val="nil"/>
                    <w:tr2bl w:val="nil"/>
                  </w:tcBorders>
                  <w:noWrap w:val="0"/>
                  <w:vAlign w:val="center"/>
                </w:tcPr>
                <w:p w14:paraId="3DFDA2F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31（距教学楼100m）</w:t>
                  </w:r>
                </w:p>
              </w:tc>
            </w:tr>
            <w:tr w14:paraId="1C7F3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7" w:type="dxa"/>
                  <w:vMerge w:val="continue"/>
                  <w:tcBorders>
                    <w:tl2br w:val="nil"/>
                    <w:tr2bl w:val="nil"/>
                  </w:tcBorders>
                  <w:noWrap w:val="0"/>
                  <w:vAlign w:val="center"/>
                </w:tcPr>
                <w:p w14:paraId="5149210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103" w:type="dxa"/>
                  <w:tcBorders>
                    <w:tl2br w:val="nil"/>
                    <w:tr2bl w:val="nil"/>
                  </w:tcBorders>
                  <w:noWrap w:val="0"/>
                  <w:vAlign w:val="center"/>
                </w:tcPr>
                <w:p w14:paraId="466D178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高新中学</w:t>
                  </w:r>
                </w:p>
              </w:tc>
              <w:tc>
                <w:tcPr>
                  <w:tcW w:w="1185" w:type="dxa"/>
                  <w:tcBorders>
                    <w:tl2br w:val="nil"/>
                    <w:tr2bl w:val="nil"/>
                  </w:tcBorders>
                  <w:noWrap w:val="0"/>
                  <w:vAlign w:val="center"/>
                </w:tcPr>
                <w:p w14:paraId="518E162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118.147673</w:t>
                  </w:r>
                </w:p>
              </w:tc>
              <w:tc>
                <w:tcPr>
                  <w:tcW w:w="1110" w:type="dxa"/>
                  <w:tcBorders>
                    <w:tl2br w:val="nil"/>
                    <w:tr2bl w:val="nil"/>
                  </w:tcBorders>
                  <w:noWrap w:val="0"/>
                  <w:vAlign w:val="center"/>
                </w:tcPr>
                <w:p w14:paraId="453E0EC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39.683676</w:t>
                  </w:r>
                </w:p>
              </w:tc>
              <w:tc>
                <w:tcPr>
                  <w:tcW w:w="645" w:type="dxa"/>
                  <w:tcBorders>
                    <w:tl2br w:val="nil"/>
                    <w:tr2bl w:val="nil"/>
                  </w:tcBorders>
                  <w:noWrap w:val="0"/>
                  <w:vAlign w:val="center"/>
                </w:tcPr>
                <w:p w14:paraId="2E786C1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师生</w:t>
                  </w:r>
                </w:p>
              </w:tc>
              <w:tc>
                <w:tcPr>
                  <w:tcW w:w="810" w:type="dxa"/>
                  <w:tcBorders>
                    <w:tl2br w:val="nil"/>
                    <w:tr2bl w:val="nil"/>
                  </w:tcBorders>
                  <w:noWrap w:val="0"/>
                  <w:vAlign w:val="center"/>
                </w:tcPr>
                <w:p w14:paraId="6CAC8DA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文化教育</w:t>
                  </w:r>
                </w:p>
              </w:tc>
              <w:tc>
                <w:tcPr>
                  <w:tcW w:w="765" w:type="dxa"/>
                  <w:tcBorders>
                    <w:tl2br w:val="nil"/>
                    <w:tr2bl w:val="nil"/>
                  </w:tcBorders>
                  <w:noWrap w:val="0"/>
                  <w:vAlign w:val="center"/>
                </w:tcPr>
                <w:p w14:paraId="44D7FA2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二类区</w:t>
                  </w:r>
                </w:p>
              </w:tc>
              <w:tc>
                <w:tcPr>
                  <w:tcW w:w="720" w:type="dxa"/>
                  <w:tcBorders>
                    <w:tl2br w:val="nil"/>
                    <w:tr2bl w:val="nil"/>
                  </w:tcBorders>
                  <w:noWrap w:val="0"/>
                  <w:vAlign w:val="center"/>
                </w:tcPr>
                <w:p w14:paraId="7F7B8EC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SW</w:t>
                  </w:r>
                </w:p>
              </w:tc>
              <w:tc>
                <w:tcPr>
                  <w:tcW w:w="919" w:type="dxa"/>
                  <w:tcBorders>
                    <w:tl2br w:val="nil"/>
                    <w:tr2bl w:val="nil"/>
                  </w:tcBorders>
                  <w:noWrap w:val="0"/>
                  <w:vAlign w:val="center"/>
                </w:tcPr>
                <w:p w14:paraId="1A39D7B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68（距教学楼170m）</w:t>
                  </w:r>
                </w:p>
              </w:tc>
            </w:tr>
            <w:tr w14:paraId="254C3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7" w:type="dxa"/>
                  <w:vMerge w:val="continue"/>
                  <w:tcBorders>
                    <w:tl2br w:val="nil"/>
                    <w:tr2bl w:val="nil"/>
                  </w:tcBorders>
                  <w:noWrap w:val="0"/>
                  <w:vAlign w:val="center"/>
                </w:tcPr>
                <w:p w14:paraId="2FC0760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103" w:type="dxa"/>
                  <w:tcBorders>
                    <w:tl2br w:val="nil"/>
                    <w:tr2bl w:val="nil"/>
                  </w:tcBorders>
                  <w:noWrap w:val="0"/>
                  <w:vAlign w:val="center"/>
                </w:tcPr>
                <w:p w14:paraId="53E47F3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国茂府</w:t>
                  </w:r>
                </w:p>
              </w:tc>
              <w:tc>
                <w:tcPr>
                  <w:tcW w:w="1185" w:type="dxa"/>
                  <w:tcBorders>
                    <w:tl2br w:val="nil"/>
                    <w:tr2bl w:val="nil"/>
                  </w:tcBorders>
                  <w:noWrap w:val="0"/>
                  <w:vAlign w:val="center"/>
                </w:tcPr>
                <w:p w14:paraId="7F9D57D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118.148621</w:t>
                  </w:r>
                </w:p>
              </w:tc>
              <w:tc>
                <w:tcPr>
                  <w:tcW w:w="1110" w:type="dxa"/>
                  <w:tcBorders>
                    <w:tl2br w:val="nil"/>
                    <w:tr2bl w:val="nil"/>
                  </w:tcBorders>
                  <w:noWrap w:val="0"/>
                  <w:vAlign w:val="center"/>
                </w:tcPr>
                <w:p w14:paraId="748D8F2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39.683595</w:t>
                  </w:r>
                </w:p>
              </w:tc>
              <w:tc>
                <w:tcPr>
                  <w:tcW w:w="645" w:type="dxa"/>
                  <w:tcBorders>
                    <w:tl2br w:val="nil"/>
                    <w:tr2bl w:val="nil"/>
                  </w:tcBorders>
                  <w:noWrap w:val="0"/>
                  <w:vAlign w:val="center"/>
                </w:tcPr>
                <w:p w14:paraId="3C4C9CD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居民</w:t>
                  </w:r>
                </w:p>
              </w:tc>
              <w:tc>
                <w:tcPr>
                  <w:tcW w:w="810" w:type="dxa"/>
                  <w:tcBorders>
                    <w:tl2br w:val="nil"/>
                    <w:tr2bl w:val="nil"/>
                  </w:tcBorders>
                  <w:noWrap w:val="0"/>
                  <w:vAlign w:val="center"/>
                </w:tcPr>
                <w:p w14:paraId="351BC87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765" w:type="dxa"/>
                  <w:tcBorders>
                    <w:tl2br w:val="nil"/>
                    <w:tr2bl w:val="nil"/>
                  </w:tcBorders>
                  <w:noWrap w:val="0"/>
                  <w:vAlign w:val="center"/>
                </w:tcPr>
                <w:p w14:paraId="2C9E39E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二类区</w:t>
                  </w:r>
                </w:p>
              </w:tc>
              <w:tc>
                <w:tcPr>
                  <w:tcW w:w="720" w:type="dxa"/>
                  <w:tcBorders>
                    <w:tl2br w:val="nil"/>
                    <w:tr2bl w:val="nil"/>
                  </w:tcBorders>
                  <w:noWrap w:val="0"/>
                  <w:vAlign w:val="center"/>
                </w:tcPr>
                <w:p w14:paraId="6042075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919" w:type="dxa"/>
                  <w:tcBorders>
                    <w:tl2br w:val="nil"/>
                    <w:tr2bl w:val="nil"/>
                  </w:tcBorders>
                  <w:noWrap w:val="0"/>
                  <w:vAlign w:val="center"/>
                </w:tcPr>
                <w:p w14:paraId="1307213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56</w:t>
                  </w:r>
                </w:p>
              </w:tc>
            </w:tr>
            <w:tr w14:paraId="400AA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7" w:type="dxa"/>
                  <w:tcBorders>
                    <w:tl2br w:val="nil"/>
                    <w:tr2bl w:val="nil"/>
                  </w:tcBorders>
                  <w:noWrap w:val="0"/>
                  <w:vAlign w:val="center"/>
                </w:tcPr>
                <w:p w14:paraId="053AB41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地下水环境</w:t>
                  </w:r>
                </w:p>
              </w:tc>
              <w:tc>
                <w:tcPr>
                  <w:tcW w:w="1103" w:type="dxa"/>
                  <w:tcBorders>
                    <w:tl2br w:val="nil"/>
                    <w:tr2bl w:val="nil"/>
                  </w:tcBorders>
                  <w:noWrap w:val="0"/>
                  <w:vAlign w:val="center"/>
                </w:tcPr>
                <w:p w14:paraId="01AAB5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厂区内地下水潜水层</w:t>
                  </w:r>
                </w:p>
              </w:tc>
              <w:tc>
                <w:tcPr>
                  <w:tcW w:w="1185" w:type="dxa"/>
                  <w:tcBorders>
                    <w:tl2br w:val="nil"/>
                    <w:tr2bl w:val="nil"/>
                  </w:tcBorders>
                  <w:noWrap w:val="0"/>
                  <w:vAlign w:val="center"/>
                </w:tcPr>
                <w:p w14:paraId="5395830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tc>
              <w:tc>
                <w:tcPr>
                  <w:tcW w:w="1110" w:type="dxa"/>
                  <w:tcBorders>
                    <w:tl2br w:val="nil"/>
                    <w:tr2bl w:val="nil"/>
                  </w:tcBorders>
                  <w:noWrap w:val="0"/>
                  <w:vAlign w:val="center"/>
                </w:tcPr>
                <w:p w14:paraId="3293052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tc>
              <w:tc>
                <w:tcPr>
                  <w:tcW w:w="645" w:type="dxa"/>
                  <w:tcBorders>
                    <w:tl2br w:val="nil"/>
                    <w:tr2bl w:val="nil"/>
                  </w:tcBorders>
                  <w:noWrap w:val="0"/>
                  <w:vAlign w:val="center"/>
                </w:tcPr>
                <w:p w14:paraId="1474BC4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地下水</w:t>
                  </w:r>
                </w:p>
              </w:tc>
              <w:tc>
                <w:tcPr>
                  <w:tcW w:w="810" w:type="dxa"/>
                  <w:tcBorders>
                    <w:tl2br w:val="nil"/>
                    <w:tr2bl w:val="nil"/>
                  </w:tcBorders>
                  <w:noWrap w:val="0"/>
                  <w:vAlign w:val="center"/>
                </w:tcPr>
                <w:p w14:paraId="1FCB18C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地下水潜水层</w:t>
                  </w:r>
                </w:p>
              </w:tc>
              <w:tc>
                <w:tcPr>
                  <w:tcW w:w="765" w:type="dxa"/>
                  <w:tcBorders>
                    <w:tl2br w:val="nil"/>
                    <w:tr2bl w:val="nil"/>
                  </w:tcBorders>
                  <w:noWrap w:val="0"/>
                  <w:vAlign w:val="center"/>
                </w:tcPr>
                <w:p w14:paraId="2F90E38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Ⅲ</w:t>
                  </w:r>
                  <w:r>
                    <w:rPr>
                      <w:rFonts w:hint="eastAsia" w:cs="Times New Roman"/>
                      <w:color w:val="auto"/>
                      <w:sz w:val="21"/>
                      <w:szCs w:val="21"/>
                      <w:highlight w:val="none"/>
                      <w:lang w:val="en-US" w:eastAsia="zh-CN"/>
                    </w:rPr>
                    <w:t>类</w:t>
                  </w:r>
                </w:p>
              </w:tc>
              <w:tc>
                <w:tcPr>
                  <w:tcW w:w="1639" w:type="dxa"/>
                  <w:gridSpan w:val="2"/>
                  <w:tcBorders>
                    <w:tl2br w:val="nil"/>
                    <w:tr2bl w:val="nil"/>
                  </w:tcBorders>
                  <w:noWrap w:val="0"/>
                  <w:vAlign w:val="center"/>
                </w:tcPr>
                <w:p w14:paraId="621C87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占地范围内</w:t>
                  </w:r>
                </w:p>
              </w:tc>
            </w:tr>
          </w:tbl>
          <w:p w14:paraId="6E95A209">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default"/>
                <w:color w:val="auto"/>
                <w:sz w:val="24"/>
                <w:szCs w:val="24"/>
                <w:highlight w:val="none"/>
                <w:lang w:val="en-US" w:eastAsia="zh-CN"/>
              </w:rPr>
            </w:pPr>
          </w:p>
        </w:tc>
      </w:tr>
      <w:tr w14:paraId="5ABD7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854" w:type="dxa"/>
            <w:noWrap w:val="0"/>
            <w:vAlign w:val="center"/>
          </w:tcPr>
          <w:p w14:paraId="638AD043">
            <w:pPr>
              <w:pStyle w:val="31"/>
              <w:bidi w:val="0"/>
              <w:rPr>
                <w:rFonts w:hint="eastAsia"/>
                <w:color w:val="auto"/>
                <w:sz w:val="24"/>
                <w:szCs w:val="24"/>
                <w:highlight w:val="none"/>
              </w:rPr>
            </w:pPr>
            <w:r>
              <w:rPr>
                <w:rFonts w:hint="eastAsia"/>
                <w:color w:val="auto"/>
                <w:sz w:val="24"/>
                <w:szCs w:val="24"/>
                <w:highlight w:val="none"/>
              </w:rPr>
              <w:t>污染</w:t>
            </w:r>
          </w:p>
          <w:p w14:paraId="3E94B9C8">
            <w:pPr>
              <w:pStyle w:val="31"/>
              <w:bidi w:val="0"/>
              <w:rPr>
                <w:rFonts w:hint="eastAsia"/>
                <w:color w:val="auto"/>
                <w:sz w:val="24"/>
                <w:szCs w:val="24"/>
                <w:highlight w:val="none"/>
              </w:rPr>
            </w:pPr>
            <w:r>
              <w:rPr>
                <w:rFonts w:hint="eastAsia"/>
                <w:color w:val="auto"/>
                <w:sz w:val="24"/>
                <w:szCs w:val="24"/>
                <w:highlight w:val="none"/>
              </w:rPr>
              <w:t>物排</w:t>
            </w:r>
          </w:p>
          <w:p w14:paraId="4277FF9A">
            <w:pPr>
              <w:pStyle w:val="31"/>
              <w:bidi w:val="0"/>
              <w:rPr>
                <w:rFonts w:hint="eastAsia"/>
                <w:color w:val="auto"/>
                <w:sz w:val="24"/>
                <w:szCs w:val="24"/>
                <w:highlight w:val="none"/>
              </w:rPr>
            </w:pPr>
            <w:r>
              <w:rPr>
                <w:rFonts w:hint="eastAsia"/>
                <w:color w:val="auto"/>
                <w:sz w:val="24"/>
                <w:szCs w:val="24"/>
                <w:highlight w:val="none"/>
              </w:rPr>
              <w:t>放控</w:t>
            </w:r>
          </w:p>
          <w:p w14:paraId="7BD49622">
            <w:pPr>
              <w:pStyle w:val="31"/>
              <w:bidi w:val="0"/>
              <w:rPr>
                <w:rFonts w:hint="eastAsia"/>
                <w:color w:val="auto"/>
                <w:sz w:val="24"/>
                <w:szCs w:val="24"/>
                <w:highlight w:val="none"/>
              </w:rPr>
            </w:pPr>
            <w:r>
              <w:rPr>
                <w:rFonts w:hint="eastAsia"/>
                <w:color w:val="auto"/>
                <w:sz w:val="24"/>
                <w:szCs w:val="24"/>
                <w:highlight w:val="none"/>
              </w:rPr>
              <w:t>制标</w:t>
            </w:r>
          </w:p>
          <w:p w14:paraId="6B7A3313">
            <w:pPr>
              <w:pStyle w:val="31"/>
              <w:bidi w:val="0"/>
              <w:ind w:firstLine="0" w:firstLineChars="0"/>
              <w:rPr>
                <w:rFonts w:hint="eastAsia" w:ascii="Times New Roman" w:hAnsi="Times New Roman" w:eastAsia="宋体" w:cs="Times New Roman"/>
                <w:color w:val="auto"/>
                <w:kern w:val="1"/>
                <w:sz w:val="24"/>
                <w:szCs w:val="24"/>
                <w:highlight w:val="none"/>
                <w:lang w:val="en-US" w:eastAsia="zh-CN" w:bidi="ar-SA"/>
              </w:rPr>
            </w:pPr>
            <w:r>
              <w:rPr>
                <w:rFonts w:hint="eastAsia"/>
                <w:color w:val="auto"/>
                <w:sz w:val="24"/>
                <w:szCs w:val="24"/>
                <w:highlight w:val="none"/>
              </w:rPr>
              <w:t>准</w:t>
            </w:r>
          </w:p>
        </w:tc>
        <w:tc>
          <w:tcPr>
            <w:tcW w:w="8500" w:type="dxa"/>
            <w:noWrap w:val="0"/>
            <w:vAlign w:val="center"/>
          </w:tcPr>
          <w:p w14:paraId="074214B5">
            <w:pPr>
              <w:numPr>
                <w:ilvl w:val="0"/>
                <w:numId w:val="25"/>
              </w:numPr>
              <w:bidi w:val="0"/>
              <w:rPr>
                <w:rFonts w:hint="eastAsia"/>
                <w:b w:val="0"/>
                <w:bCs w:val="0"/>
                <w:color w:val="auto"/>
                <w:highlight w:val="none"/>
                <w:vertAlign w:val="baseline"/>
                <w:lang w:val="en-US" w:eastAsia="zh-CN"/>
              </w:rPr>
            </w:pPr>
            <w:r>
              <w:rPr>
                <w:rFonts w:hint="eastAsia"/>
                <w:color w:val="auto"/>
                <w:sz w:val="24"/>
                <w:szCs w:val="24"/>
                <w:highlight w:val="none"/>
                <w:lang w:val="en-US" w:eastAsia="zh-CN"/>
              </w:rPr>
              <w:t>喷漆、腻子打磨过程颗粒物</w:t>
            </w:r>
            <w:r>
              <w:rPr>
                <w:rFonts w:hint="eastAsia"/>
                <w:color w:val="auto"/>
                <w:sz w:val="24"/>
                <w:szCs w:val="24"/>
                <w:highlight w:val="none"/>
              </w:rPr>
              <w:t>有组织排放执行</w:t>
            </w:r>
            <w:r>
              <w:rPr>
                <w:rFonts w:hint="eastAsia"/>
                <w:color w:val="auto"/>
                <w:sz w:val="24"/>
                <w:szCs w:val="24"/>
                <w:highlight w:val="none"/>
                <w:lang w:val="en-US" w:eastAsia="zh-CN"/>
              </w:rPr>
              <w:t>《大气污染物综合排放标准》（GB16297-1996）表2中颗粒物相关排放限值，最高允许排放浓度18mg/m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，最高允许排放速率0.255kg/h（15m高排气筒最高允许排放速率一半），以及排气筒应高出周围200m半径范围的建筑5m以上，不能达到该要求的排气筒，应按其高度对应的表列排放速率标准值严格50%执行的要求</w:t>
            </w:r>
            <w:r>
              <w:rPr>
                <w:rFonts w:hint="eastAsia" w:ascii="Times New Roman" w:hAnsi="Times New Roman" w:cs="Times New Roman"/>
                <w:color w:val="auto"/>
                <w:sz w:val="24"/>
                <w:szCs w:val="24"/>
                <w:highlight w:val="none"/>
                <w:vertAlign w:val="baseline"/>
                <w:lang w:val="en-US" w:eastAsia="zh-CN"/>
              </w:rPr>
              <w:t>。</w:t>
            </w:r>
          </w:p>
          <w:p w14:paraId="38C9BF78">
            <w:pPr>
              <w:numPr>
                <w:ilvl w:val="0"/>
                <w:numId w:val="25"/>
              </w:numPr>
              <w:bidi w:val="0"/>
              <w:rPr>
                <w:rFonts w:hint="eastAsia"/>
                <w:b w:val="0"/>
                <w:bCs w:val="0"/>
                <w:color w:val="auto"/>
                <w:highlight w:val="none"/>
                <w:vertAlign w:val="baseline"/>
                <w:lang w:val="en-US" w:eastAsia="zh-CN"/>
              </w:rPr>
            </w:pPr>
            <w:r>
              <w:rPr>
                <w:rFonts w:hint="eastAsia" w:cs="Times New Roman"/>
                <w:color w:val="auto"/>
                <w:sz w:val="24"/>
                <w:szCs w:val="24"/>
                <w:highlight w:val="none"/>
                <w:vertAlign w:val="baseline"/>
                <w:lang w:val="en-US" w:eastAsia="zh-CN"/>
              </w:rPr>
              <w:t>打磨过程颗粒物</w:t>
            </w:r>
            <w:r>
              <w:rPr>
                <w:rFonts w:hint="eastAsia"/>
                <w:color w:val="auto"/>
                <w:sz w:val="24"/>
                <w:szCs w:val="24"/>
                <w:highlight w:val="none"/>
              </w:rPr>
              <w:t>有组织排放执行</w:t>
            </w:r>
            <w:r>
              <w:rPr>
                <w:rFonts w:hint="eastAsia" w:eastAsia="宋体"/>
                <w:color w:val="auto"/>
                <w:highlight w:val="none"/>
                <w:lang w:val="en-US" w:eastAsia="zh-CN"/>
              </w:rPr>
              <w:t>《</w:t>
            </w:r>
            <w:r>
              <w:rPr>
                <w:rFonts w:hint="eastAsia" w:eastAsia="宋体"/>
                <w:color w:val="auto"/>
                <w:highlight w:val="none"/>
                <w:lang w:eastAsia="zh-CN"/>
              </w:rPr>
              <w:t>钢铁工业大气污染物超低排放标准</w:t>
            </w:r>
            <w:r>
              <w:rPr>
                <w:rFonts w:hint="eastAsia" w:eastAsia="宋体"/>
                <w:color w:val="auto"/>
                <w:highlight w:val="none"/>
                <w:lang w:val="en-US" w:eastAsia="zh-CN"/>
              </w:rPr>
              <w:t>》（DB13/2169-2018）</w:t>
            </w:r>
            <w:r>
              <w:rPr>
                <w:rFonts w:hint="eastAsia" w:eastAsia="宋体"/>
                <w:color w:val="auto"/>
                <w:highlight w:val="none"/>
                <w:lang w:eastAsia="zh-CN"/>
              </w:rPr>
              <w:t>表1轧钢（热处理炉、拉矫、精整、抛丸、修磨、焊接机及其他生产设施）排放限值要求</w:t>
            </w:r>
            <w:r>
              <w:rPr>
                <w:rFonts w:hint="eastAsia" w:eastAsia="宋体"/>
                <w:color w:val="auto"/>
                <w:highlight w:val="none"/>
                <w:lang w:val="en-US" w:eastAsia="zh-CN"/>
              </w:rPr>
              <w:t>，颗粒物最高允许排放浓度10mg/m</w:t>
            </w:r>
            <w:r>
              <w:rPr>
                <w:rFonts w:hint="eastAsia" w:eastAsia="宋体"/>
                <w:color w:val="auto"/>
                <w:highlight w:val="none"/>
                <w:vertAlign w:val="superscript"/>
                <w:lang w:val="en-US" w:eastAsia="zh-CN"/>
              </w:rPr>
              <w:t>3</w:t>
            </w:r>
            <w:r>
              <w:rPr>
                <w:rFonts w:hint="eastAsia" w:eastAsia="宋体"/>
                <w:color w:val="auto"/>
                <w:highlight w:val="none"/>
                <w:lang w:val="en-US" w:eastAsia="zh-CN"/>
              </w:rPr>
              <w:t>，</w:t>
            </w:r>
            <w:r>
              <w:rPr>
                <w:rFonts w:hint="eastAsia" w:ascii="Times New Roman" w:eastAsia="宋体"/>
                <w:color w:val="auto"/>
                <w:highlight w:val="none"/>
                <w:lang w:val="en-US" w:eastAsia="zh-CN"/>
              </w:rPr>
              <w:t>排气筒高度不低于15m</w:t>
            </w:r>
            <w:r>
              <w:rPr>
                <w:rFonts w:hint="eastAsia"/>
                <w:color w:val="auto"/>
                <w:highlight w:val="none"/>
                <w:lang w:val="en-US" w:eastAsia="zh-CN"/>
              </w:rPr>
              <w:t>，且高出周围半径200m范围内最高建筑物3m以上</w:t>
            </w:r>
            <w:r>
              <w:rPr>
                <w:rFonts w:hint="eastAsia" w:ascii="Times New Roman" w:hAnsi="Times New Roman" w:cs="Times New Roman"/>
                <w:color w:val="auto"/>
                <w:sz w:val="24"/>
                <w:szCs w:val="24"/>
                <w:highlight w:val="none"/>
                <w:vertAlign w:val="baseline"/>
                <w:lang w:val="en-US" w:eastAsia="zh-CN"/>
              </w:rPr>
              <w:t>。</w:t>
            </w:r>
          </w:p>
          <w:p w14:paraId="683635FF">
            <w:pPr>
              <w:numPr>
                <w:ilvl w:val="0"/>
                <w:numId w:val="25"/>
              </w:numPr>
              <w:bidi w:val="0"/>
              <w:rPr>
                <w:rFonts w:hint="eastAsia"/>
                <w:b w:val="0"/>
                <w:bCs w:val="0"/>
                <w:color w:val="auto"/>
                <w:highlight w:val="none"/>
                <w:vertAlign w:val="baseline"/>
                <w:lang w:val="en-US" w:eastAsia="zh-CN"/>
              </w:rPr>
            </w:pPr>
            <w:r>
              <w:rPr>
                <w:rFonts w:hint="eastAsia"/>
                <w:color w:val="auto"/>
                <w:sz w:val="24"/>
                <w:szCs w:val="24"/>
                <w:highlight w:val="none"/>
                <w:vertAlign w:val="baseline"/>
                <w:lang w:val="en-US" w:eastAsia="zh-CN"/>
              </w:rPr>
              <w:t>食堂油烟、非甲烷总烃执行</w:t>
            </w:r>
            <w:r>
              <w:rPr>
                <w:rFonts w:hint="default"/>
                <w:color w:val="auto"/>
                <w:highlight w:val="none"/>
                <w:lang w:val="zh-CN"/>
              </w:rPr>
              <w:t>《</w:t>
            </w:r>
            <w:r>
              <w:rPr>
                <w:rFonts w:hint="eastAsia"/>
                <w:color w:val="auto"/>
                <w:highlight w:val="none"/>
                <w:lang w:val="en-US" w:eastAsia="zh-CN"/>
              </w:rPr>
              <w:t>餐饮业大气污染物排放标准</w:t>
            </w:r>
            <w:r>
              <w:rPr>
                <w:rFonts w:hint="default"/>
                <w:color w:val="auto"/>
                <w:highlight w:val="none"/>
                <w:lang w:val="zh-CN"/>
              </w:rPr>
              <w:t>》</w:t>
            </w:r>
            <w:r>
              <w:rPr>
                <w:rFonts w:hint="eastAsia"/>
                <w:color w:val="auto"/>
                <w:highlight w:val="none"/>
                <w:lang w:val="zh-CN"/>
              </w:rPr>
              <w:t>（</w:t>
            </w:r>
            <w:r>
              <w:rPr>
                <w:rFonts w:hint="eastAsia"/>
                <w:color w:val="auto"/>
                <w:highlight w:val="none"/>
                <w:lang w:val="en-US" w:eastAsia="zh-CN"/>
              </w:rPr>
              <w:t>DB13/5808-2023</w:t>
            </w:r>
            <w:r>
              <w:rPr>
                <w:rFonts w:hint="eastAsia"/>
                <w:color w:val="auto"/>
                <w:highlight w:val="none"/>
                <w:lang w:val="zh-CN"/>
              </w:rPr>
              <w:t>）</w:t>
            </w:r>
            <w:r>
              <w:rPr>
                <w:rFonts w:hint="default"/>
                <w:color w:val="auto"/>
                <w:highlight w:val="none"/>
                <w:lang w:val="zh-CN"/>
              </w:rPr>
              <w:t>中油烟最高允许排放浓度</w:t>
            </w:r>
            <w:r>
              <w:rPr>
                <w:rFonts w:hint="eastAsia"/>
                <w:color w:val="auto"/>
                <w:highlight w:val="none"/>
                <w:lang w:val="en-US" w:eastAsia="zh-CN"/>
              </w:rPr>
              <w:t>1.2</w:t>
            </w:r>
            <w:r>
              <w:rPr>
                <w:rFonts w:hint="default"/>
                <w:color w:val="auto"/>
                <w:highlight w:val="none"/>
                <w:lang w:val="zh-CN"/>
              </w:rPr>
              <w:t>mg/m</w:t>
            </w:r>
            <w:r>
              <w:rPr>
                <w:rFonts w:hint="default"/>
                <w:color w:val="auto"/>
                <w:highlight w:val="none"/>
                <w:vertAlign w:val="superscript"/>
                <w:lang w:val="zh-CN"/>
              </w:rPr>
              <w:t>3</w:t>
            </w:r>
            <w:r>
              <w:rPr>
                <w:rFonts w:hint="default"/>
                <w:color w:val="auto"/>
                <w:highlight w:val="none"/>
                <w:lang w:val="zh-CN"/>
              </w:rPr>
              <w:t>、</w:t>
            </w:r>
            <w:r>
              <w:rPr>
                <w:rFonts w:hint="eastAsia"/>
                <w:color w:val="auto"/>
                <w:highlight w:val="none"/>
                <w:lang w:val="en-US" w:eastAsia="zh-CN"/>
              </w:rPr>
              <w:t>非甲烷总烃10.0mg/m</w:t>
            </w:r>
            <w:r>
              <w:rPr>
                <w:rFonts w:hint="eastAsia"/>
                <w:color w:val="auto"/>
                <w:highlight w:val="none"/>
                <w:vertAlign w:val="superscript"/>
                <w:lang w:val="en-US" w:eastAsia="zh-CN"/>
              </w:rPr>
              <w:t>3</w:t>
            </w:r>
            <w:r>
              <w:rPr>
                <w:rFonts w:hint="default"/>
                <w:color w:val="auto"/>
                <w:highlight w:val="none"/>
                <w:lang w:val="zh-CN"/>
              </w:rPr>
              <w:t>的要求</w:t>
            </w:r>
            <w:r>
              <w:rPr>
                <w:rFonts w:hint="eastAsia"/>
                <w:color w:val="auto"/>
                <w:highlight w:val="none"/>
                <w:lang w:val="zh-CN"/>
              </w:rPr>
              <w:t>。</w:t>
            </w:r>
          </w:p>
          <w:p w14:paraId="6F26A296">
            <w:pPr>
              <w:numPr>
                <w:ilvl w:val="0"/>
                <w:numId w:val="25"/>
              </w:numPr>
              <w:bidi w:val="0"/>
              <w:ind w:left="0" w:leftChars="0" w:firstLine="480" w:firstLineChars="200"/>
              <w:rPr>
                <w:rFonts w:hint="eastAsia"/>
                <w:b w:val="0"/>
                <w:bCs w:val="0"/>
                <w:color w:val="auto"/>
                <w:highlight w:val="none"/>
                <w:vertAlign w:val="baseline"/>
                <w:lang w:val="en-US" w:eastAsia="zh-CN"/>
              </w:rPr>
            </w:pPr>
            <w:r>
              <w:rPr>
                <w:rFonts w:hint="eastAsia"/>
                <w:b w:val="0"/>
                <w:bCs w:val="0"/>
                <w:color w:val="auto"/>
                <w:highlight w:val="none"/>
                <w:vertAlign w:val="baseline"/>
                <w:lang w:val="en-US" w:eastAsia="zh-CN"/>
              </w:rPr>
              <w:t>非甲烷总烃、</w:t>
            </w:r>
            <w:r>
              <w:rPr>
                <w:rFonts w:hint="eastAsia"/>
                <w:color w:val="auto"/>
                <w:highlight w:val="none"/>
                <w:lang w:val="en-US" w:eastAsia="zh-CN"/>
              </w:rPr>
              <w:t>苯、甲苯与二甲苯合计有组织排放执行</w:t>
            </w:r>
            <w:r>
              <w:rPr>
                <w:rFonts w:hint="eastAsia"/>
                <w:color w:val="auto"/>
                <w:sz w:val="24"/>
                <w:szCs w:val="24"/>
                <w:highlight w:val="none"/>
              </w:rPr>
              <w:t>《工业企业挥发性有机物排放控制标准》（DB13/2322-2016）</w:t>
            </w:r>
            <w:r>
              <w:rPr>
                <w:rFonts w:hint="eastAsia"/>
                <w:color w:val="auto"/>
                <w:sz w:val="24"/>
                <w:szCs w:val="24"/>
                <w:highlight w:val="none"/>
                <w:lang w:val="en-US" w:eastAsia="zh-CN"/>
              </w:rPr>
              <w:t>表1中表面涂装业非甲烷总烃最高允许排放浓度30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按表面涂装业最高允许排放浓度</w:t>
            </w:r>
            <w:r>
              <w:rPr>
                <w:rFonts w:hint="eastAsia"/>
                <w:color w:val="auto"/>
                <w:sz w:val="24"/>
                <w:szCs w:val="24"/>
                <w:highlight w:val="none"/>
                <w:lang w:val="en-US" w:eastAsia="zh-CN"/>
              </w:rPr>
              <w:t>60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val="en-US" w:eastAsia="zh-CN"/>
              </w:rPr>
              <w:t>的一半执行</w:t>
            </w:r>
            <w:r>
              <w:rPr>
                <w:rFonts w:hint="eastAsia"/>
                <w:color w:val="auto"/>
                <w:sz w:val="24"/>
                <w:szCs w:val="24"/>
                <w:highlight w:val="none"/>
                <w:vertAlign w:val="baseline"/>
                <w:lang w:eastAsia="zh-CN"/>
              </w:rPr>
              <w:t>）</w:t>
            </w:r>
            <w:r>
              <w:rPr>
                <w:rFonts w:hint="eastAsia"/>
                <w:color w:val="auto"/>
                <w:sz w:val="24"/>
                <w:szCs w:val="24"/>
                <w:highlight w:val="none"/>
              </w:rPr>
              <w:t>，</w:t>
            </w:r>
            <w:r>
              <w:rPr>
                <w:rFonts w:hint="eastAsia"/>
                <w:color w:val="auto"/>
                <w:sz w:val="24"/>
                <w:szCs w:val="24"/>
                <w:highlight w:val="none"/>
                <w:lang w:val="en-US" w:eastAsia="zh-CN"/>
              </w:rPr>
              <w:t>最低去除效率70%，苯最高允许排放浓度0.5</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按表面涂装业最高允许排放浓度</w:t>
            </w:r>
            <w:r>
              <w:rPr>
                <w:rFonts w:hint="eastAsia"/>
                <w:color w:val="auto"/>
                <w:sz w:val="24"/>
                <w:szCs w:val="24"/>
                <w:highlight w:val="none"/>
                <w:lang w:val="en-US" w:eastAsia="zh-CN"/>
              </w:rPr>
              <w:t>1</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val="en-US" w:eastAsia="zh-CN"/>
              </w:rPr>
              <w:t>的一半执行</w:t>
            </w:r>
            <w:r>
              <w:rPr>
                <w:rFonts w:hint="eastAsia"/>
                <w:color w:val="auto"/>
                <w:sz w:val="24"/>
                <w:szCs w:val="24"/>
                <w:highlight w:val="none"/>
                <w:vertAlign w:val="baseline"/>
                <w:lang w:eastAsia="zh-CN"/>
              </w:rPr>
              <w:t>）</w:t>
            </w:r>
            <w:r>
              <w:rPr>
                <w:rFonts w:hint="eastAsia"/>
                <w:color w:val="auto"/>
                <w:sz w:val="24"/>
                <w:szCs w:val="24"/>
                <w:highlight w:val="none"/>
              </w:rPr>
              <w:t>，</w:t>
            </w:r>
            <w:r>
              <w:rPr>
                <w:rFonts w:hint="eastAsia"/>
                <w:color w:val="auto"/>
                <w:sz w:val="24"/>
                <w:szCs w:val="24"/>
                <w:highlight w:val="none"/>
                <w:lang w:val="en-US" w:eastAsia="zh-CN"/>
              </w:rPr>
              <w:t>甲苯与二甲苯合计最高允许排放浓度10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按表面涂装业最高允许排放浓度</w:t>
            </w:r>
            <w:r>
              <w:rPr>
                <w:rFonts w:hint="eastAsia"/>
                <w:color w:val="auto"/>
                <w:sz w:val="24"/>
                <w:szCs w:val="24"/>
                <w:highlight w:val="none"/>
                <w:lang w:val="en-US" w:eastAsia="zh-CN"/>
              </w:rPr>
              <w:t>20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val="en-US" w:eastAsia="zh-CN"/>
              </w:rPr>
              <w:t>的一半执行</w:t>
            </w:r>
            <w:r>
              <w:rPr>
                <w:rFonts w:hint="eastAsia"/>
                <w:color w:val="auto"/>
                <w:sz w:val="24"/>
                <w:szCs w:val="24"/>
                <w:highlight w:val="none"/>
                <w:vertAlign w:val="baseline"/>
                <w:lang w:eastAsia="zh-CN"/>
              </w:rPr>
              <w:t>）</w:t>
            </w:r>
            <w:r>
              <w:rPr>
                <w:rFonts w:hint="eastAsia"/>
                <w:color w:val="auto"/>
                <w:sz w:val="24"/>
                <w:szCs w:val="24"/>
                <w:highlight w:val="none"/>
              </w:rPr>
              <w:t>，排气筒高度不低于15m</w:t>
            </w:r>
            <w:r>
              <w:rPr>
                <w:rFonts w:hint="eastAsia"/>
                <w:color w:val="auto"/>
                <w:sz w:val="24"/>
                <w:szCs w:val="24"/>
                <w:highlight w:val="none"/>
                <w:lang w:eastAsia="zh-CN"/>
              </w:rPr>
              <w:t>，排气筒高度应高出周围200m半径范围的建筑5m以上。高度如果达不到规定时，按排放限值的50%执行。</w:t>
            </w:r>
          </w:p>
          <w:p w14:paraId="00B23645">
            <w:pPr>
              <w:numPr>
                <w:ilvl w:val="0"/>
                <w:numId w:val="25"/>
              </w:numPr>
              <w:bidi w:val="0"/>
              <w:ind w:left="0" w:leftChars="0" w:firstLine="480" w:firstLineChars="200"/>
              <w:rPr>
                <w:rFonts w:hint="eastAsia"/>
                <w:b w:val="0"/>
                <w:bCs w:val="0"/>
                <w:color w:val="auto"/>
                <w:highlight w:val="none"/>
                <w:vertAlign w:val="baseline"/>
                <w:lang w:val="en-US" w:eastAsia="zh-CN"/>
              </w:rPr>
            </w:pPr>
            <w:r>
              <w:rPr>
                <w:rFonts w:hint="eastAsia"/>
                <w:b w:val="0"/>
                <w:bCs w:val="0"/>
                <w:color w:val="auto"/>
                <w:highlight w:val="none"/>
                <w:vertAlign w:val="baseline"/>
                <w:lang w:val="en-US" w:eastAsia="zh-CN"/>
              </w:rPr>
              <w:t>非甲烷总烃、</w:t>
            </w:r>
            <w:r>
              <w:rPr>
                <w:rFonts w:hint="eastAsia"/>
                <w:color w:val="auto"/>
                <w:highlight w:val="none"/>
                <w:lang w:val="en-US" w:eastAsia="zh-CN"/>
              </w:rPr>
              <w:t>苯、甲苯、二甲苯</w:t>
            </w:r>
            <w:r>
              <w:rPr>
                <w:rFonts w:hint="eastAsia"/>
                <w:b w:val="0"/>
                <w:bCs w:val="0"/>
                <w:color w:val="auto"/>
                <w:highlight w:val="none"/>
                <w:vertAlign w:val="baseline"/>
                <w:lang w:val="en-US" w:eastAsia="zh-CN"/>
              </w:rPr>
              <w:t>无组织排放执行</w:t>
            </w:r>
            <w:r>
              <w:rPr>
                <w:color w:val="auto"/>
                <w:sz w:val="24"/>
                <w:szCs w:val="24"/>
                <w:highlight w:val="none"/>
              </w:rPr>
              <w:t>《工业企业挥发性有机物排放控制标准》（DB13/2322-2016）</w:t>
            </w:r>
            <w:r>
              <w:rPr>
                <w:rFonts w:hint="eastAsia"/>
                <w:color w:val="auto"/>
                <w:sz w:val="24"/>
                <w:szCs w:val="24"/>
                <w:highlight w:val="none"/>
              </w:rPr>
              <w:t>表</w:t>
            </w:r>
            <w:r>
              <w:rPr>
                <w:color w:val="auto"/>
                <w:sz w:val="24"/>
                <w:szCs w:val="24"/>
                <w:highlight w:val="none"/>
              </w:rPr>
              <w:t>2</w:t>
            </w:r>
            <w:r>
              <w:rPr>
                <w:rFonts w:hint="eastAsia"/>
                <w:color w:val="auto"/>
                <w:sz w:val="24"/>
                <w:szCs w:val="24"/>
                <w:highlight w:val="none"/>
              </w:rPr>
              <w:t>企业边界大气污染物浓度限值中其他企业：非甲烷总烃</w:t>
            </w:r>
            <w:r>
              <w:rPr>
                <w:color w:val="auto"/>
                <w:sz w:val="24"/>
                <w:szCs w:val="24"/>
                <w:highlight w:val="none"/>
              </w:rPr>
              <w:t>2.0mg/m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苯0.1</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甲苯0.6</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二甲苯0.2</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highlight w:val="none"/>
                <w:lang w:val="en-US" w:eastAsia="zh-CN"/>
              </w:rPr>
              <w:t>表3生产车间或生产设备边界</w:t>
            </w:r>
            <w:r>
              <w:rPr>
                <w:rFonts w:hint="eastAsia"/>
                <w:color w:val="auto"/>
                <w:sz w:val="24"/>
                <w:szCs w:val="24"/>
                <w:highlight w:val="none"/>
                <w:lang w:val="en-US" w:eastAsia="zh-CN"/>
              </w:rPr>
              <w:t>：</w:t>
            </w:r>
            <w:r>
              <w:rPr>
                <w:rFonts w:hint="eastAsia"/>
                <w:color w:val="auto"/>
                <w:sz w:val="24"/>
                <w:szCs w:val="24"/>
                <w:highlight w:val="none"/>
              </w:rPr>
              <w:t>非甲烷总烃</w:t>
            </w:r>
            <w:r>
              <w:rPr>
                <w:rFonts w:hint="eastAsia"/>
                <w:color w:val="auto"/>
                <w:sz w:val="24"/>
                <w:szCs w:val="24"/>
                <w:highlight w:val="none"/>
                <w:lang w:val="en-US" w:eastAsia="zh-CN"/>
              </w:rPr>
              <w:t>4</w:t>
            </w:r>
            <w:r>
              <w:rPr>
                <w:color w:val="auto"/>
                <w:sz w:val="24"/>
                <w:szCs w:val="24"/>
                <w:highlight w:val="none"/>
              </w:rPr>
              <w:t>.0mg/m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苯0.4</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甲苯1.0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二甲苯1.2</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rPr>
              <w:t>的要求</w:t>
            </w:r>
            <w:r>
              <w:rPr>
                <w:rFonts w:hint="eastAsia"/>
                <w:color w:val="auto"/>
                <w:sz w:val="24"/>
                <w:szCs w:val="24"/>
                <w:highlight w:val="none"/>
                <w:vertAlign w:val="baseline"/>
                <w:lang w:eastAsia="zh-CN"/>
              </w:rPr>
              <w:t>，</w:t>
            </w:r>
            <w:r>
              <w:rPr>
                <w:rFonts w:hint="eastAsia"/>
                <w:color w:val="auto"/>
                <w:sz w:val="24"/>
                <w:szCs w:val="24"/>
                <w:highlight w:val="none"/>
                <w:lang w:val="en-US" w:eastAsia="zh-CN"/>
              </w:rPr>
              <w:t>同时执行</w:t>
            </w:r>
            <w:r>
              <w:rPr>
                <w:rFonts w:hint="eastAsia"/>
                <w:color w:val="auto"/>
                <w:sz w:val="24"/>
                <w:szCs w:val="24"/>
                <w:highlight w:val="none"/>
                <w:lang w:eastAsia="zh-CN"/>
              </w:rPr>
              <w:t>《</w:t>
            </w:r>
            <w:r>
              <w:rPr>
                <w:rFonts w:hint="eastAsia"/>
                <w:color w:val="auto"/>
                <w:sz w:val="24"/>
                <w:szCs w:val="24"/>
                <w:highlight w:val="none"/>
                <w:lang w:val="en-US" w:eastAsia="zh-CN"/>
              </w:rPr>
              <w:t>挥发性有机物无组织排放控制标准</w:t>
            </w:r>
            <w:r>
              <w:rPr>
                <w:rFonts w:hint="eastAsia"/>
                <w:color w:val="auto"/>
                <w:sz w:val="24"/>
                <w:szCs w:val="24"/>
                <w:highlight w:val="none"/>
                <w:lang w:eastAsia="zh-CN"/>
              </w:rPr>
              <w:t>》（</w:t>
            </w:r>
            <w:r>
              <w:rPr>
                <w:rFonts w:hint="eastAsia"/>
                <w:color w:val="auto"/>
                <w:sz w:val="24"/>
                <w:szCs w:val="24"/>
                <w:highlight w:val="none"/>
                <w:lang w:val="en-US" w:eastAsia="zh-CN"/>
              </w:rPr>
              <w:t>GB37822-2019</w:t>
            </w:r>
            <w:r>
              <w:rPr>
                <w:rFonts w:hint="eastAsia"/>
                <w:color w:val="auto"/>
                <w:sz w:val="24"/>
                <w:szCs w:val="24"/>
                <w:highlight w:val="none"/>
                <w:lang w:eastAsia="zh-CN"/>
              </w:rPr>
              <w:t>）</w:t>
            </w:r>
            <w:r>
              <w:rPr>
                <w:rFonts w:hint="eastAsia"/>
                <w:color w:val="auto"/>
                <w:sz w:val="24"/>
                <w:szCs w:val="24"/>
                <w:highlight w:val="none"/>
                <w:lang w:val="en-US" w:eastAsia="zh-CN"/>
              </w:rPr>
              <w:t>附录A表A.1厂区内VOCs无组织排放限值中厂房外监控点1h平均浓度限值：非甲烷总烃6mg</w:t>
            </w:r>
            <w:r>
              <w:rPr>
                <w:rFonts w:hint="default"/>
                <w:color w:val="auto"/>
                <w:sz w:val="24"/>
                <w:szCs w:val="24"/>
                <w:highlight w:val="none"/>
              </w:rPr>
              <w:t>/m</w:t>
            </w:r>
            <w:r>
              <w:rPr>
                <w:rFonts w:hint="default"/>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任意一次浓度限值：非甲烷总烃20mg</w:t>
            </w:r>
            <w:r>
              <w:rPr>
                <w:rFonts w:hint="default"/>
                <w:color w:val="auto"/>
                <w:sz w:val="24"/>
                <w:szCs w:val="24"/>
                <w:highlight w:val="none"/>
              </w:rPr>
              <w:t>/m</w:t>
            </w:r>
            <w:r>
              <w:rPr>
                <w:rFonts w:hint="default"/>
                <w:color w:val="auto"/>
                <w:sz w:val="24"/>
                <w:szCs w:val="24"/>
                <w:highlight w:val="none"/>
                <w:vertAlign w:val="superscript"/>
              </w:rPr>
              <w:t>3</w:t>
            </w:r>
            <w:r>
              <w:rPr>
                <w:rFonts w:hint="eastAsia"/>
                <w:color w:val="auto"/>
                <w:sz w:val="24"/>
                <w:szCs w:val="24"/>
                <w:highlight w:val="none"/>
                <w:vertAlign w:val="baseline"/>
                <w:lang w:val="en-US" w:eastAsia="zh-CN"/>
              </w:rPr>
              <w:t>的要求</w:t>
            </w:r>
            <w:r>
              <w:rPr>
                <w:rFonts w:hint="eastAsia"/>
                <w:color w:val="auto"/>
                <w:sz w:val="24"/>
                <w:szCs w:val="24"/>
                <w:highlight w:val="none"/>
              </w:rPr>
              <w:t>。</w:t>
            </w:r>
          </w:p>
          <w:p w14:paraId="2D8E21CF">
            <w:pPr>
              <w:numPr>
                <w:ilvl w:val="0"/>
                <w:numId w:val="25"/>
              </w:numPr>
              <w:bidi w:val="0"/>
              <w:ind w:left="0" w:leftChars="0" w:firstLine="480" w:firstLineChars="200"/>
              <w:rPr>
                <w:rFonts w:hint="eastAsia"/>
                <w:color w:val="auto"/>
                <w:sz w:val="24"/>
                <w:szCs w:val="24"/>
                <w:highlight w:val="none"/>
                <w:lang w:eastAsia="zh-CN"/>
              </w:rPr>
            </w:pPr>
            <w:r>
              <w:rPr>
                <w:rFonts w:hint="eastAsia"/>
                <w:color w:val="auto"/>
                <w:sz w:val="24"/>
                <w:szCs w:val="24"/>
                <w:highlight w:val="none"/>
                <w:lang w:val="en-US" w:eastAsia="zh-CN"/>
              </w:rPr>
              <w:t>颗粒物厂界无组织排放执行《</w:t>
            </w:r>
            <w:r>
              <w:rPr>
                <w:rFonts w:hint="eastAsia" w:ascii="Times New Roman" w:eastAsia="宋体"/>
                <w:color w:val="auto"/>
                <w:sz w:val="24"/>
                <w:szCs w:val="24"/>
                <w:highlight w:val="none"/>
                <w:lang w:val="en-US" w:eastAsia="zh-CN"/>
              </w:rPr>
              <w:t>《钢铁工业大气污染物超低排放标准》（DB13/2169-2018）表5中厂界颗粒物浓度限值1.0mg/m</w:t>
            </w:r>
            <w:r>
              <w:rPr>
                <w:rFonts w:hint="eastAsia" w:ascii="Times New Roman" w:eastAsia="宋体"/>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，车间内无组织</w:t>
            </w:r>
            <w:r>
              <w:rPr>
                <w:rFonts w:hint="eastAsia"/>
                <w:color w:val="auto"/>
                <w:sz w:val="24"/>
                <w:szCs w:val="24"/>
                <w:highlight w:val="none"/>
                <w:lang w:val="en-US" w:eastAsia="zh-CN"/>
              </w:rPr>
              <w:t>执行</w:t>
            </w:r>
            <w:r>
              <w:rPr>
                <w:rFonts w:hint="eastAsia" w:eastAsia="宋体"/>
                <w:color w:val="auto"/>
                <w:highlight w:val="none"/>
                <w:lang w:val="en-US" w:eastAsia="zh-CN"/>
              </w:rPr>
              <w:t>《</w:t>
            </w:r>
            <w:r>
              <w:rPr>
                <w:rFonts w:hint="eastAsia" w:eastAsia="宋体"/>
                <w:color w:val="auto"/>
                <w:highlight w:val="none"/>
                <w:lang w:eastAsia="zh-CN"/>
              </w:rPr>
              <w:t>钢铁工业大气污染物超低排放标准</w:t>
            </w:r>
            <w:r>
              <w:rPr>
                <w:rFonts w:hint="eastAsia" w:eastAsia="宋体"/>
                <w:color w:val="auto"/>
                <w:highlight w:val="none"/>
                <w:lang w:val="en-US" w:eastAsia="zh-CN"/>
              </w:rPr>
              <w:t>》（DB13/2169-2018）</w:t>
            </w:r>
            <w:r>
              <w:rPr>
                <w:rFonts w:hint="eastAsia"/>
                <w:color w:val="auto"/>
                <w:highlight w:val="none"/>
                <w:lang w:val="en-US" w:eastAsia="zh-CN"/>
              </w:rPr>
              <w:t>表5中有厂房车间颗粒物排放限值8mg/m</w:t>
            </w:r>
            <w:r>
              <w:rPr>
                <w:rFonts w:hint="eastAsia"/>
                <w:color w:val="auto"/>
                <w:highlight w:val="none"/>
                <w:vertAlign w:val="superscript"/>
                <w:lang w:val="en-US" w:eastAsia="zh-CN"/>
              </w:rPr>
              <w:t>3</w:t>
            </w:r>
            <w:r>
              <w:rPr>
                <w:rFonts w:hint="eastAsia"/>
                <w:color w:val="auto"/>
                <w:sz w:val="24"/>
                <w:szCs w:val="24"/>
                <w:highlight w:val="none"/>
                <w:lang w:eastAsia="zh-CN"/>
              </w:rPr>
              <w:t>。</w:t>
            </w:r>
          </w:p>
          <w:p w14:paraId="74FB01F0">
            <w:pPr>
              <w:numPr>
                <w:ilvl w:val="0"/>
                <w:numId w:val="25"/>
              </w:numPr>
              <w:bidi w:val="0"/>
              <w:ind w:left="0" w:leftChars="0" w:firstLine="480" w:firstLineChars="200"/>
              <w:rPr>
                <w:rFonts w:hint="eastAsia"/>
                <w:b w:val="0"/>
                <w:bCs w:val="0"/>
                <w:color w:val="auto"/>
                <w:highlight w:val="none"/>
                <w:vertAlign w:val="baseline"/>
                <w:lang w:val="en-US" w:eastAsia="zh-CN"/>
              </w:rPr>
            </w:pPr>
            <w:r>
              <w:rPr>
                <w:rFonts w:hint="eastAsia"/>
                <w:color w:val="auto"/>
                <w:highlight w:val="none"/>
                <w:lang w:val="en-US" w:eastAsia="zh-CN"/>
              </w:rPr>
              <w:t>生活污水排放执行《污水综合排放标准》（GB8978</w:t>
            </w:r>
            <w:r>
              <w:rPr>
                <w:rFonts w:hint="eastAsia" w:ascii="宋体" w:hAnsi="宋体" w:eastAsia="宋体" w:cs="宋体"/>
                <w:color w:val="auto"/>
                <w:highlight w:val="none"/>
                <w:lang w:val="en-US" w:eastAsia="zh-CN"/>
              </w:rPr>
              <w:t>－</w:t>
            </w:r>
            <w:r>
              <w:rPr>
                <w:rFonts w:hint="eastAsia"/>
                <w:color w:val="auto"/>
                <w:highlight w:val="none"/>
                <w:lang w:val="en-US" w:eastAsia="zh-CN"/>
              </w:rPr>
              <w:t>1996）表4中三级标准，氨氮、总氮、总磷参照《污水排入城镇下水道水质标准》（GB/T31962</w:t>
            </w:r>
            <w:r>
              <w:rPr>
                <w:rFonts w:hint="eastAsia" w:ascii="宋体" w:hAnsi="宋体" w:eastAsia="宋体" w:cs="宋体"/>
                <w:color w:val="auto"/>
                <w:highlight w:val="none"/>
                <w:lang w:val="en-US" w:eastAsia="zh-CN"/>
              </w:rPr>
              <w:t>－</w:t>
            </w:r>
            <w:r>
              <w:rPr>
                <w:rFonts w:hint="eastAsia"/>
                <w:color w:val="auto"/>
                <w:highlight w:val="none"/>
                <w:lang w:val="en-US" w:eastAsia="zh-CN"/>
              </w:rPr>
              <w:t>2015）中限值要求，同时满足西郊污水处理厂进水水质要求。</w:t>
            </w:r>
          </w:p>
          <w:p w14:paraId="41D3DE47">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eastAsia"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lang w:eastAsia="zh-CN"/>
              </w:rPr>
              <w:t xml:space="preserve">  </w:t>
            </w:r>
            <w:r>
              <w:rPr>
                <w:rFonts w:hint="eastAsia" w:cs="Times New Roman"/>
                <w:b/>
                <w:bCs/>
                <w:color w:val="auto"/>
                <w:sz w:val="21"/>
                <w:szCs w:val="21"/>
                <w:highlight w:val="none"/>
                <w:lang w:val="en-US" w:eastAsia="zh-CN"/>
              </w:rPr>
              <w:t>废水排放标准</w:t>
            </w:r>
            <w:r>
              <w:rPr>
                <w:rFonts w:hint="default" w:ascii="Times New Roman" w:hAnsi="Times New Roman" w:eastAsia="宋体" w:cs="Times New Roman"/>
                <w:b/>
                <w:bCs/>
                <w:color w:val="auto"/>
                <w:sz w:val="21"/>
                <w:szCs w:val="21"/>
                <w:highlight w:val="none"/>
                <w:lang w:eastAsia="zh-CN"/>
              </w:rPr>
              <w:t>一览表</w:t>
            </w:r>
          </w:p>
          <w:tbl>
            <w:tblPr>
              <w:tblStyle w:val="24"/>
              <w:tblW w:w="83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631"/>
              <w:gridCol w:w="2011"/>
              <w:gridCol w:w="1927"/>
              <w:gridCol w:w="1265"/>
              <w:gridCol w:w="888"/>
            </w:tblGrid>
            <w:tr w14:paraId="51807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608" w:type="dxa"/>
                  <w:tcBorders>
                    <w:tl2br w:val="nil"/>
                    <w:tr2bl w:val="nil"/>
                  </w:tcBorders>
                  <w:noWrap w:val="0"/>
                  <w:vAlign w:val="center"/>
                </w:tcPr>
                <w:p w14:paraId="704CE98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序号</w:t>
                  </w:r>
                </w:p>
              </w:tc>
              <w:tc>
                <w:tcPr>
                  <w:tcW w:w="1620" w:type="dxa"/>
                  <w:tcBorders>
                    <w:tl2br w:val="nil"/>
                    <w:tr2bl w:val="nil"/>
                  </w:tcBorders>
                  <w:noWrap w:val="0"/>
                  <w:vAlign w:val="center"/>
                </w:tcPr>
                <w:p w14:paraId="3DCE20D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污染物</w:t>
                  </w:r>
                </w:p>
              </w:tc>
              <w:tc>
                <w:tcPr>
                  <w:tcW w:w="1997" w:type="dxa"/>
                  <w:tcBorders>
                    <w:tl2br w:val="nil"/>
                    <w:tr2bl w:val="nil"/>
                  </w:tcBorders>
                  <w:noWrap w:val="0"/>
                  <w:vAlign w:val="center"/>
                </w:tcPr>
                <w:p w14:paraId="5B6E8333">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《污水综合排放标准》（GB8978</w:t>
                  </w:r>
                  <w:r>
                    <w:rPr>
                      <w:rFonts w:hint="eastAsia" w:ascii="宋体" w:hAnsi="宋体" w:eastAsia="宋体" w:cs="宋体"/>
                      <w:color w:val="auto"/>
                      <w:highlight w:val="none"/>
                      <w:lang w:val="en-US" w:eastAsia="zh-CN"/>
                    </w:rPr>
                    <w:t>－</w:t>
                  </w:r>
                  <w:r>
                    <w:rPr>
                      <w:rFonts w:hint="default" w:ascii="Times New Roman" w:hAnsi="Times New Roman" w:eastAsia="宋体" w:cs="Times New Roman"/>
                      <w:color w:val="auto"/>
                      <w:sz w:val="21"/>
                      <w:szCs w:val="21"/>
                      <w:highlight w:val="none"/>
                      <w:lang w:val="en-US" w:eastAsia="zh-CN"/>
                    </w:rPr>
                    <w:t>1996）表4中三级标准</w:t>
                  </w:r>
                </w:p>
              </w:tc>
              <w:tc>
                <w:tcPr>
                  <w:tcW w:w="1914" w:type="dxa"/>
                  <w:tcBorders>
                    <w:tl2br w:val="nil"/>
                    <w:tr2bl w:val="nil"/>
                  </w:tcBorders>
                  <w:noWrap w:val="0"/>
                  <w:vAlign w:val="center"/>
                </w:tcPr>
                <w:p w14:paraId="68597191">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《污水排入城镇下水道水质标准》（GB/T31962</w:t>
                  </w:r>
                  <w:r>
                    <w:rPr>
                      <w:rFonts w:hint="eastAsia" w:ascii="宋体" w:hAnsi="宋体" w:eastAsia="宋体" w:cs="宋体"/>
                      <w:color w:val="auto"/>
                      <w:highlight w:val="none"/>
                      <w:lang w:val="en-US" w:eastAsia="zh-CN"/>
                    </w:rPr>
                    <w:t>－</w:t>
                  </w:r>
                  <w:r>
                    <w:rPr>
                      <w:rFonts w:hint="default" w:ascii="Times New Roman" w:hAnsi="Times New Roman" w:eastAsia="宋体" w:cs="Times New Roman"/>
                      <w:color w:val="auto"/>
                      <w:sz w:val="21"/>
                      <w:szCs w:val="21"/>
                      <w:highlight w:val="none"/>
                      <w:lang w:val="en-US" w:eastAsia="zh-CN"/>
                    </w:rPr>
                    <w:t>2015）</w:t>
                  </w:r>
                </w:p>
              </w:tc>
              <w:tc>
                <w:tcPr>
                  <w:tcW w:w="1256" w:type="dxa"/>
                  <w:tcBorders>
                    <w:tl2br w:val="nil"/>
                    <w:tr2bl w:val="nil"/>
                  </w:tcBorders>
                  <w:noWrap w:val="0"/>
                  <w:vAlign w:val="center"/>
                </w:tcPr>
                <w:p w14:paraId="3336F87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西郊</w:t>
                  </w:r>
                  <w:r>
                    <w:rPr>
                      <w:rFonts w:hint="default" w:ascii="Times New Roman" w:hAnsi="Times New Roman" w:eastAsia="宋体" w:cs="Times New Roman"/>
                      <w:color w:val="auto"/>
                      <w:sz w:val="21"/>
                      <w:szCs w:val="21"/>
                      <w:highlight w:val="none"/>
                      <w:lang w:val="en-US" w:eastAsia="zh-CN"/>
                    </w:rPr>
                    <w:t>污水处理厂进水水质要求</w:t>
                  </w:r>
                </w:p>
              </w:tc>
              <w:tc>
                <w:tcPr>
                  <w:tcW w:w="882" w:type="dxa"/>
                  <w:tcBorders>
                    <w:tl2br w:val="nil"/>
                    <w:tr2bl w:val="nil"/>
                  </w:tcBorders>
                  <w:noWrap w:val="0"/>
                  <w:vAlign w:val="center"/>
                </w:tcPr>
                <w:p w14:paraId="2A4B0925">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项目污水排放标准</w:t>
                  </w:r>
                </w:p>
              </w:tc>
            </w:tr>
            <w:tr w14:paraId="7A528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08" w:type="dxa"/>
                  <w:tcBorders>
                    <w:tl2br w:val="nil"/>
                    <w:tr2bl w:val="nil"/>
                  </w:tcBorders>
                  <w:noWrap w:val="0"/>
                  <w:vAlign w:val="center"/>
                </w:tcPr>
                <w:p w14:paraId="4CAA1FEC">
                  <w:pPr>
                    <w:keepNext w:val="0"/>
                    <w:keepLines w:val="0"/>
                    <w:pageBreakBefore w:val="0"/>
                    <w:widowControl/>
                    <w:numPr>
                      <w:ilvl w:val="0"/>
                      <w:numId w:val="26"/>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default" w:cs="Times New Roman"/>
                      <w:color w:val="auto"/>
                      <w:sz w:val="21"/>
                      <w:szCs w:val="21"/>
                      <w:highlight w:val="none"/>
                      <w:lang w:val="en-US" w:eastAsia="zh-CN"/>
                    </w:rPr>
                  </w:pPr>
                </w:p>
              </w:tc>
              <w:tc>
                <w:tcPr>
                  <w:tcW w:w="1620" w:type="dxa"/>
                  <w:tcBorders>
                    <w:tl2br w:val="nil"/>
                    <w:tr2bl w:val="nil"/>
                  </w:tcBorders>
                  <w:noWrap w:val="0"/>
                  <w:vAlign w:val="center"/>
                </w:tcPr>
                <w:p w14:paraId="7972E8D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pH（无量纲）</w:t>
                  </w:r>
                </w:p>
              </w:tc>
              <w:tc>
                <w:tcPr>
                  <w:tcW w:w="1997" w:type="dxa"/>
                  <w:tcBorders>
                    <w:tl2br w:val="nil"/>
                    <w:tr2bl w:val="nil"/>
                  </w:tcBorders>
                  <w:noWrap w:val="0"/>
                  <w:vAlign w:val="center"/>
                </w:tcPr>
                <w:p w14:paraId="33A395F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6-9</w:t>
                  </w:r>
                </w:p>
              </w:tc>
              <w:tc>
                <w:tcPr>
                  <w:tcW w:w="1914" w:type="dxa"/>
                  <w:tcBorders>
                    <w:tl2br w:val="nil"/>
                    <w:tr2bl w:val="nil"/>
                  </w:tcBorders>
                  <w:noWrap w:val="0"/>
                  <w:vAlign w:val="center"/>
                </w:tcPr>
                <w:p w14:paraId="134038E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ascii="宋体" w:hAnsi="宋体" w:eastAsia="宋体" w:cs="宋体"/>
                      <w:color w:val="auto"/>
                      <w:highlight w:val="none"/>
                      <w:lang w:val="en-US" w:eastAsia="zh-CN"/>
                    </w:rPr>
                    <w:t>－</w:t>
                  </w:r>
                </w:p>
              </w:tc>
              <w:tc>
                <w:tcPr>
                  <w:tcW w:w="1256" w:type="dxa"/>
                  <w:tcBorders>
                    <w:tl2br w:val="nil"/>
                    <w:tr2bl w:val="nil"/>
                  </w:tcBorders>
                  <w:noWrap w:val="0"/>
                  <w:vAlign w:val="center"/>
                </w:tcPr>
                <w:p w14:paraId="04F7008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882" w:type="dxa"/>
                  <w:tcBorders>
                    <w:tl2br w:val="nil"/>
                    <w:tr2bl w:val="nil"/>
                  </w:tcBorders>
                  <w:noWrap w:val="0"/>
                  <w:vAlign w:val="center"/>
                </w:tcPr>
                <w:p w14:paraId="0E0C2FF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6-9</w:t>
                  </w:r>
                </w:p>
              </w:tc>
            </w:tr>
            <w:tr w14:paraId="3D0F7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08" w:type="dxa"/>
                  <w:tcBorders>
                    <w:tl2br w:val="nil"/>
                    <w:tr2bl w:val="nil"/>
                  </w:tcBorders>
                  <w:noWrap w:val="0"/>
                  <w:vAlign w:val="center"/>
                </w:tcPr>
                <w:p w14:paraId="0299D9E6">
                  <w:pPr>
                    <w:keepNext w:val="0"/>
                    <w:keepLines w:val="0"/>
                    <w:pageBreakBefore w:val="0"/>
                    <w:widowControl/>
                    <w:numPr>
                      <w:ilvl w:val="0"/>
                      <w:numId w:val="26"/>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default" w:cs="Times New Roman"/>
                      <w:color w:val="auto"/>
                      <w:sz w:val="21"/>
                      <w:szCs w:val="21"/>
                      <w:highlight w:val="none"/>
                      <w:lang w:val="en-US" w:eastAsia="zh-CN"/>
                    </w:rPr>
                  </w:pPr>
                </w:p>
              </w:tc>
              <w:tc>
                <w:tcPr>
                  <w:tcW w:w="1620" w:type="dxa"/>
                  <w:tcBorders>
                    <w:tl2br w:val="nil"/>
                    <w:tr2bl w:val="nil"/>
                  </w:tcBorders>
                  <w:noWrap w:val="0"/>
                  <w:vAlign w:val="center"/>
                </w:tcPr>
                <w:p w14:paraId="725364A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COD（mg/L）</w:t>
                  </w:r>
                </w:p>
              </w:tc>
              <w:tc>
                <w:tcPr>
                  <w:tcW w:w="1997" w:type="dxa"/>
                  <w:tcBorders>
                    <w:tl2br w:val="nil"/>
                    <w:tr2bl w:val="nil"/>
                  </w:tcBorders>
                  <w:noWrap w:val="0"/>
                  <w:vAlign w:val="center"/>
                </w:tcPr>
                <w:p w14:paraId="58FF970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500</w:t>
                  </w:r>
                </w:p>
              </w:tc>
              <w:tc>
                <w:tcPr>
                  <w:tcW w:w="1914" w:type="dxa"/>
                  <w:tcBorders>
                    <w:tl2br w:val="nil"/>
                    <w:tr2bl w:val="nil"/>
                  </w:tcBorders>
                  <w:noWrap w:val="0"/>
                  <w:vAlign w:val="center"/>
                </w:tcPr>
                <w:p w14:paraId="6BD4E65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highlight w:val="none"/>
                      <w:lang w:val="en-US" w:eastAsia="zh-CN"/>
                    </w:rPr>
                    <w:t>－</w:t>
                  </w:r>
                </w:p>
              </w:tc>
              <w:tc>
                <w:tcPr>
                  <w:tcW w:w="1256" w:type="dxa"/>
                  <w:tcBorders>
                    <w:tl2br w:val="nil"/>
                    <w:tr2bl w:val="nil"/>
                  </w:tcBorders>
                  <w:noWrap w:val="0"/>
                  <w:vAlign w:val="center"/>
                </w:tcPr>
                <w:p w14:paraId="495CB70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425</w:t>
                  </w:r>
                </w:p>
              </w:tc>
              <w:tc>
                <w:tcPr>
                  <w:tcW w:w="882" w:type="dxa"/>
                  <w:tcBorders>
                    <w:tl2br w:val="nil"/>
                    <w:tr2bl w:val="nil"/>
                  </w:tcBorders>
                  <w:noWrap w:val="0"/>
                  <w:vAlign w:val="center"/>
                </w:tcPr>
                <w:p w14:paraId="68AD6EB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425</w:t>
                  </w:r>
                </w:p>
              </w:tc>
            </w:tr>
            <w:tr w14:paraId="2C062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08" w:type="dxa"/>
                  <w:tcBorders>
                    <w:tl2br w:val="nil"/>
                    <w:tr2bl w:val="nil"/>
                  </w:tcBorders>
                  <w:noWrap w:val="0"/>
                  <w:vAlign w:val="center"/>
                </w:tcPr>
                <w:p w14:paraId="2783F2E2">
                  <w:pPr>
                    <w:keepNext w:val="0"/>
                    <w:keepLines w:val="0"/>
                    <w:pageBreakBefore w:val="0"/>
                    <w:widowControl/>
                    <w:numPr>
                      <w:ilvl w:val="0"/>
                      <w:numId w:val="26"/>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cs="Times New Roman"/>
                      <w:color w:val="auto"/>
                      <w:sz w:val="21"/>
                      <w:szCs w:val="21"/>
                      <w:highlight w:val="none"/>
                      <w:lang w:val="en-US" w:eastAsia="zh-CN"/>
                    </w:rPr>
                  </w:pPr>
                </w:p>
              </w:tc>
              <w:tc>
                <w:tcPr>
                  <w:tcW w:w="1620" w:type="dxa"/>
                  <w:tcBorders>
                    <w:tl2br w:val="nil"/>
                    <w:tr2bl w:val="nil"/>
                  </w:tcBorders>
                  <w:noWrap w:val="0"/>
                  <w:vAlign w:val="center"/>
                </w:tcPr>
                <w:p w14:paraId="581D9BB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（mg/L）</w:t>
                  </w:r>
                </w:p>
              </w:tc>
              <w:tc>
                <w:tcPr>
                  <w:tcW w:w="1997" w:type="dxa"/>
                  <w:tcBorders>
                    <w:tl2br w:val="nil"/>
                    <w:tr2bl w:val="nil"/>
                  </w:tcBorders>
                  <w:noWrap w:val="0"/>
                  <w:vAlign w:val="center"/>
                </w:tcPr>
                <w:p w14:paraId="615B8A9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300</w:t>
                  </w:r>
                </w:p>
              </w:tc>
              <w:tc>
                <w:tcPr>
                  <w:tcW w:w="1914" w:type="dxa"/>
                  <w:tcBorders>
                    <w:tl2br w:val="nil"/>
                    <w:tr2bl w:val="nil"/>
                  </w:tcBorders>
                  <w:noWrap w:val="0"/>
                  <w:vAlign w:val="center"/>
                </w:tcPr>
                <w:p w14:paraId="698DF41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ascii="宋体" w:hAnsi="宋体" w:eastAsia="宋体" w:cs="宋体"/>
                      <w:color w:val="auto"/>
                      <w:highlight w:val="none"/>
                      <w:lang w:val="en-US" w:eastAsia="zh-CN"/>
                    </w:rPr>
                    <w:t>－</w:t>
                  </w:r>
                </w:p>
              </w:tc>
              <w:tc>
                <w:tcPr>
                  <w:tcW w:w="1256" w:type="dxa"/>
                  <w:tcBorders>
                    <w:tl2br w:val="nil"/>
                    <w:tr2bl w:val="nil"/>
                  </w:tcBorders>
                  <w:noWrap w:val="0"/>
                  <w:vAlign w:val="center"/>
                </w:tcPr>
                <w:p w14:paraId="10C480E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225</w:t>
                  </w:r>
                </w:p>
              </w:tc>
              <w:tc>
                <w:tcPr>
                  <w:tcW w:w="882" w:type="dxa"/>
                  <w:tcBorders>
                    <w:tl2br w:val="nil"/>
                    <w:tr2bl w:val="nil"/>
                  </w:tcBorders>
                  <w:noWrap w:val="0"/>
                  <w:vAlign w:val="center"/>
                </w:tcPr>
                <w:p w14:paraId="06E9541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225</w:t>
                  </w:r>
                </w:p>
              </w:tc>
            </w:tr>
            <w:tr w14:paraId="28640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08" w:type="dxa"/>
                  <w:tcBorders>
                    <w:tl2br w:val="nil"/>
                    <w:tr2bl w:val="nil"/>
                  </w:tcBorders>
                  <w:noWrap w:val="0"/>
                  <w:vAlign w:val="center"/>
                </w:tcPr>
                <w:p w14:paraId="2194A678">
                  <w:pPr>
                    <w:keepNext w:val="0"/>
                    <w:keepLines w:val="0"/>
                    <w:pageBreakBefore w:val="0"/>
                    <w:widowControl/>
                    <w:numPr>
                      <w:ilvl w:val="0"/>
                      <w:numId w:val="26"/>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cs="Times New Roman"/>
                      <w:color w:val="auto"/>
                      <w:sz w:val="21"/>
                      <w:szCs w:val="21"/>
                      <w:highlight w:val="none"/>
                      <w:lang w:val="en-US" w:eastAsia="zh-CN"/>
                    </w:rPr>
                  </w:pPr>
                </w:p>
              </w:tc>
              <w:tc>
                <w:tcPr>
                  <w:tcW w:w="1620" w:type="dxa"/>
                  <w:tcBorders>
                    <w:tl2br w:val="nil"/>
                    <w:tr2bl w:val="nil"/>
                  </w:tcBorders>
                  <w:noWrap w:val="0"/>
                  <w:vAlign w:val="center"/>
                </w:tcPr>
                <w:p w14:paraId="33B6A9F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SS（mg/L）</w:t>
                  </w:r>
                </w:p>
              </w:tc>
              <w:tc>
                <w:tcPr>
                  <w:tcW w:w="1997" w:type="dxa"/>
                  <w:tcBorders>
                    <w:tl2br w:val="nil"/>
                    <w:tr2bl w:val="nil"/>
                  </w:tcBorders>
                  <w:noWrap w:val="0"/>
                  <w:vAlign w:val="center"/>
                </w:tcPr>
                <w:p w14:paraId="31957A0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400</w:t>
                  </w:r>
                </w:p>
              </w:tc>
              <w:tc>
                <w:tcPr>
                  <w:tcW w:w="1914" w:type="dxa"/>
                  <w:tcBorders>
                    <w:tl2br w:val="nil"/>
                    <w:tr2bl w:val="nil"/>
                  </w:tcBorders>
                  <w:noWrap w:val="0"/>
                  <w:vAlign w:val="center"/>
                </w:tcPr>
                <w:p w14:paraId="313061B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highlight w:val="none"/>
                      <w:lang w:val="en-US" w:eastAsia="zh-CN"/>
                    </w:rPr>
                    <w:t>－</w:t>
                  </w:r>
                </w:p>
              </w:tc>
              <w:tc>
                <w:tcPr>
                  <w:tcW w:w="1256" w:type="dxa"/>
                  <w:tcBorders>
                    <w:tl2br w:val="nil"/>
                    <w:tr2bl w:val="nil"/>
                  </w:tcBorders>
                  <w:noWrap w:val="0"/>
                  <w:vAlign w:val="center"/>
                </w:tcPr>
                <w:p w14:paraId="7AB9318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w:t>
                  </w:r>
                </w:p>
              </w:tc>
              <w:tc>
                <w:tcPr>
                  <w:tcW w:w="882" w:type="dxa"/>
                  <w:tcBorders>
                    <w:tl2br w:val="nil"/>
                    <w:tr2bl w:val="nil"/>
                  </w:tcBorders>
                  <w:noWrap w:val="0"/>
                  <w:vAlign w:val="center"/>
                </w:tcPr>
                <w:p w14:paraId="1BD66B6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w:t>
                  </w:r>
                </w:p>
              </w:tc>
            </w:tr>
            <w:tr w14:paraId="1A606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08" w:type="dxa"/>
                  <w:tcBorders>
                    <w:tl2br w:val="nil"/>
                    <w:tr2bl w:val="nil"/>
                  </w:tcBorders>
                  <w:noWrap w:val="0"/>
                  <w:vAlign w:val="center"/>
                </w:tcPr>
                <w:p w14:paraId="0A5DD3CB">
                  <w:pPr>
                    <w:keepNext w:val="0"/>
                    <w:keepLines w:val="0"/>
                    <w:pageBreakBefore w:val="0"/>
                    <w:widowControl/>
                    <w:numPr>
                      <w:ilvl w:val="0"/>
                      <w:numId w:val="26"/>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cs="Times New Roman"/>
                      <w:color w:val="auto"/>
                      <w:sz w:val="21"/>
                      <w:szCs w:val="21"/>
                      <w:highlight w:val="none"/>
                      <w:lang w:val="en-US" w:eastAsia="zh-CN"/>
                    </w:rPr>
                  </w:pPr>
                </w:p>
              </w:tc>
              <w:tc>
                <w:tcPr>
                  <w:tcW w:w="1620" w:type="dxa"/>
                  <w:tcBorders>
                    <w:tl2br w:val="nil"/>
                    <w:tr2bl w:val="nil"/>
                  </w:tcBorders>
                  <w:noWrap w:val="0"/>
                  <w:vAlign w:val="center"/>
                </w:tcPr>
                <w:p w14:paraId="5B76296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NH</w:t>
                  </w:r>
                  <w:r>
                    <w:rPr>
                      <w:rFonts w:hint="eastAsia"/>
                      <w:color w:val="auto"/>
                      <w:sz w:val="21"/>
                      <w:szCs w:val="21"/>
                      <w:highlight w:val="none"/>
                      <w:vertAlign w:val="subscript"/>
                      <w:lang w:val="en-US" w:eastAsia="zh-CN"/>
                    </w:rPr>
                    <w:t>3</w:t>
                  </w:r>
                  <w:r>
                    <w:rPr>
                      <w:rFonts w:hint="eastAsia"/>
                      <w:color w:val="auto"/>
                      <w:sz w:val="21"/>
                      <w:szCs w:val="21"/>
                      <w:highlight w:val="none"/>
                      <w:lang w:val="en-US" w:eastAsia="zh-CN"/>
                    </w:rPr>
                    <w:t>-N（mg/L）</w:t>
                  </w:r>
                </w:p>
              </w:tc>
              <w:tc>
                <w:tcPr>
                  <w:tcW w:w="1997" w:type="dxa"/>
                  <w:tcBorders>
                    <w:tl2br w:val="nil"/>
                    <w:tr2bl w:val="nil"/>
                  </w:tcBorders>
                  <w:noWrap w:val="0"/>
                  <w:vAlign w:val="center"/>
                </w:tcPr>
                <w:p w14:paraId="205884E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ascii="宋体" w:hAnsi="宋体" w:eastAsia="宋体" w:cs="宋体"/>
                      <w:color w:val="auto"/>
                      <w:highlight w:val="none"/>
                      <w:lang w:val="en-US" w:eastAsia="zh-CN"/>
                    </w:rPr>
                    <w:t>－</w:t>
                  </w:r>
                </w:p>
              </w:tc>
              <w:tc>
                <w:tcPr>
                  <w:tcW w:w="1914" w:type="dxa"/>
                  <w:tcBorders>
                    <w:tl2br w:val="nil"/>
                    <w:tr2bl w:val="nil"/>
                  </w:tcBorders>
                  <w:noWrap w:val="0"/>
                  <w:vAlign w:val="center"/>
                </w:tcPr>
                <w:p w14:paraId="5F17E92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256" w:type="dxa"/>
                  <w:tcBorders>
                    <w:tl2br w:val="nil"/>
                    <w:tr2bl w:val="nil"/>
                  </w:tcBorders>
                  <w:noWrap w:val="0"/>
                  <w:vAlign w:val="center"/>
                </w:tcPr>
                <w:p w14:paraId="448903B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45</w:t>
                  </w:r>
                </w:p>
              </w:tc>
              <w:tc>
                <w:tcPr>
                  <w:tcW w:w="882" w:type="dxa"/>
                  <w:tcBorders>
                    <w:tl2br w:val="nil"/>
                    <w:tr2bl w:val="nil"/>
                  </w:tcBorders>
                  <w:noWrap w:val="0"/>
                  <w:vAlign w:val="center"/>
                </w:tcPr>
                <w:p w14:paraId="54A1116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45</w:t>
                  </w:r>
                </w:p>
              </w:tc>
            </w:tr>
            <w:tr w14:paraId="471D1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08" w:type="dxa"/>
                  <w:tcBorders>
                    <w:tl2br w:val="nil"/>
                    <w:tr2bl w:val="nil"/>
                  </w:tcBorders>
                  <w:noWrap w:val="0"/>
                  <w:vAlign w:val="center"/>
                </w:tcPr>
                <w:p w14:paraId="52CDCF15">
                  <w:pPr>
                    <w:keepNext w:val="0"/>
                    <w:keepLines w:val="0"/>
                    <w:pageBreakBefore w:val="0"/>
                    <w:widowControl/>
                    <w:numPr>
                      <w:ilvl w:val="0"/>
                      <w:numId w:val="26"/>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cs="Times New Roman"/>
                      <w:color w:val="auto"/>
                      <w:sz w:val="21"/>
                      <w:szCs w:val="21"/>
                      <w:highlight w:val="none"/>
                      <w:lang w:val="en-US" w:eastAsia="zh-CN"/>
                    </w:rPr>
                  </w:pPr>
                </w:p>
              </w:tc>
              <w:tc>
                <w:tcPr>
                  <w:tcW w:w="1620" w:type="dxa"/>
                  <w:tcBorders>
                    <w:tl2br w:val="nil"/>
                    <w:tr2bl w:val="nil"/>
                  </w:tcBorders>
                  <w:noWrap w:val="0"/>
                  <w:vAlign w:val="center"/>
                </w:tcPr>
                <w:p w14:paraId="65A6463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总磷（mg/L）</w:t>
                  </w:r>
                </w:p>
              </w:tc>
              <w:tc>
                <w:tcPr>
                  <w:tcW w:w="1997" w:type="dxa"/>
                  <w:tcBorders>
                    <w:tl2br w:val="nil"/>
                    <w:tr2bl w:val="nil"/>
                  </w:tcBorders>
                  <w:noWrap w:val="0"/>
                  <w:vAlign w:val="center"/>
                </w:tcPr>
                <w:p w14:paraId="0A2F5D4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eastAsia="宋体"/>
                      <w:color w:val="auto"/>
                      <w:sz w:val="21"/>
                      <w:szCs w:val="21"/>
                      <w:highlight w:val="none"/>
                      <w:lang w:val="en-US" w:eastAsia="zh-CN"/>
                    </w:rPr>
                  </w:pPr>
                  <w:r>
                    <w:rPr>
                      <w:rFonts w:hint="eastAsia" w:ascii="宋体" w:hAnsi="宋体" w:eastAsia="宋体" w:cs="宋体"/>
                      <w:color w:val="auto"/>
                      <w:highlight w:val="none"/>
                      <w:lang w:val="en-US" w:eastAsia="zh-CN"/>
                    </w:rPr>
                    <w:t>－</w:t>
                  </w:r>
                </w:p>
              </w:tc>
              <w:tc>
                <w:tcPr>
                  <w:tcW w:w="1914" w:type="dxa"/>
                  <w:tcBorders>
                    <w:tl2br w:val="nil"/>
                    <w:tr2bl w:val="nil"/>
                  </w:tcBorders>
                  <w:noWrap w:val="0"/>
                  <w:vAlign w:val="center"/>
                </w:tcPr>
                <w:p w14:paraId="0A241DB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256" w:type="dxa"/>
                  <w:tcBorders>
                    <w:tl2br w:val="nil"/>
                    <w:tr2bl w:val="nil"/>
                  </w:tcBorders>
                  <w:noWrap w:val="0"/>
                  <w:vAlign w:val="center"/>
                </w:tcPr>
                <w:p w14:paraId="23E57761">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882" w:type="dxa"/>
                  <w:tcBorders>
                    <w:tl2br w:val="nil"/>
                    <w:tr2bl w:val="nil"/>
                  </w:tcBorders>
                  <w:noWrap w:val="0"/>
                  <w:vAlign w:val="center"/>
                </w:tcPr>
                <w:p w14:paraId="6492DFB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14:paraId="472F6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08" w:type="dxa"/>
                  <w:tcBorders>
                    <w:tl2br w:val="nil"/>
                    <w:tr2bl w:val="nil"/>
                  </w:tcBorders>
                  <w:noWrap w:val="0"/>
                  <w:vAlign w:val="center"/>
                </w:tcPr>
                <w:p w14:paraId="75D147B5">
                  <w:pPr>
                    <w:keepNext w:val="0"/>
                    <w:keepLines w:val="0"/>
                    <w:pageBreakBefore w:val="0"/>
                    <w:widowControl/>
                    <w:numPr>
                      <w:ilvl w:val="0"/>
                      <w:numId w:val="26"/>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cs="Times New Roman"/>
                      <w:color w:val="auto"/>
                      <w:sz w:val="21"/>
                      <w:szCs w:val="21"/>
                      <w:highlight w:val="none"/>
                      <w:lang w:val="en-US" w:eastAsia="zh-CN"/>
                    </w:rPr>
                  </w:pPr>
                </w:p>
              </w:tc>
              <w:tc>
                <w:tcPr>
                  <w:tcW w:w="1620" w:type="dxa"/>
                  <w:tcBorders>
                    <w:tl2br w:val="nil"/>
                    <w:tr2bl w:val="nil"/>
                  </w:tcBorders>
                  <w:noWrap w:val="0"/>
                  <w:vAlign w:val="center"/>
                </w:tcPr>
                <w:p w14:paraId="377CA563">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总氮（mg/L）</w:t>
                  </w:r>
                </w:p>
              </w:tc>
              <w:tc>
                <w:tcPr>
                  <w:tcW w:w="1997" w:type="dxa"/>
                  <w:tcBorders>
                    <w:tl2br w:val="nil"/>
                    <w:tr2bl w:val="nil"/>
                  </w:tcBorders>
                  <w:noWrap w:val="0"/>
                  <w:vAlign w:val="center"/>
                </w:tcPr>
                <w:p w14:paraId="78EE191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914" w:type="dxa"/>
                  <w:tcBorders>
                    <w:tl2br w:val="nil"/>
                    <w:tr2bl w:val="nil"/>
                  </w:tcBorders>
                  <w:noWrap w:val="0"/>
                  <w:vAlign w:val="center"/>
                </w:tcPr>
                <w:p w14:paraId="49ED14F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1256" w:type="dxa"/>
                  <w:tcBorders>
                    <w:tl2br w:val="nil"/>
                    <w:tr2bl w:val="nil"/>
                  </w:tcBorders>
                  <w:noWrap w:val="0"/>
                  <w:vAlign w:val="center"/>
                </w:tcPr>
                <w:p w14:paraId="4442BA3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ascii="宋体" w:hAnsi="宋体" w:eastAsia="宋体" w:cs="宋体"/>
                      <w:color w:val="auto"/>
                      <w:highlight w:val="none"/>
                      <w:lang w:val="en-US" w:eastAsia="zh-CN"/>
                    </w:rPr>
                    <w:t>－</w:t>
                  </w:r>
                </w:p>
              </w:tc>
              <w:tc>
                <w:tcPr>
                  <w:tcW w:w="882" w:type="dxa"/>
                  <w:tcBorders>
                    <w:tl2br w:val="nil"/>
                    <w:tr2bl w:val="nil"/>
                  </w:tcBorders>
                  <w:noWrap w:val="0"/>
                  <w:vAlign w:val="center"/>
                </w:tcPr>
                <w:p w14:paraId="6A19C890">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r>
            <w:tr w14:paraId="752A2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08" w:type="dxa"/>
                  <w:tcBorders>
                    <w:tl2br w:val="nil"/>
                    <w:tr2bl w:val="nil"/>
                  </w:tcBorders>
                  <w:noWrap w:val="0"/>
                  <w:vAlign w:val="center"/>
                </w:tcPr>
                <w:p w14:paraId="77641D74">
                  <w:pPr>
                    <w:keepNext w:val="0"/>
                    <w:keepLines w:val="0"/>
                    <w:pageBreakBefore w:val="0"/>
                    <w:widowControl/>
                    <w:numPr>
                      <w:ilvl w:val="0"/>
                      <w:numId w:val="26"/>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620" w:type="dxa"/>
                  <w:tcBorders>
                    <w:tl2br w:val="nil"/>
                    <w:tr2bl w:val="nil"/>
                  </w:tcBorders>
                  <w:noWrap w:val="0"/>
                  <w:vAlign w:val="center"/>
                </w:tcPr>
                <w:p w14:paraId="788369E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动植物油（mg/L）</w:t>
                  </w:r>
                </w:p>
              </w:tc>
              <w:tc>
                <w:tcPr>
                  <w:tcW w:w="1997" w:type="dxa"/>
                  <w:tcBorders>
                    <w:tl2br w:val="nil"/>
                    <w:tr2bl w:val="nil"/>
                  </w:tcBorders>
                  <w:noWrap w:val="0"/>
                  <w:vAlign w:val="center"/>
                </w:tcPr>
                <w:p w14:paraId="49B39CE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914" w:type="dxa"/>
                  <w:tcBorders>
                    <w:tl2br w:val="nil"/>
                    <w:tr2bl w:val="nil"/>
                  </w:tcBorders>
                  <w:noWrap w:val="0"/>
                  <w:vAlign w:val="center"/>
                </w:tcPr>
                <w:p w14:paraId="1CE92E5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56" w:type="dxa"/>
                  <w:tcBorders>
                    <w:tl2br w:val="nil"/>
                    <w:tr2bl w:val="nil"/>
                  </w:tcBorders>
                  <w:noWrap w:val="0"/>
                  <w:vAlign w:val="center"/>
                </w:tcPr>
                <w:p w14:paraId="0623A64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82" w:type="dxa"/>
                  <w:tcBorders>
                    <w:tl2br w:val="nil"/>
                    <w:tr2bl w:val="nil"/>
                  </w:tcBorders>
                  <w:noWrap w:val="0"/>
                  <w:vAlign w:val="center"/>
                </w:tcPr>
                <w:p w14:paraId="3532A16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100</w:t>
                  </w:r>
                </w:p>
              </w:tc>
            </w:tr>
          </w:tbl>
          <w:p w14:paraId="4BE080C9">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color w:val="auto"/>
                <w:highlight w:val="none"/>
              </w:rPr>
              <w:t>厂界噪声执行《工业企业厂界环境噪声排放标准》（GB12348-2008）</w:t>
            </w:r>
            <w:r>
              <w:rPr>
                <w:rFonts w:hint="eastAsia"/>
                <w:color w:val="auto"/>
                <w:highlight w:val="none"/>
                <w:lang w:val="en-US" w:eastAsia="zh-CN"/>
              </w:rPr>
              <w:t>1</w:t>
            </w:r>
            <w:r>
              <w:rPr>
                <w:color w:val="auto"/>
                <w:highlight w:val="none"/>
              </w:rPr>
              <w:t>类标准</w:t>
            </w:r>
            <w:r>
              <w:rPr>
                <w:rFonts w:hint="eastAsia"/>
                <w:color w:val="auto"/>
                <w:highlight w:val="none"/>
                <w:lang w:val="en-US" w:eastAsia="zh-CN"/>
              </w:rPr>
              <w:t>：昼间55dB（A）</w:t>
            </w:r>
            <w:r>
              <w:rPr>
                <w:rFonts w:hint="eastAsia"/>
                <w:color w:val="auto"/>
                <w:highlight w:val="none"/>
                <w:lang w:eastAsia="zh-CN"/>
              </w:rPr>
              <w:t>。</w:t>
            </w:r>
          </w:p>
          <w:p w14:paraId="41820EC8">
            <w:pPr>
              <w:bidi w:val="0"/>
              <w:rPr>
                <w:rFonts w:hint="eastAsia" w:ascii="宋体" w:hAnsi="宋体" w:eastAsia="宋体" w:cs="宋体"/>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4"/>
                <w:sz w:val="24"/>
                <w:highlight w:val="none"/>
              </w:rPr>
              <w:t>一般固体废物执行《中华人民共和国固体废物污染环境防治法》中第二十条第一款：产生、收集、贮存、运输、利用、处置固体废物的单位和其他生产经营者</w:t>
            </w:r>
            <w:r>
              <w:rPr>
                <w:rFonts w:hint="eastAsia" w:ascii="宋体" w:hAnsi="宋体" w:cs="宋体"/>
                <w:color w:val="auto"/>
                <w:kern w:val="24"/>
                <w:sz w:val="24"/>
                <w:highlight w:val="none"/>
                <w:lang w:eastAsia="zh-CN"/>
              </w:rPr>
              <w:t>，</w:t>
            </w:r>
            <w:r>
              <w:rPr>
                <w:rFonts w:hint="default" w:ascii="Times New Roman" w:hAnsi="Times New Roman" w:eastAsia="宋体" w:cs="Times New Roman"/>
                <w:color w:val="auto"/>
                <w:kern w:val="24"/>
                <w:sz w:val="24"/>
                <w:highlight w:val="none"/>
              </w:rPr>
              <w:t>应当采取防扬散、防流失、防渗漏或者其他防止污染环境的措施</w:t>
            </w:r>
            <w:r>
              <w:rPr>
                <w:rFonts w:hint="eastAsia"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不得擅自倾倒、堆放、丢弃、遗撒固体废物。营运期生活垃圾处置参照执行《中华人民共和国固体废物污染环境防治法》（2020年9月1日</w:t>
            </w:r>
            <w:r>
              <w:rPr>
                <w:rFonts w:hint="eastAsia" w:ascii="宋体" w:hAnsi="宋体" w:eastAsia="宋体" w:cs="宋体"/>
                <w:color w:val="auto"/>
                <w:kern w:val="24"/>
                <w:sz w:val="24"/>
                <w:highlight w:val="none"/>
              </w:rPr>
              <w:t>）</w:t>
            </w:r>
            <w:r>
              <w:rPr>
                <w:rFonts w:hint="eastAsia" w:ascii="宋体" w:hAnsi="宋体" w:eastAsia="宋体" w:cs="宋体"/>
                <w:color w:val="auto"/>
                <w:kern w:val="24"/>
                <w:sz w:val="24"/>
                <w:highlight w:val="none"/>
                <w:lang w:eastAsia="zh-CN"/>
              </w:rPr>
              <w:t>“</w:t>
            </w:r>
            <w:r>
              <w:rPr>
                <w:rFonts w:hint="eastAsia" w:ascii="宋体" w:hAnsi="宋体" w:eastAsia="宋体" w:cs="宋体"/>
                <w:color w:val="auto"/>
                <w:kern w:val="24"/>
                <w:sz w:val="24"/>
                <w:highlight w:val="none"/>
              </w:rPr>
              <w:t>第四章生活垃圾</w:t>
            </w:r>
            <w:r>
              <w:rPr>
                <w:rFonts w:hint="eastAsia" w:ascii="宋体" w:hAnsi="宋体" w:eastAsia="宋体" w:cs="宋体"/>
                <w:color w:val="auto"/>
                <w:kern w:val="24"/>
                <w:sz w:val="24"/>
                <w:highlight w:val="none"/>
                <w:lang w:eastAsia="zh-CN"/>
              </w:rPr>
              <w:t>”</w:t>
            </w:r>
            <w:r>
              <w:rPr>
                <w:rFonts w:hint="eastAsia" w:ascii="宋体" w:hAnsi="宋体" w:eastAsia="宋体" w:cs="宋体"/>
                <w:color w:val="auto"/>
                <w:kern w:val="24"/>
                <w:sz w:val="24"/>
                <w:highlight w:val="none"/>
              </w:rPr>
              <w:t>的相关规定</w:t>
            </w:r>
            <w:r>
              <w:rPr>
                <w:rFonts w:hint="eastAsia" w:ascii="宋体" w:hAnsi="宋体" w:eastAsia="宋体" w:cs="宋体"/>
                <w:color w:val="auto"/>
                <w:kern w:val="24"/>
                <w:sz w:val="24"/>
                <w:highlight w:val="none"/>
                <w:lang w:eastAsia="zh-CN"/>
              </w:rPr>
              <w:t>。</w:t>
            </w:r>
          </w:p>
          <w:p w14:paraId="2031D87F">
            <w:pPr>
              <w:bidi w:val="0"/>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color w:val="auto"/>
                <w:highlight w:val="none"/>
                <w:lang w:val="en-US" w:eastAsia="zh-CN"/>
              </w:rPr>
              <w:t>（9）</w:t>
            </w:r>
            <w:r>
              <w:rPr>
                <w:rFonts w:hint="eastAsia"/>
                <w:color w:val="auto"/>
                <w:highlight w:val="none"/>
              </w:rPr>
              <w:t>危险废物执行《危险废物贮存污染控制标准》（GB18597-20</w:t>
            </w:r>
            <w:r>
              <w:rPr>
                <w:rFonts w:hint="eastAsia"/>
                <w:color w:val="auto"/>
                <w:highlight w:val="none"/>
                <w:lang w:val="en-US" w:eastAsia="zh-CN"/>
              </w:rPr>
              <w:t>23</w:t>
            </w:r>
            <w:r>
              <w:rPr>
                <w:rFonts w:hint="eastAsia"/>
                <w:color w:val="auto"/>
                <w:highlight w:val="none"/>
              </w:rPr>
              <w:t>）。</w:t>
            </w:r>
          </w:p>
        </w:tc>
      </w:tr>
      <w:tr w14:paraId="4AACE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854" w:type="dxa"/>
            <w:noWrap w:val="0"/>
            <w:vAlign w:val="center"/>
          </w:tcPr>
          <w:p w14:paraId="38BBF14C">
            <w:pPr>
              <w:pStyle w:val="31"/>
              <w:bidi w:val="0"/>
              <w:rPr>
                <w:rFonts w:hint="eastAsia"/>
                <w:color w:val="auto"/>
                <w:sz w:val="24"/>
                <w:szCs w:val="24"/>
                <w:highlight w:val="none"/>
              </w:rPr>
            </w:pPr>
            <w:r>
              <w:rPr>
                <w:rFonts w:hint="eastAsia"/>
                <w:color w:val="auto"/>
                <w:sz w:val="24"/>
                <w:szCs w:val="24"/>
                <w:highlight w:val="none"/>
              </w:rPr>
              <w:t>总量</w:t>
            </w:r>
          </w:p>
          <w:p w14:paraId="4973547E">
            <w:pPr>
              <w:pStyle w:val="31"/>
              <w:bidi w:val="0"/>
              <w:rPr>
                <w:rFonts w:hint="eastAsia"/>
                <w:color w:val="auto"/>
                <w:sz w:val="24"/>
                <w:szCs w:val="24"/>
                <w:highlight w:val="none"/>
              </w:rPr>
            </w:pPr>
            <w:r>
              <w:rPr>
                <w:rFonts w:hint="eastAsia"/>
                <w:color w:val="auto"/>
                <w:sz w:val="24"/>
                <w:szCs w:val="24"/>
                <w:highlight w:val="none"/>
              </w:rPr>
              <w:t>控制</w:t>
            </w:r>
          </w:p>
          <w:p w14:paraId="013BE27C">
            <w:pPr>
              <w:pStyle w:val="31"/>
              <w:bidi w:val="0"/>
              <w:ind w:firstLine="0" w:firstLineChars="0"/>
              <w:rPr>
                <w:rFonts w:hint="eastAsia" w:ascii="Times New Roman" w:hAnsi="Times New Roman" w:eastAsia="宋体" w:cs="Times New Roman"/>
                <w:color w:val="auto"/>
                <w:kern w:val="1"/>
                <w:sz w:val="24"/>
                <w:szCs w:val="24"/>
                <w:highlight w:val="none"/>
                <w:lang w:val="en-US" w:eastAsia="zh-CN" w:bidi="ar-SA"/>
              </w:rPr>
            </w:pPr>
            <w:r>
              <w:rPr>
                <w:rFonts w:hint="eastAsia"/>
                <w:color w:val="auto"/>
                <w:sz w:val="24"/>
                <w:szCs w:val="24"/>
                <w:highlight w:val="none"/>
              </w:rPr>
              <w:t>指标</w:t>
            </w:r>
          </w:p>
        </w:tc>
        <w:tc>
          <w:tcPr>
            <w:tcW w:w="8500" w:type="dxa"/>
            <w:noWrap w:val="0"/>
            <w:vAlign w:val="center"/>
          </w:tcPr>
          <w:p w14:paraId="69479D5C">
            <w:pPr>
              <w:pStyle w:val="9"/>
              <w:rPr>
                <w:rFonts w:hint="default"/>
                <w:color w:val="auto"/>
                <w:highlight w:val="none"/>
              </w:rPr>
            </w:pPr>
            <w:r>
              <w:rPr>
                <w:rFonts w:hint="default"/>
                <w:color w:val="auto"/>
                <w:highlight w:val="none"/>
              </w:rPr>
              <w:t>根据</w:t>
            </w:r>
            <w:r>
              <w:rPr>
                <w:rFonts w:hint="eastAsia"/>
                <w:color w:val="auto"/>
                <w:highlight w:val="none"/>
                <w:lang w:val="en-US" w:eastAsia="zh-CN"/>
              </w:rPr>
              <w:t>国家总量控制相关要求</w:t>
            </w:r>
            <w:r>
              <w:rPr>
                <w:rFonts w:hint="default"/>
                <w:color w:val="auto"/>
                <w:highlight w:val="none"/>
              </w:rPr>
              <w:t>，同时根据</w:t>
            </w:r>
            <w:r>
              <w:rPr>
                <w:rFonts w:hint="default"/>
                <w:color w:val="auto"/>
                <w:highlight w:val="none"/>
                <w:lang w:eastAsia="zh-CN"/>
              </w:rPr>
              <w:t>河北</w:t>
            </w:r>
            <w:r>
              <w:rPr>
                <w:rFonts w:hint="default"/>
                <w:color w:val="auto"/>
                <w:highlight w:val="none"/>
              </w:rPr>
              <w:t>省环保厅的要求，以及项目厂址区域环境质量现状、外排污染物特征，确定总量控制因子为：</w:t>
            </w:r>
          </w:p>
          <w:p w14:paraId="2F397DFF">
            <w:pPr>
              <w:bidi w:val="0"/>
              <w:rPr>
                <w:rFonts w:hint="default"/>
                <w:color w:val="auto"/>
                <w:highlight w:val="none"/>
              </w:rPr>
            </w:pPr>
            <w:r>
              <w:rPr>
                <w:rFonts w:hint="default"/>
                <w:color w:val="auto"/>
                <w:highlight w:val="none"/>
              </w:rPr>
              <w:t>废气：SO</w:t>
            </w:r>
            <w:r>
              <w:rPr>
                <w:rFonts w:hint="default"/>
                <w:color w:val="auto"/>
                <w:highlight w:val="none"/>
                <w:vertAlign w:val="subscript"/>
              </w:rPr>
              <w:t>2</w:t>
            </w:r>
            <w:r>
              <w:rPr>
                <w:rFonts w:hint="default"/>
                <w:color w:val="auto"/>
                <w:highlight w:val="none"/>
              </w:rPr>
              <w:t>、NO</w:t>
            </w:r>
            <w:r>
              <w:rPr>
                <w:rFonts w:hint="default"/>
                <w:color w:val="auto"/>
                <w:highlight w:val="none"/>
                <w:vertAlign w:val="subscript"/>
              </w:rPr>
              <w:t>X</w:t>
            </w:r>
            <w:r>
              <w:rPr>
                <w:rFonts w:hint="default"/>
                <w:color w:val="auto"/>
                <w:highlight w:val="none"/>
              </w:rPr>
              <w:t>；</w:t>
            </w:r>
          </w:p>
          <w:p w14:paraId="4EFFBCD6">
            <w:pPr>
              <w:bidi w:val="0"/>
              <w:rPr>
                <w:rFonts w:hint="eastAsia"/>
                <w:color w:val="auto"/>
                <w:highlight w:val="none"/>
                <w:lang w:eastAsia="zh-CN"/>
              </w:rPr>
            </w:pPr>
            <w:r>
              <w:rPr>
                <w:rFonts w:hint="default"/>
                <w:color w:val="auto"/>
                <w:highlight w:val="none"/>
              </w:rPr>
              <w:t>废水：COD、氨氮</w:t>
            </w:r>
            <w:r>
              <w:rPr>
                <w:rFonts w:hint="eastAsia"/>
                <w:color w:val="auto"/>
                <w:highlight w:val="none"/>
                <w:lang w:eastAsia="zh-CN"/>
              </w:rPr>
              <w:t>、</w:t>
            </w:r>
            <w:r>
              <w:rPr>
                <w:rFonts w:hint="eastAsia"/>
                <w:color w:val="auto"/>
                <w:highlight w:val="none"/>
                <w:lang w:val="en-US" w:eastAsia="zh-CN"/>
              </w:rPr>
              <w:t>总氮</w:t>
            </w:r>
            <w:r>
              <w:rPr>
                <w:rFonts w:hint="eastAsia"/>
                <w:color w:val="auto"/>
                <w:highlight w:val="none"/>
                <w:lang w:eastAsia="zh-CN"/>
              </w:rPr>
              <w:t>；</w:t>
            </w:r>
          </w:p>
          <w:p w14:paraId="69A2C7A0">
            <w:pPr>
              <w:bidi w:val="0"/>
              <w:rPr>
                <w:rFonts w:hint="default"/>
                <w:color w:val="auto"/>
                <w:highlight w:val="none"/>
                <w:lang w:val="en-US" w:eastAsia="zh-CN"/>
              </w:rPr>
            </w:pPr>
            <w:r>
              <w:rPr>
                <w:rFonts w:hint="eastAsia"/>
                <w:color w:val="auto"/>
                <w:highlight w:val="none"/>
                <w:lang w:val="en-US" w:eastAsia="zh-CN"/>
              </w:rPr>
              <w:t>其他污染物：颗粒物、非甲烷总烃、苯、甲苯与二甲苯合计。</w:t>
            </w:r>
          </w:p>
          <w:p w14:paraId="42282EB6">
            <w:pPr>
              <w:bidi w:val="0"/>
              <w:rPr>
                <w:rFonts w:hint="default"/>
                <w:color w:val="auto"/>
                <w:highlight w:val="none"/>
              </w:rPr>
            </w:pPr>
            <w:r>
              <w:rPr>
                <w:rFonts w:hint="default" w:ascii="Times New Roman" w:hAnsi="Times New Roman" w:cs="Times New Roman"/>
                <w:color w:val="auto"/>
                <w:highlight w:val="none"/>
              </w:rPr>
              <w:t>根据《关于印发&lt;建设项目主要污染物排放总量指标审核及管理暂行办法&gt; 的通知》（环发[2014]197号）中指标审核规定</w:t>
            </w:r>
            <w:r>
              <w:rPr>
                <w:rFonts w:hint="eastAsia" w:ascii="宋体" w:hAnsi="宋体" w:eastAsia="宋体" w:cs="宋体"/>
                <w:color w:val="auto"/>
                <w:highlight w:val="none"/>
              </w:rPr>
              <w:t>“火电、钢铁、水泥、造纸、印染行业建设项目所需替代的主要污染物排放总量指标采用绩效方法核定，其他行业依照国家或地方污染物排放标准及单位产品基准排水量（行业最高允许排水量）、烟气量等予以核定”。</w:t>
            </w:r>
            <w:r>
              <w:rPr>
                <w:rFonts w:hint="default" w:ascii="Times New Roman" w:hAnsi="Times New Roman" w:cs="Times New Roman"/>
                <w:color w:val="auto"/>
                <w:highlight w:val="none"/>
              </w:rPr>
              <w:t>项目污染</w:t>
            </w:r>
            <w:r>
              <w:rPr>
                <w:rFonts w:hint="default" w:ascii="Times New Roman" w:hAnsi="Times New Roman" w:cs="Times New Roman"/>
                <w:color w:val="auto"/>
                <w:highlight w:val="none"/>
                <w:lang w:val="en-US" w:eastAsia="zh-CN"/>
              </w:rPr>
              <w:t>物</w:t>
            </w:r>
            <w:r>
              <w:rPr>
                <w:rFonts w:hint="default" w:ascii="Times New Roman" w:hAnsi="Times New Roman" w:cs="Times New Roman"/>
                <w:color w:val="auto"/>
                <w:highlight w:val="none"/>
              </w:rPr>
              <w:t>总量指标按照排放标准进行核定。</w:t>
            </w:r>
          </w:p>
          <w:p w14:paraId="3612CD5C">
            <w:pPr>
              <w:bidi w:val="0"/>
              <w:ind w:left="0" w:leftChars="0" w:firstLine="0" w:firstLineChars="0"/>
              <w:rPr>
                <w:rFonts w:hint="eastAsia"/>
                <w:color w:val="auto"/>
                <w:highlight w:val="none"/>
                <w:lang w:val="en-US" w:eastAsia="zh-CN"/>
              </w:rPr>
            </w:pPr>
            <w:r>
              <w:rPr>
                <w:rFonts w:hint="eastAsia"/>
                <w:color w:val="auto"/>
                <w:highlight w:val="none"/>
                <w:lang w:val="en-US" w:eastAsia="zh-CN"/>
              </w:rPr>
              <w:t>本项目建成后污染物总量控制指标为</w:t>
            </w:r>
            <w:r>
              <w:rPr>
                <w:rFonts w:hint="eastAsia"/>
                <w:color w:val="auto"/>
                <w:highlight w:val="none"/>
                <w:lang w:eastAsia="zh-CN"/>
              </w:rPr>
              <w:t>：</w:t>
            </w:r>
          </w:p>
          <w:p w14:paraId="6DDEC7F3">
            <w:pPr>
              <w:numPr>
                <w:ilvl w:val="0"/>
                <w:numId w:val="27"/>
              </w:numPr>
              <w:bidi w:val="0"/>
              <w:rPr>
                <w:rFonts w:hint="eastAsia"/>
                <w:color w:val="auto"/>
                <w:highlight w:val="none"/>
                <w:lang w:val="en-US" w:eastAsia="zh-CN"/>
              </w:rPr>
            </w:pPr>
            <w:r>
              <w:rPr>
                <w:rFonts w:hint="eastAsia"/>
                <w:color w:val="auto"/>
                <w:highlight w:val="none"/>
                <w:lang w:val="en-US" w:eastAsia="zh-CN"/>
              </w:rPr>
              <w:t>废水</w:t>
            </w:r>
          </w:p>
          <w:p w14:paraId="3AE0DD37">
            <w:pPr>
              <w:pStyle w:val="44"/>
              <w:ind w:firstLine="480"/>
              <w:rPr>
                <w:rFonts w:hint="default" w:ascii="Times New Roman" w:hAnsi="Times New Roman" w:eastAsia="宋体" w:cs="Times New Roman"/>
                <w:color w:val="auto"/>
                <w:spacing w:val="0"/>
                <w:position w:val="0"/>
                <w:highlight w:val="none"/>
                <w:lang w:val="en-US" w:eastAsia="zh-CN"/>
              </w:rPr>
            </w:pPr>
            <w:r>
              <w:rPr>
                <w:rFonts w:hint="eastAsia" w:eastAsia="宋体" w:cs="Times New Roman"/>
                <w:color w:val="auto"/>
                <w:spacing w:val="0"/>
                <w:position w:val="0"/>
                <w:highlight w:val="none"/>
                <w:lang w:val="en-US" w:eastAsia="zh-CN"/>
              </w:rPr>
              <w:t>本项目食堂废水隔油处理后，与其他生活污水一起排入市政管网，最终进入西郊污水处理厂处理，区域总量不增加，因此，COD、氨氮、总氮总量控制指标均为0t/a。根据环评及批复现有工程总量控制指标为COD0t/a，氨氮0t/a，故本项目建成后全厂废水总量控制指标为COD0t/a，氨氮0t/a，总氮0t/a。</w:t>
            </w:r>
          </w:p>
          <w:p w14:paraId="39E7189D">
            <w:pPr>
              <w:numPr>
                <w:ilvl w:val="0"/>
                <w:numId w:val="27"/>
              </w:numPr>
              <w:bidi w:val="0"/>
              <w:rPr>
                <w:rFonts w:hint="eastAsia"/>
                <w:color w:val="auto"/>
                <w:highlight w:val="none"/>
                <w:lang w:val="en-US" w:eastAsia="zh-CN"/>
              </w:rPr>
            </w:pPr>
            <w:r>
              <w:rPr>
                <w:rFonts w:hint="eastAsia"/>
                <w:color w:val="auto"/>
                <w:highlight w:val="none"/>
                <w:lang w:val="en-US" w:eastAsia="zh-CN"/>
              </w:rPr>
              <w:t>废气</w:t>
            </w:r>
          </w:p>
          <w:p w14:paraId="15E12239">
            <w:pPr>
              <w:bidi w:val="0"/>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val="en-US" w:eastAsia="zh-CN"/>
              </w:rPr>
              <w:t>本项目</w:t>
            </w:r>
            <w:r>
              <w:rPr>
                <w:rFonts w:hint="default" w:ascii="Times New Roman" w:hAnsi="Times New Roman" w:eastAsia="宋体" w:cs="Times New Roman"/>
                <w:color w:val="auto"/>
                <w:sz w:val="24"/>
                <w:szCs w:val="24"/>
                <w:highlight w:val="none"/>
              </w:rPr>
              <w:t>不设锅炉等燃煤、燃气设施</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无SO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产生。因此，本项目SO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总量控制指标均为0t/a。</w:t>
            </w:r>
            <w:r>
              <w:rPr>
                <w:rFonts w:hint="eastAsia" w:eastAsia="宋体" w:cs="Times New Roman"/>
                <w:color w:val="auto"/>
                <w:sz w:val="24"/>
                <w:szCs w:val="24"/>
                <w:highlight w:val="none"/>
                <w:lang w:val="en-US" w:eastAsia="zh-CN"/>
              </w:rPr>
              <w:t>根据</w:t>
            </w:r>
            <w:r>
              <w:rPr>
                <w:rFonts w:hint="eastAsia" w:eastAsia="宋体" w:cs="Times New Roman"/>
                <w:color w:val="auto"/>
                <w:spacing w:val="0"/>
                <w:position w:val="0"/>
                <w:highlight w:val="none"/>
                <w:lang w:val="en-US" w:eastAsia="zh-CN"/>
              </w:rPr>
              <w:t>环评及批复现有工程总量控制指标为SO</w:t>
            </w:r>
            <w:r>
              <w:rPr>
                <w:rFonts w:hint="eastAsia" w:eastAsia="宋体" w:cs="Times New Roman"/>
                <w:color w:val="auto"/>
                <w:spacing w:val="0"/>
                <w:position w:val="0"/>
                <w:highlight w:val="none"/>
                <w:vertAlign w:val="subscript"/>
                <w:lang w:val="en-US" w:eastAsia="zh-CN"/>
              </w:rPr>
              <w:t>2</w:t>
            </w:r>
            <w:r>
              <w:rPr>
                <w:rFonts w:hint="eastAsia" w:eastAsia="宋体" w:cs="Times New Roman"/>
                <w:color w:val="auto"/>
                <w:spacing w:val="0"/>
                <w:position w:val="0"/>
                <w:highlight w:val="none"/>
                <w:lang w:val="en-US" w:eastAsia="zh-CN"/>
              </w:rPr>
              <w:t>0t/a，NOx0t/a</w:t>
            </w:r>
            <w:r>
              <w:rPr>
                <w:rFonts w:hint="eastAsia" w:cs="Times New Roman"/>
                <w:color w:val="auto"/>
                <w:spacing w:val="0"/>
                <w:position w:val="0"/>
                <w:highlight w:val="none"/>
                <w:lang w:val="en-US" w:eastAsia="zh-CN"/>
              </w:rPr>
              <w:t>，故本项目建成后全厂废气总量控制指标为</w:t>
            </w:r>
            <w:r>
              <w:rPr>
                <w:rFonts w:hint="eastAsia" w:eastAsia="宋体" w:cs="Times New Roman"/>
                <w:color w:val="auto"/>
                <w:spacing w:val="0"/>
                <w:position w:val="0"/>
                <w:highlight w:val="none"/>
                <w:lang w:val="en-US" w:eastAsia="zh-CN"/>
              </w:rPr>
              <w:t>SO</w:t>
            </w:r>
            <w:r>
              <w:rPr>
                <w:rFonts w:hint="eastAsia" w:eastAsia="宋体" w:cs="Times New Roman"/>
                <w:color w:val="auto"/>
                <w:spacing w:val="0"/>
                <w:position w:val="0"/>
                <w:highlight w:val="none"/>
                <w:vertAlign w:val="subscript"/>
                <w:lang w:val="en-US" w:eastAsia="zh-CN"/>
              </w:rPr>
              <w:t>2</w:t>
            </w:r>
            <w:r>
              <w:rPr>
                <w:rFonts w:hint="eastAsia" w:eastAsia="宋体" w:cs="Times New Roman"/>
                <w:color w:val="auto"/>
                <w:spacing w:val="0"/>
                <w:position w:val="0"/>
                <w:highlight w:val="none"/>
                <w:lang w:val="en-US" w:eastAsia="zh-CN"/>
              </w:rPr>
              <w:t>0t/a，NOx0t/a</w:t>
            </w:r>
            <w:r>
              <w:rPr>
                <w:rFonts w:hint="eastAsia" w:cs="Times New Roman"/>
                <w:color w:val="auto"/>
                <w:spacing w:val="0"/>
                <w:position w:val="0"/>
                <w:highlight w:val="none"/>
                <w:lang w:val="en-US" w:eastAsia="zh-CN"/>
              </w:rPr>
              <w:t>。</w:t>
            </w:r>
          </w:p>
          <w:p w14:paraId="75437608">
            <w:pPr>
              <w:bidi w:val="0"/>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3</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其他污染物</w:t>
            </w:r>
          </w:p>
          <w:p w14:paraId="05D68FEC">
            <w:pPr>
              <w:bidi w:val="0"/>
              <w:rPr>
                <w:rFonts w:hint="eastAsia"/>
                <w:color w:val="auto"/>
                <w:sz w:val="24"/>
                <w:highlight w:val="none"/>
                <w:lang w:val="en-US" w:eastAsia="zh-CN"/>
              </w:rPr>
            </w:pPr>
            <w:r>
              <w:rPr>
                <w:rFonts w:hint="default"/>
                <w:color w:val="auto"/>
                <w:highlight w:val="none"/>
                <w:lang w:val="en-US" w:eastAsia="zh-CN"/>
              </w:rPr>
              <w:t>根据建设单位提供漆料VOCs检测报告，本项目所用漆料中不含苯，因此，源强核算时未对其进行核算，但考虑到厂家可能调整产品配比，或建设单位可能根据需求更换漆料类型，本次评价将其作为监测因子进行监测，故对其进行总量控制</w:t>
            </w:r>
            <w:r>
              <w:rPr>
                <w:rFonts w:hint="eastAsia"/>
                <w:color w:val="auto"/>
                <w:highlight w:val="none"/>
                <w:lang w:val="en-US" w:eastAsia="zh-CN"/>
              </w:rPr>
              <w:t>，因此，确定</w:t>
            </w:r>
            <w:r>
              <w:rPr>
                <w:rFonts w:hint="default"/>
                <w:color w:val="auto"/>
                <w:highlight w:val="none"/>
              </w:rPr>
              <w:t>本项目</w:t>
            </w:r>
            <w:r>
              <w:rPr>
                <w:rFonts w:hint="eastAsia"/>
                <w:color w:val="auto"/>
                <w:highlight w:val="none"/>
              </w:rPr>
              <w:t>其他污染物</w:t>
            </w:r>
            <w:r>
              <w:rPr>
                <w:rFonts w:hint="default"/>
                <w:color w:val="auto"/>
                <w:highlight w:val="none"/>
              </w:rPr>
              <w:t>主要为</w:t>
            </w:r>
            <w:r>
              <w:rPr>
                <w:rFonts w:hint="eastAsia"/>
                <w:color w:val="auto"/>
                <w:highlight w:val="none"/>
                <w:lang w:val="en-US" w:eastAsia="zh-CN"/>
              </w:rPr>
              <w:t>颗粒物、非甲烷总烃、苯、甲苯与二甲苯合计</w:t>
            </w:r>
            <w:r>
              <w:rPr>
                <w:rFonts w:hint="default"/>
                <w:color w:val="auto"/>
                <w:highlight w:val="none"/>
              </w:rPr>
              <w:t>，根据执行标准</w:t>
            </w:r>
            <w:r>
              <w:rPr>
                <w:rFonts w:hint="eastAsia"/>
                <w:color w:val="auto"/>
                <w:highlight w:val="none"/>
                <w:lang w:eastAsia="zh-CN"/>
              </w:rPr>
              <w:t>、</w:t>
            </w:r>
            <w:r>
              <w:rPr>
                <w:rFonts w:hint="eastAsia"/>
                <w:color w:val="auto"/>
                <w:highlight w:val="none"/>
                <w:lang w:val="en-US" w:eastAsia="zh-CN"/>
              </w:rPr>
              <w:t>风机风量及工作时间</w:t>
            </w:r>
            <w:r>
              <w:rPr>
                <w:rFonts w:hint="default"/>
                <w:color w:val="auto"/>
                <w:highlight w:val="none"/>
              </w:rPr>
              <w:t>核算总量</w:t>
            </w:r>
            <w:r>
              <w:rPr>
                <w:rFonts w:hint="eastAsia"/>
                <w:color w:val="auto"/>
                <w:sz w:val="24"/>
                <w:highlight w:val="none"/>
                <w:lang w:val="en-US" w:eastAsia="zh-CN"/>
              </w:rPr>
              <w:t>：</w:t>
            </w:r>
          </w:p>
          <w:p w14:paraId="43C785FD">
            <w:pPr>
              <w:keepNext w:val="0"/>
              <w:keepLines w:val="0"/>
              <w:pageBreakBefore w:val="0"/>
              <w:widowControl w:val="0"/>
              <w:kinsoku/>
              <w:wordWrap/>
              <w:overflowPunct/>
              <w:topLinePunct w:val="0"/>
              <w:autoSpaceDE/>
              <w:autoSpaceDN/>
              <w:bidi w:val="0"/>
              <w:adjustRightInd w:val="0"/>
              <w:snapToGrid/>
              <w:spacing w:line="480" w:lineRule="exact"/>
              <w:ind w:firstLine="0" w:firstLineChars="0"/>
              <w:jc w:val="center"/>
              <w:textAlignment w:val="auto"/>
              <w:rPr>
                <w:rFonts w:hint="default"/>
                <w:b/>
                <w:bCs/>
                <w:color w:val="auto"/>
                <w:spacing w:val="0"/>
                <w:sz w:val="21"/>
                <w:szCs w:val="21"/>
                <w:highlight w:val="none"/>
                <w:lang w:val="en-US" w:eastAsia="zh-CN"/>
              </w:rPr>
            </w:pPr>
            <w:r>
              <w:rPr>
                <w:rFonts w:hint="eastAsia"/>
                <w:b/>
                <w:bCs/>
                <w:color w:val="auto"/>
                <w:spacing w:val="0"/>
                <w:sz w:val="21"/>
                <w:szCs w:val="21"/>
                <w:highlight w:val="none"/>
                <w:lang w:val="en-US" w:eastAsia="zh-CN"/>
              </w:rPr>
              <w:t>表33  本项目其他污染物总量控制指标一览表</w:t>
            </w:r>
          </w:p>
          <w:tbl>
            <w:tblPr>
              <w:tblStyle w:val="25"/>
              <w:tblW w:w="8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1401"/>
              <w:gridCol w:w="1020"/>
              <w:gridCol w:w="1005"/>
              <w:gridCol w:w="1125"/>
              <w:gridCol w:w="1102"/>
            </w:tblGrid>
            <w:tr w14:paraId="48CD9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567" w:type="dxa"/>
                  <w:tcBorders>
                    <w:tl2br w:val="nil"/>
                    <w:tr2bl w:val="nil"/>
                  </w:tcBorders>
                  <w:vAlign w:val="center"/>
                </w:tcPr>
                <w:p w14:paraId="39B6E9B6">
                  <w:pPr>
                    <w:pStyle w:val="13"/>
                    <w:keepNext w:val="0"/>
                    <w:keepLines w:val="0"/>
                    <w:pageBreakBefore w:val="0"/>
                    <w:widowControl w:val="0"/>
                    <w:kinsoku/>
                    <w:wordWrap/>
                    <w:overflowPunct/>
                    <w:topLinePunct w:val="0"/>
                    <w:autoSpaceDE/>
                    <w:autoSpaceDN/>
                    <w:bidi w:val="0"/>
                    <w:adjustRightInd/>
                    <w:snapToGrid/>
                    <w:spacing w:after="0" w:line="240" w:lineRule="auto"/>
                    <w:ind w:left="-24" w:leftChars="-10" w:right="-24" w:rightChars="-1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项目</w:t>
                  </w:r>
                </w:p>
              </w:tc>
              <w:tc>
                <w:tcPr>
                  <w:tcW w:w="1401" w:type="dxa"/>
                  <w:tcBorders>
                    <w:tl2br w:val="nil"/>
                    <w:tr2bl w:val="nil"/>
                  </w:tcBorders>
                  <w:vAlign w:val="center"/>
                </w:tcPr>
                <w:p w14:paraId="5257DCFF">
                  <w:pPr>
                    <w:pStyle w:val="13"/>
                    <w:keepNext w:val="0"/>
                    <w:keepLines w:val="0"/>
                    <w:pageBreakBefore w:val="0"/>
                    <w:widowControl w:val="0"/>
                    <w:kinsoku/>
                    <w:wordWrap/>
                    <w:overflowPunct/>
                    <w:topLinePunct w:val="0"/>
                    <w:autoSpaceDE/>
                    <w:autoSpaceDN/>
                    <w:bidi w:val="0"/>
                    <w:adjustRightInd/>
                    <w:snapToGrid/>
                    <w:spacing w:after="0" w:line="240" w:lineRule="auto"/>
                    <w:ind w:left="-24" w:leftChars="-10" w:right="-24" w:rightChars="-1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污染物</w:t>
                  </w:r>
                </w:p>
              </w:tc>
              <w:tc>
                <w:tcPr>
                  <w:tcW w:w="1020" w:type="dxa"/>
                  <w:tcBorders>
                    <w:tl2br w:val="nil"/>
                    <w:tr2bl w:val="nil"/>
                  </w:tcBorders>
                  <w:vAlign w:val="center"/>
                </w:tcPr>
                <w:p w14:paraId="6116E2DA">
                  <w:pPr>
                    <w:pStyle w:val="13"/>
                    <w:keepNext w:val="0"/>
                    <w:keepLines w:val="0"/>
                    <w:pageBreakBefore w:val="0"/>
                    <w:widowControl w:val="0"/>
                    <w:kinsoku/>
                    <w:wordWrap/>
                    <w:overflowPunct/>
                    <w:topLinePunct w:val="0"/>
                    <w:autoSpaceDE/>
                    <w:autoSpaceDN/>
                    <w:bidi w:val="0"/>
                    <w:adjustRightInd/>
                    <w:snapToGrid/>
                    <w:spacing w:after="0" w:line="240" w:lineRule="auto"/>
                    <w:ind w:left="-24" w:leftChars="-10" w:right="-24" w:rightChars="-1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废气量（m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/h）</w:t>
                  </w:r>
                </w:p>
              </w:tc>
              <w:tc>
                <w:tcPr>
                  <w:tcW w:w="1005" w:type="dxa"/>
                  <w:tcBorders>
                    <w:tl2br w:val="nil"/>
                    <w:tr2bl w:val="nil"/>
                  </w:tcBorders>
                  <w:vAlign w:val="center"/>
                </w:tcPr>
                <w:p w14:paraId="6E136865">
                  <w:pPr>
                    <w:pStyle w:val="13"/>
                    <w:keepNext w:val="0"/>
                    <w:keepLines w:val="0"/>
                    <w:pageBreakBefore w:val="0"/>
                    <w:widowControl w:val="0"/>
                    <w:kinsoku/>
                    <w:wordWrap/>
                    <w:overflowPunct/>
                    <w:topLinePunct w:val="0"/>
                    <w:autoSpaceDE/>
                    <w:autoSpaceDN/>
                    <w:bidi w:val="0"/>
                    <w:adjustRightInd/>
                    <w:snapToGrid/>
                    <w:spacing w:after="0" w:line="240" w:lineRule="auto"/>
                    <w:ind w:left="-24" w:leftChars="-10" w:right="-24" w:rightChars="-1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工作时间（h/a）</w:t>
                  </w:r>
                </w:p>
              </w:tc>
              <w:tc>
                <w:tcPr>
                  <w:tcW w:w="1125" w:type="dxa"/>
                  <w:tcBorders>
                    <w:tl2br w:val="nil"/>
                    <w:tr2bl w:val="nil"/>
                  </w:tcBorders>
                  <w:vAlign w:val="center"/>
                </w:tcPr>
                <w:p w14:paraId="11459A4D">
                  <w:pPr>
                    <w:pStyle w:val="13"/>
                    <w:keepNext w:val="0"/>
                    <w:keepLines w:val="0"/>
                    <w:pageBreakBefore w:val="0"/>
                    <w:widowControl w:val="0"/>
                    <w:kinsoku/>
                    <w:wordWrap/>
                    <w:overflowPunct/>
                    <w:topLinePunct w:val="0"/>
                    <w:autoSpaceDE/>
                    <w:autoSpaceDN/>
                    <w:bidi w:val="0"/>
                    <w:adjustRightInd/>
                    <w:snapToGrid/>
                    <w:spacing w:after="0" w:line="240" w:lineRule="auto"/>
                    <w:ind w:left="-24" w:leftChars="-10" w:right="-24" w:rightChars="-1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排放限值（mg/m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w:t>
                  </w:r>
                </w:p>
              </w:tc>
              <w:tc>
                <w:tcPr>
                  <w:tcW w:w="1102" w:type="dxa"/>
                  <w:tcBorders>
                    <w:tl2br w:val="nil"/>
                    <w:tr2bl w:val="nil"/>
                  </w:tcBorders>
                  <w:vAlign w:val="center"/>
                </w:tcPr>
                <w:p w14:paraId="2968C91B">
                  <w:pPr>
                    <w:pStyle w:val="13"/>
                    <w:keepNext w:val="0"/>
                    <w:keepLines w:val="0"/>
                    <w:pageBreakBefore w:val="0"/>
                    <w:widowControl w:val="0"/>
                    <w:kinsoku/>
                    <w:wordWrap/>
                    <w:overflowPunct/>
                    <w:topLinePunct w:val="0"/>
                    <w:autoSpaceDE/>
                    <w:autoSpaceDN/>
                    <w:bidi w:val="0"/>
                    <w:adjustRightInd/>
                    <w:snapToGrid/>
                    <w:spacing w:after="0" w:line="240" w:lineRule="auto"/>
                    <w:ind w:left="-24" w:leftChars="-10" w:right="-24" w:rightChars="-1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总量控制指标（t/a）</w:t>
                  </w:r>
                </w:p>
              </w:tc>
            </w:tr>
            <w:tr w14:paraId="57BC5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7" w:type="dxa"/>
                  <w:tcBorders>
                    <w:tl2br w:val="nil"/>
                    <w:tr2bl w:val="nil"/>
                  </w:tcBorders>
                  <w:vAlign w:val="center"/>
                </w:tcPr>
                <w:p w14:paraId="429103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打磨废气排放口（DA001）</w:t>
                  </w:r>
                </w:p>
              </w:tc>
              <w:tc>
                <w:tcPr>
                  <w:tcW w:w="1401" w:type="dxa"/>
                  <w:vMerge w:val="restart"/>
                  <w:tcBorders>
                    <w:tl2br w:val="nil"/>
                    <w:tr2bl w:val="nil"/>
                  </w:tcBorders>
                  <w:vAlign w:val="center"/>
                </w:tcPr>
                <w:p w14:paraId="662651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颗粒物</w:t>
                  </w:r>
                </w:p>
              </w:tc>
              <w:tc>
                <w:tcPr>
                  <w:tcW w:w="1020" w:type="dxa"/>
                  <w:tcBorders>
                    <w:tl2br w:val="nil"/>
                    <w:tr2bl w:val="nil"/>
                  </w:tcBorders>
                  <w:vAlign w:val="center"/>
                </w:tcPr>
                <w:p w14:paraId="72632C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8000</w:t>
                  </w:r>
                </w:p>
              </w:tc>
              <w:tc>
                <w:tcPr>
                  <w:tcW w:w="1005" w:type="dxa"/>
                  <w:tcBorders>
                    <w:tl2br w:val="nil"/>
                    <w:tr2bl w:val="nil"/>
                  </w:tcBorders>
                  <w:vAlign w:val="center"/>
                </w:tcPr>
                <w:p w14:paraId="2EF0A6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2000</w:t>
                  </w:r>
                </w:p>
              </w:tc>
              <w:tc>
                <w:tcPr>
                  <w:tcW w:w="1125" w:type="dxa"/>
                  <w:tcBorders>
                    <w:tl2br w:val="nil"/>
                    <w:tr2bl w:val="nil"/>
                  </w:tcBorders>
                  <w:vAlign w:val="center"/>
                </w:tcPr>
                <w:p w14:paraId="1151B3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c>
                <w:tcPr>
                  <w:tcW w:w="1102" w:type="dxa"/>
                  <w:tcBorders>
                    <w:tl2br w:val="nil"/>
                    <w:tr2bl w:val="nil"/>
                  </w:tcBorders>
                  <w:vAlign w:val="center"/>
                </w:tcPr>
                <w:p w14:paraId="6EB76C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0.16</w:t>
                  </w:r>
                  <w:r>
                    <w:rPr>
                      <w:rFonts w:hint="eastAsia" w:cs="Times New Roman"/>
                      <w:color w:val="auto"/>
                      <w:sz w:val="21"/>
                      <w:szCs w:val="21"/>
                      <w:highlight w:val="none"/>
                      <w:vertAlign w:val="baseline"/>
                      <w:lang w:val="en-US" w:eastAsia="zh-CN"/>
                    </w:rPr>
                    <w:t>0</w:t>
                  </w:r>
                </w:p>
              </w:tc>
            </w:tr>
            <w:tr w14:paraId="4E681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567" w:type="dxa"/>
                  <w:tcBorders>
                    <w:tl2br w:val="nil"/>
                    <w:tr2bl w:val="nil"/>
                  </w:tcBorders>
                  <w:vAlign w:val="center"/>
                </w:tcPr>
                <w:p w14:paraId="1A6B14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喷涂废气排放口（DA002）</w:t>
                  </w:r>
                </w:p>
              </w:tc>
              <w:tc>
                <w:tcPr>
                  <w:tcW w:w="1401" w:type="dxa"/>
                  <w:vMerge w:val="continue"/>
                  <w:tcBorders>
                    <w:tl2br w:val="nil"/>
                    <w:tr2bl w:val="nil"/>
                  </w:tcBorders>
                  <w:vAlign w:val="center"/>
                </w:tcPr>
                <w:p w14:paraId="3C6C74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p>
              </w:tc>
              <w:tc>
                <w:tcPr>
                  <w:tcW w:w="1020" w:type="dxa"/>
                  <w:tcBorders>
                    <w:tl2br w:val="nil"/>
                    <w:tr2bl w:val="nil"/>
                  </w:tcBorders>
                  <w:vAlign w:val="center"/>
                </w:tcPr>
                <w:p w14:paraId="166869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30000</w:t>
                  </w:r>
                </w:p>
              </w:tc>
              <w:tc>
                <w:tcPr>
                  <w:tcW w:w="1005" w:type="dxa"/>
                  <w:tcBorders>
                    <w:tl2br w:val="nil"/>
                    <w:tr2bl w:val="nil"/>
                  </w:tcBorders>
                  <w:vAlign w:val="center"/>
                </w:tcPr>
                <w:p w14:paraId="779783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2000</w:t>
                  </w:r>
                </w:p>
              </w:tc>
              <w:tc>
                <w:tcPr>
                  <w:tcW w:w="1125" w:type="dxa"/>
                  <w:tcBorders>
                    <w:tl2br w:val="nil"/>
                    <w:tr2bl w:val="nil"/>
                  </w:tcBorders>
                  <w:vAlign w:val="center"/>
                </w:tcPr>
                <w:p w14:paraId="38B159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18</w:t>
                  </w:r>
                </w:p>
              </w:tc>
              <w:tc>
                <w:tcPr>
                  <w:tcW w:w="1102" w:type="dxa"/>
                  <w:tcBorders>
                    <w:tl2br w:val="nil"/>
                    <w:tr2bl w:val="nil"/>
                  </w:tcBorders>
                  <w:vAlign w:val="center"/>
                </w:tcPr>
                <w:p w14:paraId="134B2A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1.08</w:t>
                  </w:r>
                  <w:r>
                    <w:rPr>
                      <w:rFonts w:hint="eastAsia" w:cs="Times New Roman"/>
                      <w:color w:val="auto"/>
                      <w:sz w:val="21"/>
                      <w:szCs w:val="21"/>
                      <w:highlight w:val="none"/>
                      <w:vertAlign w:val="baseline"/>
                      <w:lang w:val="en-US" w:eastAsia="zh-CN"/>
                    </w:rPr>
                    <w:t>0</w:t>
                  </w:r>
                </w:p>
              </w:tc>
            </w:tr>
            <w:tr w14:paraId="73919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67" w:type="dxa"/>
                  <w:tcBorders>
                    <w:tl2br w:val="nil"/>
                    <w:tr2bl w:val="nil"/>
                  </w:tcBorders>
                  <w:vAlign w:val="center"/>
                </w:tcPr>
                <w:p w14:paraId="59D5A4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合计</w:t>
                  </w:r>
                </w:p>
              </w:tc>
              <w:tc>
                <w:tcPr>
                  <w:tcW w:w="1401" w:type="dxa"/>
                  <w:tcBorders>
                    <w:tl2br w:val="nil"/>
                    <w:tr2bl w:val="nil"/>
                  </w:tcBorders>
                  <w:vAlign w:val="center"/>
                </w:tcPr>
                <w:p w14:paraId="522A5A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颗粒物</w:t>
                  </w:r>
                </w:p>
              </w:tc>
              <w:tc>
                <w:tcPr>
                  <w:tcW w:w="1020" w:type="dxa"/>
                  <w:tcBorders>
                    <w:tl2br w:val="nil"/>
                    <w:tr2bl w:val="nil"/>
                  </w:tcBorders>
                  <w:vAlign w:val="center"/>
                </w:tcPr>
                <w:p w14:paraId="5A4BC2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w:t>
                  </w:r>
                </w:p>
              </w:tc>
              <w:tc>
                <w:tcPr>
                  <w:tcW w:w="1005" w:type="dxa"/>
                  <w:tcBorders>
                    <w:tl2br w:val="nil"/>
                    <w:tr2bl w:val="nil"/>
                  </w:tcBorders>
                  <w:vAlign w:val="center"/>
                </w:tcPr>
                <w:p w14:paraId="2CE74E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w:t>
                  </w:r>
                </w:p>
              </w:tc>
              <w:tc>
                <w:tcPr>
                  <w:tcW w:w="1125" w:type="dxa"/>
                  <w:tcBorders>
                    <w:tl2br w:val="nil"/>
                    <w:tr2bl w:val="nil"/>
                  </w:tcBorders>
                  <w:vAlign w:val="center"/>
                </w:tcPr>
                <w:p w14:paraId="2E113B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w:t>
                  </w:r>
                </w:p>
              </w:tc>
              <w:tc>
                <w:tcPr>
                  <w:tcW w:w="1102" w:type="dxa"/>
                  <w:tcBorders>
                    <w:tl2br w:val="nil"/>
                    <w:tr2bl w:val="nil"/>
                  </w:tcBorders>
                  <w:vAlign w:val="center"/>
                </w:tcPr>
                <w:p w14:paraId="4EB247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1.24</w:t>
                  </w:r>
                  <w:r>
                    <w:rPr>
                      <w:rFonts w:hint="eastAsia" w:cs="Times New Roman"/>
                      <w:b/>
                      <w:bCs/>
                      <w:color w:val="auto"/>
                      <w:sz w:val="21"/>
                      <w:szCs w:val="21"/>
                      <w:highlight w:val="none"/>
                      <w:vertAlign w:val="baseline"/>
                      <w:lang w:val="en-US" w:eastAsia="zh-CN"/>
                    </w:rPr>
                    <w:t>0</w:t>
                  </w:r>
                </w:p>
              </w:tc>
            </w:tr>
            <w:tr w14:paraId="114D7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567" w:type="dxa"/>
                  <w:tcBorders>
                    <w:tl2br w:val="nil"/>
                    <w:tr2bl w:val="nil"/>
                  </w:tcBorders>
                  <w:vAlign w:val="center"/>
                </w:tcPr>
                <w:p w14:paraId="42D536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喷涂废气排放口（DA002）</w:t>
                  </w:r>
                </w:p>
              </w:tc>
              <w:tc>
                <w:tcPr>
                  <w:tcW w:w="1401" w:type="dxa"/>
                  <w:tcBorders>
                    <w:tl2br w:val="nil"/>
                    <w:tr2bl w:val="nil"/>
                  </w:tcBorders>
                  <w:vAlign w:val="center"/>
                </w:tcPr>
                <w:p w14:paraId="2AE0B8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非甲烷总烃</w:t>
                  </w:r>
                </w:p>
              </w:tc>
              <w:tc>
                <w:tcPr>
                  <w:tcW w:w="1020" w:type="dxa"/>
                  <w:tcBorders>
                    <w:tl2br w:val="nil"/>
                    <w:tr2bl w:val="nil"/>
                  </w:tcBorders>
                  <w:vAlign w:val="center"/>
                </w:tcPr>
                <w:p w14:paraId="798B2D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30000</w:t>
                  </w:r>
                </w:p>
              </w:tc>
              <w:tc>
                <w:tcPr>
                  <w:tcW w:w="1005" w:type="dxa"/>
                  <w:tcBorders>
                    <w:tl2br w:val="nil"/>
                    <w:tr2bl w:val="nil"/>
                  </w:tcBorders>
                  <w:vAlign w:val="center"/>
                </w:tcPr>
                <w:p w14:paraId="5AD300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2000</w:t>
                  </w:r>
                </w:p>
              </w:tc>
              <w:tc>
                <w:tcPr>
                  <w:tcW w:w="1125" w:type="dxa"/>
                  <w:tcBorders>
                    <w:tl2br w:val="nil"/>
                    <w:tr2bl w:val="nil"/>
                  </w:tcBorders>
                  <w:vAlign w:val="center"/>
                </w:tcPr>
                <w:p w14:paraId="5FAF73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w:t>
                  </w:r>
                </w:p>
              </w:tc>
              <w:tc>
                <w:tcPr>
                  <w:tcW w:w="1102" w:type="dxa"/>
                  <w:tcBorders>
                    <w:tl2br w:val="nil"/>
                    <w:tr2bl w:val="nil"/>
                  </w:tcBorders>
                  <w:vAlign w:val="center"/>
                </w:tcPr>
                <w:p w14:paraId="2A20DB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1.8</w:t>
                  </w:r>
                  <w:r>
                    <w:rPr>
                      <w:rFonts w:hint="eastAsia" w:cs="Times New Roman"/>
                      <w:b/>
                      <w:bCs/>
                      <w:color w:val="auto"/>
                      <w:sz w:val="21"/>
                      <w:szCs w:val="21"/>
                      <w:highlight w:val="none"/>
                      <w:vertAlign w:val="baseline"/>
                      <w:lang w:val="en-US" w:eastAsia="zh-CN"/>
                    </w:rPr>
                    <w:t>00</w:t>
                  </w:r>
                </w:p>
              </w:tc>
            </w:tr>
            <w:tr w14:paraId="5D68F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567" w:type="dxa"/>
                  <w:tcBorders>
                    <w:tl2br w:val="nil"/>
                    <w:tr2bl w:val="nil"/>
                  </w:tcBorders>
                  <w:vAlign w:val="center"/>
                </w:tcPr>
                <w:p w14:paraId="79D24B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喷涂废气排放口（DA002）</w:t>
                  </w:r>
                </w:p>
              </w:tc>
              <w:tc>
                <w:tcPr>
                  <w:tcW w:w="1401" w:type="dxa"/>
                  <w:tcBorders>
                    <w:tl2br w:val="nil"/>
                    <w:tr2bl w:val="nil"/>
                  </w:tcBorders>
                  <w:vAlign w:val="center"/>
                </w:tcPr>
                <w:p w14:paraId="023135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苯</w:t>
                  </w:r>
                </w:p>
              </w:tc>
              <w:tc>
                <w:tcPr>
                  <w:tcW w:w="1020" w:type="dxa"/>
                  <w:tcBorders>
                    <w:tl2br w:val="nil"/>
                    <w:tr2bl w:val="nil"/>
                  </w:tcBorders>
                  <w:vAlign w:val="center"/>
                </w:tcPr>
                <w:p w14:paraId="6CBBC0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30000</w:t>
                  </w:r>
                </w:p>
              </w:tc>
              <w:tc>
                <w:tcPr>
                  <w:tcW w:w="1005" w:type="dxa"/>
                  <w:tcBorders>
                    <w:tl2br w:val="nil"/>
                    <w:tr2bl w:val="nil"/>
                  </w:tcBorders>
                  <w:vAlign w:val="center"/>
                </w:tcPr>
                <w:p w14:paraId="5A5E9E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2000</w:t>
                  </w:r>
                </w:p>
              </w:tc>
              <w:tc>
                <w:tcPr>
                  <w:tcW w:w="1125" w:type="dxa"/>
                  <w:tcBorders>
                    <w:tl2br w:val="nil"/>
                    <w:tr2bl w:val="nil"/>
                  </w:tcBorders>
                  <w:vAlign w:val="center"/>
                </w:tcPr>
                <w:p w14:paraId="74E0CC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0.5</w:t>
                  </w:r>
                </w:p>
              </w:tc>
              <w:tc>
                <w:tcPr>
                  <w:tcW w:w="1102" w:type="dxa"/>
                  <w:tcBorders>
                    <w:tl2br w:val="nil"/>
                    <w:tr2bl w:val="nil"/>
                  </w:tcBorders>
                  <w:vAlign w:val="center"/>
                </w:tcPr>
                <w:p w14:paraId="6E00A1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0.03</w:t>
                  </w:r>
                  <w:r>
                    <w:rPr>
                      <w:rFonts w:hint="eastAsia" w:cs="Times New Roman"/>
                      <w:b/>
                      <w:bCs/>
                      <w:color w:val="auto"/>
                      <w:sz w:val="21"/>
                      <w:szCs w:val="21"/>
                      <w:highlight w:val="none"/>
                      <w:vertAlign w:val="baseline"/>
                      <w:lang w:val="en-US" w:eastAsia="zh-CN"/>
                    </w:rPr>
                    <w:t>0</w:t>
                  </w:r>
                </w:p>
              </w:tc>
            </w:tr>
            <w:tr w14:paraId="32BE1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2567" w:type="dxa"/>
                  <w:tcBorders>
                    <w:tl2br w:val="nil"/>
                    <w:tr2bl w:val="nil"/>
                  </w:tcBorders>
                  <w:vAlign w:val="center"/>
                </w:tcPr>
                <w:p w14:paraId="5DAB2B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喷涂废气排放口（DA002）</w:t>
                  </w:r>
                </w:p>
              </w:tc>
              <w:tc>
                <w:tcPr>
                  <w:tcW w:w="1401" w:type="dxa"/>
                  <w:tcBorders>
                    <w:tl2br w:val="nil"/>
                    <w:tr2bl w:val="nil"/>
                  </w:tcBorders>
                  <w:vAlign w:val="center"/>
                </w:tcPr>
                <w:p w14:paraId="72F827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甲苯与二甲苯合计</w:t>
                  </w:r>
                </w:p>
              </w:tc>
              <w:tc>
                <w:tcPr>
                  <w:tcW w:w="1020" w:type="dxa"/>
                  <w:tcBorders>
                    <w:tl2br w:val="nil"/>
                    <w:tr2bl w:val="nil"/>
                  </w:tcBorders>
                  <w:vAlign w:val="center"/>
                </w:tcPr>
                <w:p w14:paraId="5A4566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30000</w:t>
                  </w:r>
                </w:p>
              </w:tc>
              <w:tc>
                <w:tcPr>
                  <w:tcW w:w="1005" w:type="dxa"/>
                  <w:tcBorders>
                    <w:tl2br w:val="nil"/>
                    <w:tr2bl w:val="nil"/>
                  </w:tcBorders>
                  <w:vAlign w:val="center"/>
                </w:tcPr>
                <w:p w14:paraId="50C751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2000</w:t>
                  </w:r>
                </w:p>
              </w:tc>
              <w:tc>
                <w:tcPr>
                  <w:tcW w:w="1125" w:type="dxa"/>
                  <w:tcBorders>
                    <w:tl2br w:val="nil"/>
                    <w:tr2bl w:val="nil"/>
                  </w:tcBorders>
                  <w:vAlign w:val="center"/>
                </w:tcPr>
                <w:p w14:paraId="61487F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c>
                <w:tcPr>
                  <w:tcW w:w="1102" w:type="dxa"/>
                  <w:tcBorders>
                    <w:tl2br w:val="nil"/>
                    <w:tr2bl w:val="nil"/>
                  </w:tcBorders>
                  <w:vAlign w:val="center"/>
                </w:tcPr>
                <w:p w14:paraId="64F027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0.6</w:t>
                  </w:r>
                  <w:r>
                    <w:rPr>
                      <w:rFonts w:hint="eastAsia" w:cs="Times New Roman"/>
                      <w:b/>
                      <w:bCs/>
                      <w:color w:val="auto"/>
                      <w:sz w:val="21"/>
                      <w:szCs w:val="21"/>
                      <w:highlight w:val="none"/>
                      <w:vertAlign w:val="baseline"/>
                      <w:lang w:val="en-US" w:eastAsia="zh-CN"/>
                    </w:rPr>
                    <w:t>00</w:t>
                  </w:r>
                </w:p>
              </w:tc>
            </w:tr>
            <w:tr w14:paraId="5E686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8220" w:type="dxa"/>
                  <w:gridSpan w:val="6"/>
                  <w:tcBorders>
                    <w:tl2br w:val="nil"/>
                    <w:tr2bl w:val="nil"/>
                  </w:tcBorders>
                  <w:vAlign w:val="center"/>
                </w:tcPr>
                <w:p w14:paraId="54D0FC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备注：因颗粒物与非甲烷总烃、苯、甲苯与二甲苯合计经同1根排气筒（DA002）排放，核算排气筒（DA002）颗粒物、非甲烷总烃、苯、甲苯与二甲苯合计总量控制指标时工作时间均按2000h/a计</w:t>
                  </w:r>
                  <w:r>
                    <w:rPr>
                      <w:rFonts w:hint="eastAsia" w:cs="Times New Roman"/>
                      <w:color w:val="auto"/>
                      <w:sz w:val="21"/>
                      <w:szCs w:val="21"/>
                      <w:highlight w:val="none"/>
                      <w:vertAlign w:val="baseline"/>
                      <w:lang w:val="en-US" w:eastAsia="zh-CN"/>
                    </w:rPr>
                    <w:t>。</w:t>
                  </w:r>
                </w:p>
              </w:tc>
            </w:tr>
          </w:tbl>
          <w:p w14:paraId="386E6FE5">
            <w:pPr>
              <w:bidi w:val="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由上表可知，本项目其他污染物总量控制指标为颗粒物</w:t>
            </w:r>
            <w:r>
              <w:rPr>
                <w:rFonts w:hint="eastAsia" w:cs="Times New Roman"/>
                <w:color w:val="auto"/>
                <w:sz w:val="24"/>
                <w:highlight w:val="none"/>
                <w:lang w:val="en-US" w:eastAsia="zh-CN"/>
              </w:rPr>
              <w:t>1.240</w:t>
            </w:r>
            <w:r>
              <w:rPr>
                <w:rFonts w:hint="eastAsia" w:ascii="Times New Roman" w:hAnsi="Times New Roman" w:cs="Times New Roman"/>
                <w:color w:val="auto"/>
                <w:sz w:val="24"/>
                <w:highlight w:val="none"/>
                <w:lang w:val="en-US" w:eastAsia="zh-CN"/>
              </w:rPr>
              <w:t>t/a，非甲烷总烃1.</w:t>
            </w:r>
            <w:r>
              <w:rPr>
                <w:rFonts w:hint="eastAsia" w:cs="Times New Roman"/>
                <w:color w:val="auto"/>
                <w:sz w:val="24"/>
                <w:highlight w:val="none"/>
                <w:lang w:val="en-US" w:eastAsia="zh-CN"/>
              </w:rPr>
              <w:t>800</w:t>
            </w:r>
            <w:r>
              <w:rPr>
                <w:rFonts w:hint="eastAsia" w:ascii="Times New Roman" w:hAnsi="Times New Roman" w:cs="Times New Roman"/>
                <w:color w:val="auto"/>
                <w:sz w:val="24"/>
                <w:highlight w:val="none"/>
                <w:lang w:val="en-US" w:eastAsia="zh-CN"/>
              </w:rPr>
              <w:t>t/a，苯0.03</w:t>
            </w:r>
            <w:r>
              <w:rPr>
                <w:rFonts w:hint="eastAsia"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t/a，甲苯与二甲苯合计0.6</w:t>
            </w:r>
            <w:r>
              <w:rPr>
                <w:rFonts w:hint="eastAsia" w:cs="Times New Roman"/>
                <w:color w:val="auto"/>
                <w:sz w:val="24"/>
                <w:highlight w:val="none"/>
                <w:lang w:val="en-US" w:eastAsia="zh-CN"/>
              </w:rPr>
              <w:t>00</w:t>
            </w:r>
            <w:r>
              <w:rPr>
                <w:rFonts w:hint="eastAsia" w:ascii="Times New Roman" w:hAnsi="Times New Roman" w:cs="Times New Roman"/>
                <w:color w:val="auto"/>
                <w:sz w:val="24"/>
                <w:highlight w:val="none"/>
                <w:lang w:val="en-US" w:eastAsia="zh-CN"/>
              </w:rPr>
              <w:t>t/a。根据</w:t>
            </w:r>
            <w:r>
              <w:rPr>
                <w:rFonts w:hint="eastAsia" w:eastAsia="宋体" w:cs="Times New Roman"/>
                <w:color w:val="auto"/>
                <w:spacing w:val="0"/>
                <w:position w:val="0"/>
                <w:highlight w:val="none"/>
                <w:lang w:val="en-US" w:eastAsia="zh-CN"/>
              </w:rPr>
              <w:t>环评及批复现有工程物其他污染物排放总量控制指标均为0，故本项目建成后全厂其他污染物总量控制指标为</w:t>
            </w:r>
            <w:r>
              <w:rPr>
                <w:rFonts w:hint="eastAsia" w:ascii="Times New Roman" w:hAnsi="Times New Roman" w:cs="Times New Roman"/>
                <w:color w:val="auto"/>
                <w:sz w:val="24"/>
                <w:highlight w:val="none"/>
                <w:lang w:val="en-US" w:eastAsia="zh-CN"/>
              </w:rPr>
              <w:t>颗粒物</w:t>
            </w:r>
            <w:r>
              <w:rPr>
                <w:rFonts w:hint="eastAsia" w:cs="Times New Roman"/>
                <w:color w:val="auto"/>
                <w:sz w:val="24"/>
                <w:highlight w:val="none"/>
                <w:lang w:val="en-US" w:eastAsia="zh-CN"/>
              </w:rPr>
              <w:t>1.240</w:t>
            </w:r>
            <w:r>
              <w:rPr>
                <w:rFonts w:hint="eastAsia" w:ascii="Times New Roman" w:hAnsi="Times New Roman" w:cs="Times New Roman"/>
                <w:color w:val="auto"/>
                <w:sz w:val="24"/>
                <w:highlight w:val="none"/>
                <w:lang w:val="en-US" w:eastAsia="zh-CN"/>
              </w:rPr>
              <w:t>t/a，非甲烷总烃1.</w:t>
            </w:r>
            <w:r>
              <w:rPr>
                <w:rFonts w:hint="eastAsia" w:cs="Times New Roman"/>
                <w:color w:val="auto"/>
                <w:sz w:val="24"/>
                <w:highlight w:val="none"/>
                <w:lang w:val="en-US" w:eastAsia="zh-CN"/>
              </w:rPr>
              <w:t>800</w:t>
            </w:r>
            <w:r>
              <w:rPr>
                <w:rFonts w:hint="eastAsia" w:ascii="Times New Roman" w:hAnsi="Times New Roman" w:cs="Times New Roman"/>
                <w:color w:val="auto"/>
                <w:sz w:val="24"/>
                <w:highlight w:val="none"/>
                <w:lang w:val="en-US" w:eastAsia="zh-CN"/>
              </w:rPr>
              <w:t>t/a，苯0.03</w:t>
            </w:r>
            <w:r>
              <w:rPr>
                <w:rFonts w:hint="eastAsia"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t/a，甲苯与二甲苯合计0.6</w:t>
            </w:r>
            <w:r>
              <w:rPr>
                <w:rFonts w:hint="eastAsia" w:cs="Times New Roman"/>
                <w:color w:val="auto"/>
                <w:sz w:val="24"/>
                <w:highlight w:val="none"/>
                <w:lang w:val="en-US" w:eastAsia="zh-CN"/>
              </w:rPr>
              <w:t>00</w:t>
            </w:r>
            <w:r>
              <w:rPr>
                <w:rFonts w:hint="eastAsia" w:ascii="Times New Roman" w:hAnsi="Times New Roman" w:cs="Times New Roman"/>
                <w:color w:val="auto"/>
                <w:sz w:val="24"/>
                <w:highlight w:val="none"/>
                <w:lang w:val="en-US" w:eastAsia="zh-CN"/>
              </w:rPr>
              <w:t>t/a。</w:t>
            </w:r>
          </w:p>
          <w:p w14:paraId="44AC48B2">
            <w:pPr>
              <w:pStyle w:val="2"/>
              <w:rPr>
                <w:rFonts w:hint="default"/>
                <w:color w:val="auto"/>
                <w:lang w:val="en-US" w:eastAsia="zh-CN"/>
              </w:rPr>
            </w:pPr>
            <w:r>
              <w:rPr>
                <w:rFonts w:hint="eastAsia" w:ascii="Times New Roman" w:hAnsi="Times New Roman" w:cs="Times New Roman"/>
                <w:color w:val="auto"/>
                <w:sz w:val="24"/>
                <w:highlight w:val="none"/>
                <w:lang w:val="en-US" w:eastAsia="zh-CN"/>
              </w:rPr>
              <w:t>综上，本项目总量控制指标为</w:t>
            </w:r>
            <w:r>
              <w:rPr>
                <w:rFonts w:hint="eastAsia" w:eastAsia="宋体" w:cs="Times New Roman"/>
                <w:color w:val="auto"/>
                <w:spacing w:val="0"/>
                <w:position w:val="0"/>
                <w:highlight w:val="none"/>
                <w:lang w:val="en-US" w:eastAsia="zh-CN"/>
              </w:rPr>
              <w:t>COD0t/a，氨氮0t/a，总氮0t/a，SO</w:t>
            </w:r>
            <w:r>
              <w:rPr>
                <w:rFonts w:hint="eastAsia" w:eastAsia="宋体" w:cs="Times New Roman"/>
                <w:color w:val="auto"/>
                <w:spacing w:val="0"/>
                <w:position w:val="0"/>
                <w:highlight w:val="none"/>
                <w:vertAlign w:val="subscript"/>
                <w:lang w:val="en-US" w:eastAsia="zh-CN"/>
              </w:rPr>
              <w:t>2</w:t>
            </w:r>
            <w:r>
              <w:rPr>
                <w:rFonts w:hint="eastAsia" w:eastAsia="宋体" w:cs="Times New Roman"/>
                <w:color w:val="auto"/>
                <w:spacing w:val="0"/>
                <w:position w:val="0"/>
                <w:highlight w:val="none"/>
                <w:lang w:val="en-US" w:eastAsia="zh-CN"/>
              </w:rPr>
              <w:t>0t/a，NOx0t/a，</w:t>
            </w:r>
            <w:r>
              <w:rPr>
                <w:rFonts w:hint="eastAsia" w:ascii="Times New Roman" w:hAnsi="Times New Roman" w:cs="Times New Roman"/>
                <w:color w:val="auto"/>
                <w:sz w:val="24"/>
                <w:highlight w:val="none"/>
                <w:lang w:val="en-US" w:eastAsia="zh-CN"/>
              </w:rPr>
              <w:t>颗粒物</w:t>
            </w:r>
            <w:r>
              <w:rPr>
                <w:rFonts w:hint="eastAsia" w:cs="Times New Roman"/>
                <w:color w:val="auto"/>
                <w:sz w:val="24"/>
                <w:highlight w:val="none"/>
                <w:lang w:val="en-US" w:eastAsia="zh-CN"/>
              </w:rPr>
              <w:t>1.240</w:t>
            </w:r>
            <w:r>
              <w:rPr>
                <w:rFonts w:hint="eastAsia" w:ascii="Times New Roman" w:hAnsi="Times New Roman" w:cs="Times New Roman"/>
                <w:color w:val="auto"/>
                <w:sz w:val="24"/>
                <w:highlight w:val="none"/>
                <w:lang w:val="en-US" w:eastAsia="zh-CN"/>
              </w:rPr>
              <w:t>t/a，非甲烷总烃1.</w:t>
            </w:r>
            <w:r>
              <w:rPr>
                <w:rFonts w:hint="eastAsia" w:cs="Times New Roman"/>
                <w:color w:val="auto"/>
                <w:sz w:val="24"/>
                <w:highlight w:val="none"/>
                <w:lang w:val="en-US" w:eastAsia="zh-CN"/>
              </w:rPr>
              <w:t>800</w:t>
            </w:r>
            <w:r>
              <w:rPr>
                <w:rFonts w:hint="eastAsia" w:ascii="Times New Roman" w:hAnsi="Times New Roman" w:cs="Times New Roman"/>
                <w:color w:val="auto"/>
                <w:sz w:val="24"/>
                <w:highlight w:val="none"/>
                <w:lang w:val="en-US" w:eastAsia="zh-CN"/>
              </w:rPr>
              <w:t>t/a，苯0.03</w:t>
            </w:r>
            <w:r>
              <w:rPr>
                <w:rFonts w:hint="eastAsia"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t/a，甲苯与二甲苯合计0.6</w:t>
            </w:r>
            <w:r>
              <w:rPr>
                <w:rFonts w:hint="eastAsia" w:cs="Times New Roman"/>
                <w:color w:val="auto"/>
                <w:sz w:val="24"/>
                <w:highlight w:val="none"/>
                <w:lang w:val="en-US" w:eastAsia="zh-CN"/>
              </w:rPr>
              <w:t>00</w:t>
            </w:r>
            <w:r>
              <w:rPr>
                <w:rFonts w:hint="eastAsia" w:ascii="Times New Roman" w:hAnsi="Times New Roman" w:cs="Times New Roman"/>
                <w:color w:val="auto"/>
                <w:sz w:val="24"/>
                <w:highlight w:val="none"/>
                <w:lang w:val="en-US" w:eastAsia="zh-CN"/>
              </w:rPr>
              <w:t>t/a，本项目建成后全厂总量控制指标为</w:t>
            </w:r>
            <w:r>
              <w:rPr>
                <w:rFonts w:hint="eastAsia" w:eastAsia="宋体" w:cs="Times New Roman"/>
                <w:color w:val="auto"/>
                <w:spacing w:val="0"/>
                <w:position w:val="0"/>
                <w:highlight w:val="none"/>
                <w:lang w:val="en-US" w:eastAsia="zh-CN"/>
              </w:rPr>
              <w:t>COD0t/a，氨氮0t/a，总氮0t/a，SO</w:t>
            </w:r>
            <w:r>
              <w:rPr>
                <w:rFonts w:hint="eastAsia" w:eastAsia="宋体" w:cs="Times New Roman"/>
                <w:color w:val="auto"/>
                <w:spacing w:val="0"/>
                <w:position w:val="0"/>
                <w:highlight w:val="none"/>
                <w:vertAlign w:val="subscript"/>
                <w:lang w:val="en-US" w:eastAsia="zh-CN"/>
              </w:rPr>
              <w:t>2</w:t>
            </w:r>
            <w:r>
              <w:rPr>
                <w:rFonts w:hint="eastAsia" w:eastAsia="宋体" w:cs="Times New Roman"/>
                <w:color w:val="auto"/>
                <w:spacing w:val="0"/>
                <w:position w:val="0"/>
                <w:highlight w:val="none"/>
                <w:lang w:val="en-US" w:eastAsia="zh-CN"/>
              </w:rPr>
              <w:t>0t/a，NOx0t/a，</w:t>
            </w:r>
            <w:r>
              <w:rPr>
                <w:rFonts w:hint="eastAsia" w:ascii="Times New Roman" w:hAnsi="Times New Roman" w:cs="Times New Roman"/>
                <w:color w:val="auto"/>
                <w:sz w:val="24"/>
                <w:highlight w:val="none"/>
                <w:lang w:val="en-US" w:eastAsia="zh-CN"/>
              </w:rPr>
              <w:t>颗粒物</w:t>
            </w:r>
            <w:r>
              <w:rPr>
                <w:rFonts w:hint="eastAsia" w:cs="Times New Roman"/>
                <w:color w:val="auto"/>
                <w:sz w:val="24"/>
                <w:highlight w:val="none"/>
                <w:lang w:val="en-US" w:eastAsia="zh-CN"/>
              </w:rPr>
              <w:t>1.240</w:t>
            </w:r>
            <w:r>
              <w:rPr>
                <w:rFonts w:hint="eastAsia" w:ascii="Times New Roman" w:hAnsi="Times New Roman" w:cs="Times New Roman"/>
                <w:color w:val="auto"/>
                <w:sz w:val="24"/>
                <w:highlight w:val="none"/>
                <w:lang w:val="en-US" w:eastAsia="zh-CN"/>
              </w:rPr>
              <w:t>t/a，非甲烷总烃1.</w:t>
            </w:r>
            <w:r>
              <w:rPr>
                <w:rFonts w:hint="eastAsia" w:cs="Times New Roman"/>
                <w:color w:val="auto"/>
                <w:sz w:val="24"/>
                <w:highlight w:val="none"/>
                <w:lang w:val="en-US" w:eastAsia="zh-CN"/>
              </w:rPr>
              <w:t>800</w:t>
            </w:r>
            <w:r>
              <w:rPr>
                <w:rFonts w:hint="eastAsia" w:ascii="Times New Roman" w:hAnsi="Times New Roman" w:cs="Times New Roman"/>
                <w:color w:val="auto"/>
                <w:sz w:val="24"/>
                <w:highlight w:val="none"/>
                <w:lang w:val="en-US" w:eastAsia="zh-CN"/>
              </w:rPr>
              <w:t>t/a，苯0.03</w:t>
            </w:r>
            <w:r>
              <w:rPr>
                <w:rFonts w:hint="eastAsia"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t/a，甲苯与二甲苯合计0.6</w:t>
            </w:r>
            <w:r>
              <w:rPr>
                <w:rFonts w:hint="eastAsia" w:cs="Times New Roman"/>
                <w:color w:val="auto"/>
                <w:sz w:val="24"/>
                <w:highlight w:val="none"/>
                <w:lang w:val="en-US" w:eastAsia="zh-CN"/>
              </w:rPr>
              <w:t>00</w:t>
            </w:r>
            <w:r>
              <w:rPr>
                <w:rFonts w:hint="eastAsia" w:ascii="Times New Roman" w:hAnsi="Times New Roman" w:cs="Times New Roman"/>
                <w:color w:val="auto"/>
                <w:sz w:val="24"/>
                <w:highlight w:val="none"/>
                <w:lang w:val="en-US" w:eastAsia="zh-CN"/>
              </w:rPr>
              <w:t>t/a。</w:t>
            </w:r>
          </w:p>
          <w:p w14:paraId="5DE29A3A">
            <w:pPr>
              <w:bidi w:val="0"/>
              <w:rPr>
                <w:rFonts w:hint="default"/>
                <w:color w:val="auto"/>
                <w:highlight w:val="none"/>
                <w:lang w:val="en-US" w:eastAsia="zh-CN"/>
              </w:rPr>
            </w:pPr>
            <w:r>
              <w:rPr>
                <w:rFonts w:hint="eastAsia"/>
                <w:color w:val="auto"/>
                <w:highlight w:val="none"/>
                <w:lang w:val="en-US" w:eastAsia="zh-CN"/>
              </w:rPr>
              <w:t>根据现有工程环评及批复同时结合现行污染物排放标准及实际情况，本项目建成后，总量控制指标变化情况见下表。</w:t>
            </w:r>
          </w:p>
          <w:p w14:paraId="1CA4D963">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eastAsia" w:cs="Times New Roman"/>
                <w:b/>
                <w:bCs/>
                <w:color w:val="auto"/>
                <w:sz w:val="21"/>
                <w:szCs w:val="21"/>
                <w:highlight w:val="none"/>
                <w:lang w:val="en-US" w:eastAsia="zh-CN"/>
              </w:rPr>
              <w:t xml:space="preserve">34 </w:t>
            </w:r>
            <w:r>
              <w:rPr>
                <w:rFonts w:hint="default" w:ascii="Times New Roman" w:hAnsi="Times New Roman" w:eastAsia="宋体" w:cs="Times New Roman"/>
                <w:b/>
                <w:bCs/>
                <w:color w:val="auto"/>
                <w:sz w:val="21"/>
                <w:szCs w:val="21"/>
                <w:highlight w:val="none"/>
                <w:lang w:eastAsia="zh-CN"/>
              </w:rPr>
              <w:t xml:space="preserve"> </w:t>
            </w:r>
            <w:r>
              <w:rPr>
                <w:rFonts w:hint="eastAsia" w:cs="Times New Roman"/>
                <w:b/>
                <w:bCs/>
                <w:color w:val="auto"/>
                <w:sz w:val="21"/>
                <w:szCs w:val="21"/>
                <w:highlight w:val="none"/>
                <w:lang w:val="en-US" w:eastAsia="zh-CN"/>
              </w:rPr>
              <w:t>总量控制指标变化</w:t>
            </w:r>
            <w:r>
              <w:rPr>
                <w:rFonts w:hint="default" w:ascii="Times New Roman" w:hAnsi="Times New Roman" w:eastAsia="宋体" w:cs="Times New Roman"/>
                <w:b/>
                <w:bCs/>
                <w:color w:val="auto"/>
                <w:sz w:val="21"/>
                <w:szCs w:val="21"/>
                <w:highlight w:val="none"/>
                <w:lang w:eastAsia="zh-CN"/>
              </w:rPr>
              <w:t>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925"/>
              <w:gridCol w:w="1866"/>
              <w:gridCol w:w="1872"/>
              <w:gridCol w:w="1775"/>
            </w:tblGrid>
            <w:tr w14:paraId="19175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39" w:type="dxa"/>
                  <w:tcBorders>
                    <w:tl2br w:val="nil"/>
                    <w:tr2bl w:val="nil"/>
                  </w:tcBorders>
                  <w:noWrap w:val="0"/>
                  <w:vAlign w:val="center"/>
                </w:tcPr>
                <w:p w14:paraId="01308567">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类别</w:t>
                  </w:r>
                </w:p>
              </w:tc>
              <w:tc>
                <w:tcPr>
                  <w:tcW w:w="1925" w:type="dxa"/>
                  <w:tcBorders>
                    <w:tl2br w:val="nil"/>
                    <w:tr2bl w:val="nil"/>
                  </w:tcBorders>
                  <w:noWrap w:val="0"/>
                  <w:vAlign w:val="center"/>
                </w:tcPr>
                <w:p w14:paraId="20E12FD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污染物</w:t>
                  </w:r>
                </w:p>
              </w:tc>
              <w:tc>
                <w:tcPr>
                  <w:tcW w:w="1866" w:type="dxa"/>
                  <w:tcBorders>
                    <w:tl2br w:val="nil"/>
                    <w:tr2bl w:val="nil"/>
                  </w:tcBorders>
                  <w:noWrap w:val="0"/>
                  <w:vAlign w:val="center"/>
                </w:tcPr>
                <w:p w14:paraId="7F6E25FA">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现有工程总量控制指标（t/a）</w:t>
                  </w:r>
                </w:p>
              </w:tc>
              <w:tc>
                <w:tcPr>
                  <w:tcW w:w="1872" w:type="dxa"/>
                  <w:tcBorders>
                    <w:tl2br w:val="nil"/>
                    <w:tr2bl w:val="nil"/>
                  </w:tcBorders>
                  <w:noWrap w:val="0"/>
                  <w:vAlign w:val="center"/>
                </w:tcPr>
                <w:p w14:paraId="3B0EE11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本项目建成后全厂（t/a）</w:t>
                  </w:r>
                </w:p>
              </w:tc>
              <w:tc>
                <w:tcPr>
                  <w:tcW w:w="1775" w:type="dxa"/>
                  <w:tcBorders>
                    <w:tl2br w:val="nil"/>
                    <w:tr2bl w:val="nil"/>
                  </w:tcBorders>
                  <w:noWrap w:val="0"/>
                  <w:vAlign w:val="center"/>
                </w:tcPr>
                <w:p w14:paraId="01BC2B70">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总量指标变化量（t/a）</w:t>
                  </w:r>
                </w:p>
              </w:tc>
            </w:tr>
            <w:tr w14:paraId="655CB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39" w:type="dxa"/>
                  <w:vMerge w:val="restart"/>
                  <w:tcBorders>
                    <w:tl2br w:val="nil"/>
                    <w:tr2bl w:val="nil"/>
                  </w:tcBorders>
                  <w:noWrap w:val="0"/>
                  <w:vAlign w:val="center"/>
                </w:tcPr>
                <w:p w14:paraId="3FA8B682">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1925" w:type="dxa"/>
                  <w:tcBorders>
                    <w:tl2br w:val="nil"/>
                    <w:tr2bl w:val="nil"/>
                  </w:tcBorders>
                  <w:noWrap w:val="0"/>
                  <w:vAlign w:val="center"/>
                </w:tcPr>
                <w:p w14:paraId="231F1638">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eastAsia="宋体" w:cs="Times New Roman"/>
                      <w:color w:val="auto"/>
                      <w:spacing w:val="0"/>
                      <w:position w:val="0"/>
                      <w:sz w:val="21"/>
                      <w:szCs w:val="21"/>
                      <w:highlight w:val="none"/>
                      <w:lang w:val="en-US" w:eastAsia="zh-CN"/>
                    </w:rPr>
                    <w:t>SO</w:t>
                  </w:r>
                  <w:r>
                    <w:rPr>
                      <w:rFonts w:hint="eastAsia" w:eastAsia="宋体" w:cs="Times New Roman"/>
                      <w:color w:val="auto"/>
                      <w:spacing w:val="0"/>
                      <w:position w:val="0"/>
                      <w:sz w:val="21"/>
                      <w:szCs w:val="21"/>
                      <w:highlight w:val="none"/>
                      <w:vertAlign w:val="subscript"/>
                      <w:lang w:val="en-US" w:eastAsia="zh-CN"/>
                    </w:rPr>
                    <w:t>2</w:t>
                  </w:r>
                </w:p>
              </w:tc>
              <w:tc>
                <w:tcPr>
                  <w:tcW w:w="1866" w:type="dxa"/>
                  <w:tcBorders>
                    <w:tl2br w:val="nil"/>
                    <w:tr2bl w:val="nil"/>
                  </w:tcBorders>
                  <w:noWrap w:val="0"/>
                  <w:vAlign w:val="center"/>
                </w:tcPr>
                <w:p w14:paraId="1063D048">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14:paraId="3D52F0C0">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14:paraId="5DC011C1">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5BABA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39" w:type="dxa"/>
                  <w:vMerge w:val="continue"/>
                  <w:tcBorders>
                    <w:tl2br w:val="nil"/>
                    <w:tr2bl w:val="nil"/>
                  </w:tcBorders>
                  <w:noWrap w:val="0"/>
                  <w:vAlign w:val="center"/>
                </w:tcPr>
                <w:p w14:paraId="445E631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14:paraId="5728334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eastAsia="宋体" w:cs="Times New Roman"/>
                      <w:color w:val="auto"/>
                      <w:spacing w:val="0"/>
                      <w:position w:val="0"/>
                      <w:sz w:val="21"/>
                      <w:szCs w:val="21"/>
                      <w:highlight w:val="none"/>
                      <w:lang w:val="en-US" w:eastAsia="zh-CN"/>
                    </w:rPr>
                    <w:t>NOx</w:t>
                  </w:r>
                </w:p>
              </w:tc>
              <w:tc>
                <w:tcPr>
                  <w:tcW w:w="1866" w:type="dxa"/>
                  <w:tcBorders>
                    <w:tl2br w:val="nil"/>
                    <w:tr2bl w:val="nil"/>
                  </w:tcBorders>
                  <w:noWrap w:val="0"/>
                  <w:vAlign w:val="center"/>
                </w:tcPr>
                <w:p w14:paraId="2DAD8C49">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14:paraId="7266ABA8">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14:paraId="4A6223A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65D52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39" w:type="dxa"/>
                  <w:vMerge w:val="continue"/>
                  <w:tcBorders>
                    <w:tl2br w:val="nil"/>
                    <w:tr2bl w:val="nil"/>
                  </w:tcBorders>
                  <w:noWrap w:val="0"/>
                  <w:vAlign w:val="center"/>
                </w:tcPr>
                <w:p w14:paraId="04939CF4">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14:paraId="4F75FCD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颗粒物</w:t>
                  </w:r>
                </w:p>
              </w:tc>
              <w:tc>
                <w:tcPr>
                  <w:tcW w:w="1866" w:type="dxa"/>
                  <w:tcBorders>
                    <w:tl2br w:val="nil"/>
                    <w:tr2bl w:val="nil"/>
                  </w:tcBorders>
                  <w:noWrap w:val="0"/>
                  <w:vAlign w:val="center"/>
                </w:tcPr>
                <w:p w14:paraId="3C6E7720">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14:paraId="0F42CA1F">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1.240</w:t>
                  </w:r>
                </w:p>
              </w:tc>
              <w:tc>
                <w:tcPr>
                  <w:tcW w:w="1775" w:type="dxa"/>
                  <w:tcBorders>
                    <w:tl2br w:val="nil"/>
                    <w:tr2bl w:val="nil"/>
                  </w:tcBorders>
                  <w:noWrap w:val="0"/>
                  <w:vAlign w:val="center"/>
                </w:tcPr>
                <w:p w14:paraId="621E803E">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+1.240</w:t>
                  </w:r>
                </w:p>
              </w:tc>
            </w:tr>
            <w:tr w14:paraId="0D8DD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39" w:type="dxa"/>
                  <w:vMerge w:val="continue"/>
                  <w:tcBorders>
                    <w:tl2br w:val="nil"/>
                    <w:tr2bl w:val="nil"/>
                  </w:tcBorders>
                  <w:noWrap w:val="0"/>
                  <w:vAlign w:val="center"/>
                </w:tcPr>
                <w:p w14:paraId="0087530B">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14:paraId="2A31D24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866" w:type="dxa"/>
                  <w:tcBorders>
                    <w:tl2br w:val="nil"/>
                    <w:tr2bl w:val="nil"/>
                  </w:tcBorders>
                  <w:noWrap w:val="0"/>
                  <w:vAlign w:val="center"/>
                </w:tcPr>
                <w:p w14:paraId="69FAC28E">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14:paraId="174E3455">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1.800</w:t>
                  </w:r>
                </w:p>
              </w:tc>
              <w:tc>
                <w:tcPr>
                  <w:tcW w:w="1775" w:type="dxa"/>
                  <w:tcBorders>
                    <w:tl2br w:val="nil"/>
                    <w:tr2bl w:val="nil"/>
                  </w:tcBorders>
                  <w:noWrap w:val="0"/>
                  <w:vAlign w:val="center"/>
                </w:tcPr>
                <w:p w14:paraId="4CDC35D7">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+1.800</w:t>
                  </w:r>
                </w:p>
              </w:tc>
            </w:tr>
            <w:tr w14:paraId="795BA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39" w:type="dxa"/>
                  <w:vMerge w:val="continue"/>
                  <w:tcBorders>
                    <w:tl2br w:val="nil"/>
                    <w:tr2bl w:val="nil"/>
                  </w:tcBorders>
                  <w:noWrap w:val="0"/>
                  <w:vAlign w:val="center"/>
                </w:tcPr>
                <w:p w14:paraId="0513959C">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14:paraId="1C57184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苯</w:t>
                  </w:r>
                </w:p>
              </w:tc>
              <w:tc>
                <w:tcPr>
                  <w:tcW w:w="1866" w:type="dxa"/>
                  <w:tcBorders>
                    <w:tl2br w:val="nil"/>
                    <w:tr2bl w:val="nil"/>
                  </w:tcBorders>
                  <w:noWrap w:val="0"/>
                  <w:vAlign w:val="center"/>
                </w:tcPr>
                <w:p w14:paraId="296FCCEB">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14:paraId="43BF7295">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0.030</w:t>
                  </w:r>
                </w:p>
              </w:tc>
              <w:tc>
                <w:tcPr>
                  <w:tcW w:w="1775" w:type="dxa"/>
                  <w:tcBorders>
                    <w:tl2br w:val="nil"/>
                    <w:tr2bl w:val="nil"/>
                  </w:tcBorders>
                  <w:noWrap w:val="0"/>
                  <w:vAlign w:val="center"/>
                </w:tcPr>
                <w:p w14:paraId="1897FEB4">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+0.030</w:t>
                  </w:r>
                </w:p>
              </w:tc>
            </w:tr>
            <w:tr w14:paraId="3984E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39" w:type="dxa"/>
                  <w:vMerge w:val="continue"/>
                  <w:tcBorders>
                    <w:tl2br w:val="nil"/>
                    <w:tr2bl w:val="nil"/>
                  </w:tcBorders>
                  <w:noWrap w:val="0"/>
                  <w:vAlign w:val="center"/>
                </w:tcPr>
                <w:p w14:paraId="4D8FF74A">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14:paraId="4C6A323D">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甲苯与二甲苯合计</w:t>
                  </w:r>
                </w:p>
              </w:tc>
              <w:tc>
                <w:tcPr>
                  <w:tcW w:w="1866" w:type="dxa"/>
                  <w:tcBorders>
                    <w:tl2br w:val="nil"/>
                    <w:tr2bl w:val="nil"/>
                  </w:tcBorders>
                  <w:noWrap w:val="0"/>
                  <w:vAlign w:val="center"/>
                </w:tcPr>
                <w:p w14:paraId="4EAFFEC7">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14:paraId="5CD3CDBA">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0.60</w:t>
                  </w:r>
                </w:p>
              </w:tc>
              <w:tc>
                <w:tcPr>
                  <w:tcW w:w="1775" w:type="dxa"/>
                  <w:tcBorders>
                    <w:tl2br w:val="nil"/>
                    <w:tr2bl w:val="nil"/>
                  </w:tcBorders>
                  <w:noWrap w:val="0"/>
                  <w:vAlign w:val="center"/>
                </w:tcPr>
                <w:p w14:paraId="62141EF2">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+0.60</w:t>
                  </w:r>
                </w:p>
              </w:tc>
            </w:tr>
            <w:tr w14:paraId="7E672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39" w:type="dxa"/>
                  <w:vMerge w:val="restart"/>
                  <w:tcBorders>
                    <w:tl2br w:val="nil"/>
                    <w:tr2bl w:val="nil"/>
                  </w:tcBorders>
                  <w:noWrap w:val="0"/>
                  <w:vAlign w:val="center"/>
                </w:tcPr>
                <w:p w14:paraId="39F85D3E">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废水</w:t>
                  </w:r>
                </w:p>
              </w:tc>
              <w:tc>
                <w:tcPr>
                  <w:tcW w:w="1925" w:type="dxa"/>
                  <w:tcBorders>
                    <w:tl2br w:val="nil"/>
                    <w:tr2bl w:val="nil"/>
                  </w:tcBorders>
                  <w:noWrap w:val="0"/>
                  <w:vAlign w:val="center"/>
                </w:tcPr>
                <w:p w14:paraId="04035C45">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COD</w:t>
                  </w:r>
                </w:p>
              </w:tc>
              <w:tc>
                <w:tcPr>
                  <w:tcW w:w="1866" w:type="dxa"/>
                  <w:tcBorders>
                    <w:tl2br w:val="nil"/>
                    <w:tr2bl w:val="nil"/>
                  </w:tcBorders>
                  <w:noWrap w:val="0"/>
                  <w:vAlign w:val="center"/>
                </w:tcPr>
                <w:p w14:paraId="3353013E">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14:paraId="31EF7E0E">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14:paraId="2EE03EF3">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273BD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39" w:type="dxa"/>
                  <w:vMerge w:val="continue"/>
                  <w:tcBorders>
                    <w:tl2br w:val="nil"/>
                    <w:tr2bl w:val="nil"/>
                  </w:tcBorders>
                  <w:noWrap w:val="0"/>
                  <w:vAlign w:val="center"/>
                </w:tcPr>
                <w:p w14:paraId="74A681CF">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14:paraId="1E68C009">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氨氮</w:t>
                  </w:r>
                </w:p>
              </w:tc>
              <w:tc>
                <w:tcPr>
                  <w:tcW w:w="1866" w:type="dxa"/>
                  <w:tcBorders>
                    <w:tl2br w:val="nil"/>
                    <w:tr2bl w:val="nil"/>
                  </w:tcBorders>
                  <w:noWrap w:val="0"/>
                  <w:vAlign w:val="center"/>
                </w:tcPr>
                <w:p w14:paraId="649A0D7C">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14:paraId="1FF12E84">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14:paraId="227D91CA">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3C90B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39" w:type="dxa"/>
                  <w:vMerge w:val="continue"/>
                  <w:tcBorders>
                    <w:tl2br w:val="nil"/>
                    <w:tr2bl w:val="nil"/>
                  </w:tcBorders>
                  <w:noWrap w:val="0"/>
                  <w:vAlign w:val="center"/>
                </w:tcPr>
                <w:p w14:paraId="2681E0F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14:paraId="29E327F6">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总氮</w:t>
                  </w:r>
                </w:p>
              </w:tc>
              <w:tc>
                <w:tcPr>
                  <w:tcW w:w="1866" w:type="dxa"/>
                  <w:tcBorders>
                    <w:tl2br w:val="nil"/>
                    <w:tr2bl w:val="nil"/>
                  </w:tcBorders>
                  <w:noWrap w:val="0"/>
                  <w:vAlign w:val="center"/>
                </w:tcPr>
                <w:p w14:paraId="1187EAAD">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14:paraId="0DBF7C21">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14:paraId="5E7AE04E">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bl>
          <w:p w14:paraId="6117525D">
            <w:pPr>
              <w:bidi w:val="0"/>
              <w:rPr>
                <w:rFonts w:ascii="Times New Roman" w:eastAsia="宋体"/>
                <w:color w:val="auto"/>
                <w:sz w:val="24"/>
                <w:highlight w:val="none"/>
              </w:rPr>
            </w:pPr>
          </w:p>
          <w:p w14:paraId="1F5A6DBD">
            <w:pPr>
              <w:bidi w:val="0"/>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p>
          <w:p w14:paraId="0B2E44BF">
            <w:pPr>
              <w:pStyle w:val="2"/>
              <w:rPr>
                <w:rFonts w:hint="eastAsia" w:ascii="Times New Roman" w:hAnsi="Times New Roman" w:eastAsia="宋体" w:cs="Times New Roman"/>
                <w:color w:val="auto"/>
                <w:kern w:val="2"/>
                <w:sz w:val="24"/>
                <w:szCs w:val="24"/>
                <w:highlight w:val="none"/>
                <w:lang w:val="en-US" w:eastAsia="zh-CN" w:bidi="ar-SA"/>
              </w:rPr>
            </w:pPr>
          </w:p>
          <w:p w14:paraId="42EE8635">
            <w:pPr>
              <w:pStyle w:val="3"/>
              <w:rPr>
                <w:rFonts w:hint="eastAsia" w:ascii="Times New Roman" w:hAnsi="Times New Roman" w:eastAsia="宋体" w:cs="Times New Roman"/>
                <w:color w:val="auto"/>
                <w:kern w:val="2"/>
                <w:sz w:val="24"/>
                <w:szCs w:val="24"/>
                <w:highlight w:val="none"/>
                <w:lang w:val="en-US" w:eastAsia="zh-CN" w:bidi="ar-SA"/>
              </w:rPr>
            </w:pPr>
          </w:p>
          <w:p w14:paraId="62DC1F1B">
            <w:pPr>
              <w:rPr>
                <w:rFonts w:hint="eastAsia" w:ascii="Times New Roman" w:hAnsi="Times New Roman" w:eastAsia="宋体" w:cs="Times New Roman"/>
                <w:color w:val="auto"/>
                <w:kern w:val="2"/>
                <w:sz w:val="24"/>
                <w:szCs w:val="24"/>
                <w:highlight w:val="none"/>
                <w:lang w:val="en-US" w:eastAsia="zh-CN" w:bidi="ar-SA"/>
              </w:rPr>
            </w:pPr>
          </w:p>
          <w:p w14:paraId="415A9EFA">
            <w:pPr>
              <w:pStyle w:val="2"/>
              <w:rPr>
                <w:rFonts w:hint="eastAsia" w:ascii="Times New Roman" w:hAnsi="Times New Roman" w:eastAsia="宋体" w:cs="Times New Roman"/>
                <w:color w:val="auto"/>
                <w:kern w:val="2"/>
                <w:sz w:val="24"/>
                <w:szCs w:val="24"/>
                <w:highlight w:val="none"/>
                <w:lang w:val="en-US" w:eastAsia="zh-CN" w:bidi="ar-SA"/>
              </w:rPr>
            </w:pPr>
          </w:p>
          <w:p w14:paraId="6CF62F27">
            <w:pPr>
              <w:pStyle w:val="3"/>
              <w:rPr>
                <w:rFonts w:hint="eastAsia" w:ascii="Times New Roman" w:hAnsi="Times New Roman" w:eastAsia="宋体" w:cs="Times New Roman"/>
                <w:color w:val="auto"/>
                <w:kern w:val="2"/>
                <w:sz w:val="24"/>
                <w:szCs w:val="24"/>
                <w:highlight w:val="none"/>
                <w:lang w:val="en-US" w:eastAsia="zh-CN" w:bidi="ar-SA"/>
              </w:rPr>
            </w:pPr>
          </w:p>
          <w:p w14:paraId="67A69DA9">
            <w:pPr>
              <w:rPr>
                <w:rFonts w:hint="eastAsia" w:ascii="Times New Roman" w:hAnsi="Times New Roman" w:eastAsia="宋体" w:cs="Times New Roman"/>
                <w:color w:val="auto"/>
                <w:kern w:val="2"/>
                <w:sz w:val="24"/>
                <w:szCs w:val="24"/>
                <w:highlight w:val="none"/>
                <w:lang w:val="en-US" w:eastAsia="zh-CN" w:bidi="ar-SA"/>
              </w:rPr>
            </w:pPr>
          </w:p>
          <w:p w14:paraId="1E247CCD">
            <w:pPr>
              <w:pStyle w:val="2"/>
              <w:rPr>
                <w:rFonts w:hint="eastAsia" w:ascii="Times New Roman" w:hAnsi="Times New Roman" w:eastAsia="宋体" w:cs="Times New Roman"/>
                <w:color w:val="auto"/>
                <w:kern w:val="2"/>
                <w:sz w:val="24"/>
                <w:szCs w:val="24"/>
                <w:highlight w:val="none"/>
                <w:lang w:val="en-US" w:eastAsia="zh-CN" w:bidi="ar-SA"/>
              </w:rPr>
            </w:pPr>
          </w:p>
          <w:p w14:paraId="2F9F19A9">
            <w:pPr>
              <w:pStyle w:val="3"/>
              <w:rPr>
                <w:rFonts w:hint="eastAsia" w:ascii="Times New Roman" w:hAnsi="Times New Roman" w:eastAsia="宋体" w:cs="Times New Roman"/>
                <w:color w:val="auto"/>
                <w:kern w:val="2"/>
                <w:sz w:val="24"/>
                <w:szCs w:val="24"/>
                <w:highlight w:val="none"/>
                <w:lang w:val="en-US" w:eastAsia="zh-CN" w:bidi="ar-SA"/>
              </w:rPr>
            </w:pPr>
          </w:p>
          <w:p w14:paraId="2A58F0F4">
            <w:pPr>
              <w:rPr>
                <w:rFonts w:hint="eastAsia" w:ascii="Times New Roman" w:hAnsi="Times New Roman" w:eastAsia="宋体" w:cs="Times New Roman"/>
                <w:color w:val="auto"/>
                <w:kern w:val="2"/>
                <w:sz w:val="24"/>
                <w:szCs w:val="24"/>
                <w:highlight w:val="none"/>
                <w:lang w:val="en-US" w:eastAsia="zh-CN" w:bidi="ar-SA"/>
              </w:rPr>
            </w:pPr>
          </w:p>
          <w:p w14:paraId="1976D055">
            <w:pPr>
              <w:pStyle w:val="2"/>
              <w:rPr>
                <w:rFonts w:hint="eastAsia" w:ascii="Times New Roman" w:hAnsi="Times New Roman" w:eastAsia="宋体" w:cs="Times New Roman"/>
                <w:color w:val="auto"/>
                <w:kern w:val="2"/>
                <w:sz w:val="24"/>
                <w:szCs w:val="24"/>
                <w:highlight w:val="none"/>
                <w:lang w:val="en-US" w:eastAsia="zh-CN" w:bidi="ar-SA"/>
              </w:rPr>
            </w:pPr>
          </w:p>
          <w:p w14:paraId="251D8EDA">
            <w:pPr>
              <w:pStyle w:val="3"/>
              <w:rPr>
                <w:rFonts w:hint="eastAsia" w:ascii="Times New Roman" w:hAnsi="Times New Roman" w:eastAsia="宋体" w:cs="Times New Roman"/>
                <w:color w:val="auto"/>
                <w:kern w:val="2"/>
                <w:sz w:val="24"/>
                <w:szCs w:val="24"/>
                <w:highlight w:val="none"/>
                <w:lang w:val="en-US" w:eastAsia="zh-CN" w:bidi="ar-SA"/>
              </w:rPr>
            </w:pPr>
          </w:p>
          <w:p w14:paraId="72707BF2">
            <w:pPr>
              <w:rPr>
                <w:rFonts w:hint="eastAsia" w:ascii="Times New Roman" w:hAnsi="Times New Roman" w:eastAsia="宋体" w:cs="Times New Roman"/>
                <w:color w:val="auto"/>
                <w:kern w:val="2"/>
                <w:sz w:val="24"/>
                <w:szCs w:val="24"/>
                <w:highlight w:val="none"/>
                <w:lang w:val="en-US" w:eastAsia="zh-CN" w:bidi="ar-SA"/>
              </w:rPr>
            </w:pPr>
          </w:p>
          <w:p w14:paraId="04333E0C">
            <w:pPr>
              <w:pStyle w:val="2"/>
              <w:rPr>
                <w:rFonts w:hint="eastAsia" w:ascii="Times New Roman" w:hAnsi="Times New Roman" w:eastAsia="宋体" w:cs="Times New Roman"/>
                <w:color w:val="auto"/>
                <w:kern w:val="2"/>
                <w:sz w:val="24"/>
                <w:szCs w:val="24"/>
                <w:highlight w:val="none"/>
                <w:lang w:val="en-US" w:eastAsia="zh-CN" w:bidi="ar-SA"/>
              </w:rPr>
            </w:pPr>
          </w:p>
          <w:p w14:paraId="535EB948">
            <w:pPr>
              <w:pStyle w:val="3"/>
              <w:rPr>
                <w:rFonts w:hint="eastAsia"/>
                <w:color w:val="auto"/>
                <w:lang w:val="en-US" w:eastAsia="zh-CN"/>
              </w:rPr>
            </w:pPr>
          </w:p>
          <w:p w14:paraId="61608F3B">
            <w:pPr>
              <w:bidi w:val="0"/>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p>
          <w:p w14:paraId="249A07C4">
            <w:pPr>
              <w:pStyle w:val="3"/>
              <w:ind w:left="0" w:leftChars="0" w:firstLine="0" w:firstLineChars="0"/>
              <w:rPr>
                <w:rFonts w:hint="eastAsia"/>
                <w:color w:val="auto"/>
                <w:lang w:val="en-US" w:eastAsia="zh-CN"/>
              </w:rPr>
            </w:pPr>
          </w:p>
        </w:tc>
      </w:tr>
    </w:tbl>
    <w:p w14:paraId="6D6E11DB">
      <w:pPr>
        <w:rPr>
          <w:rFonts w:hint="eastAsia" w:ascii="黑体" w:hAnsi="黑体" w:eastAsia="黑体"/>
          <w:snapToGrid w:val="0"/>
          <w:color w:val="auto"/>
          <w:sz w:val="30"/>
          <w:szCs w:val="30"/>
          <w:highlight w:val="none"/>
        </w:rPr>
      </w:pPr>
      <w:bookmarkStart w:id="5" w:name="_Toc1102"/>
      <w:r>
        <w:rPr>
          <w:rFonts w:hint="eastAsia" w:ascii="黑体" w:hAnsi="黑体" w:eastAsia="黑体"/>
          <w:snapToGrid w:val="0"/>
          <w:color w:val="auto"/>
          <w:sz w:val="30"/>
          <w:szCs w:val="30"/>
          <w:highlight w:val="none"/>
        </w:rPr>
        <w:br w:type="page"/>
      </w:r>
    </w:p>
    <w:p w14:paraId="5452C705">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四、主要环境影响和保护措施</w:t>
      </w:r>
      <w:bookmarkEnd w:id="5"/>
    </w:p>
    <w:tbl>
      <w:tblPr>
        <w:tblStyle w:val="24"/>
        <w:tblW w:w="9354"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06"/>
        <w:gridCol w:w="8548"/>
      </w:tblGrid>
      <w:tr w14:paraId="716BCF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39" w:hRule="atLeast"/>
          <w:jc w:val="center"/>
        </w:trPr>
        <w:tc>
          <w:tcPr>
            <w:tcW w:w="806" w:type="dxa"/>
            <w:tcBorders>
              <w:tl2br w:val="nil"/>
              <w:tr2bl w:val="nil"/>
            </w:tcBorders>
            <w:shd w:val="clear" w:color="auto" w:fill="FFFFFF"/>
            <w:noWrap w:val="0"/>
            <w:tcMar>
              <w:left w:w="28" w:type="dxa"/>
              <w:right w:w="28" w:type="dxa"/>
            </w:tcMar>
            <w:vAlign w:val="center"/>
          </w:tcPr>
          <w:p w14:paraId="56D74F35">
            <w:pPr>
              <w:pStyle w:val="31"/>
              <w:bidi w:val="0"/>
              <w:rPr>
                <w:rFonts w:hint="eastAsia"/>
                <w:color w:val="auto"/>
                <w:sz w:val="24"/>
                <w:szCs w:val="24"/>
                <w:highlight w:val="none"/>
              </w:rPr>
            </w:pPr>
            <w:r>
              <w:rPr>
                <w:rFonts w:hint="eastAsia"/>
                <w:color w:val="auto"/>
                <w:sz w:val="24"/>
                <w:szCs w:val="24"/>
                <w:highlight w:val="none"/>
              </w:rPr>
              <w:t>施工</w:t>
            </w:r>
          </w:p>
          <w:p w14:paraId="7D28A88F">
            <w:pPr>
              <w:pStyle w:val="31"/>
              <w:bidi w:val="0"/>
              <w:rPr>
                <w:rFonts w:hint="eastAsia"/>
                <w:color w:val="auto"/>
                <w:sz w:val="24"/>
                <w:szCs w:val="24"/>
                <w:highlight w:val="none"/>
              </w:rPr>
            </w:pPr>
            <w:r>
              <w:rPr>
                <w:rFonts w:hint="eastAsia"/>
                <w:color w:val="auto"/>
                <w:sz w:val="24"/>
                <w:szCs w:val="24"/>
                <w:highlight w:val="none"/>
              </w:rPr>
              <w:t>期环</w:t>
            </w:r>
          </w:p>
          <w:p w14:paraId="72C93156">
            <w:pPr>
              <w:pStyle w:val="31"/>
              <w:bidi w:val="0"/>
              <w:rPr>
                <w:rFonts w:hint="eastAsia"/>
                <w:color w:val="auto"/>
                <w:sz w:val="24"/>
                <w:szCs w:val="24"/>
                <w:highlight w:val="none"/>
              </w:rPr>
            </w:pPr>
            <w:r>
              <w:rPr>
                <w:rFonts w:hint="eastAsia"/>
                <w:color w:val="auto"/>
                <w:sz w:val="24"/>
                <w:szCs w:val="24"/>
                <w:highlight w:val="none"/>
              </w:rPr>
              <w:t>境保</w:t>
            </w:r>
          </w:p>
          <w:p w14:paraId="585F5C58">
            <w:pPr>
              <w:pStyle w:val="31"/>
              <w:bidi w:val="0"/>
              <w:rPr>
                <w:rFonts w:hint="eastAsia"/>
                <w:color w:val="auto"/>
                <w:sz w:val="24"/>
                <w:szCs w:val="24"/>
                <w:highlight w:val="none"/>
              </w:rPr>
            </w:pPr>
            <w:r>
              <w:rPr>
                <w:rFonts w:hint="eastAsia"/>
                <w:color w:val="auto"/>
                <w:sz w:val="24"/>
                <w:szCs w:val="24"/>
                <w:highlight w:val="none"/>
              </w:rPr>
              <w:t>护措</w:t>
            </w:r>
          </w:p>
          <w:p w14:paraId="5A248C11">
            <w:pPr>
              <w:pStyle w:val="31"/>
              <w:bidi w:val="0"/>
              <w:rPr>
                <w:rFonts w:hint="eastAsia" w:cs="宋体"/>
                <w:bCs/>
                <w:color w:val="auto"/>
                <w:kern w:val="2"/>
                <w:sz w:val="24"/>
                <w:szCs w:val="24"/>
                <w:highlight w:val="none"/>
              </w:rPr>
            </w:pPr>
            <w:r>
              <w:rPr>
                <w:rFonts w:hint="eastAsia"/>
                <w:color w:val="auto"/>
                <w:sz w:val="24"/>
                <w:szCs w:val="24"/>
                <w:highlight w:val="none"/>
              </w:rPr>
              <w:t>施</w:t>
            </w:r>
          </w:p>
        </w:tc>
        <w:tc>
          <w:tcPr>
            <w:tcW w:w="8548" w:type="dxa"/>
            <w:tcBorders>
              <w:tl2br w:val="nil"/>
              <w:tr2bl w:val="nil"/>
            </w:tcBorders>
            <w:shd w:val="clear" w:color="auto" w:fill="FFFFFF"/>
            <w:noWrap w:val="0"/>
            <w:vAlign w:val="center"/>
          </w:tcPr>
          <w:p w14:paraId="126D5287">
            <w:pPr>
              <w:spacing w:line="500" w:lineRule="exact"/>
              <w:ind w:firstLine="0" w:firstLineChars="0"/>
              <w:rPr>
                <w:b/>
                <w:bCs/>
                <w:color w:val="auto"/>
                <w:highlight w:val="none"/>
              </w:rPr>
            </w:pPr>
            <w:r>
              <w:rPr>
                <w:b/>
                <w:bCs/>
                <w:color w:val="auto"/>
                <w:highlight w:val="none"/>
              </w:rPr>
              <w:t>施工期环境影响简要分析：</w:t>
            </w:r>
          </w:p>
          <w:p w14:paraId="0690A8DF">
            <w:pPr>
              <w:ind w:firstLine="480"/>
              <w:rPr>
                <w:color w:val="auto"/>
                <w:highlight w:val="none"/>
                <w:lang w:val="zh-CN"/>
              </w:rPr>
            </w:pPr>
            <w:r>
              <w:rPr>
                <w:rFonts w:hint="eastAsia"/>
                <w:color w:val="auto"/>
                <w:highlight w:val="none"/>
              </w:rPr>
              <w:t>本项目利用现有厂区进行建设，</w:t>
            </w:r>
            <w:r>
              <w:rPr>
                <w:rFonts w:hint="eastAsia"/>
                <w:color w:val="auto"/>
                <w:highlight w:val="none"/>
                <w:lang w:val="en-US" w:eastAsia="zh-CN"/>
              </w:rPr>
              <w:t>在现有厂区内新建</w:t>
            </w:r>
            <w:r>
              <w:rPr>
                <w:rFonts w:hint="eastAsia"/>
                <w:color w:val="auto"/>
                <w:sz w:val="24"/>
                <w:szCs w:val="24"/>
                <w:highlight w:val="none"/>
                <w:lang w:val="en-US" w:eastAsia="zh-CN"/>
              </w:rPr>
              <w:t>2栋生产厂房，1栋综合楼</w:t>
            </w:r>
            <w:r>
              <w:rPr>
                <w:rFonts w:hint="eastAsia"/>
                <w:color w:val="auto"/>
                <w:highlight w:val="none"/>
              </w:rPr>
              <w:t>，总建筑面积为</w:t>
            </w:r>
            <w:r>
              <w:rPr>
                <w:rFonts w:hint="eastAsia"/>
                <w:color w:val="auto"/>
                <w:highlight w:val="none"/>
                <w:lang w:val="en-US" w:eastAsia="zh-CN"/>
              </w:rPr>
              <w:t>12852.56</w:t>
            </w:r>
            <w:r>
              <w:rPr>
                <w:rFonts w:hint="eastAsia"/>
                <w:color w:val="auto"/>
                <w:highlight w:val="none"/>
              </w:rPr>
              <w:t>m</w:t>
            </w:r>
            <w:r>
              <w:rPr>
                <w:rFonts w:hint="eastAsia"/>
                <w:color w:val="auto"/>
                <w:highlight w:val="none"/>
                <w:vertAlign w:val="superscript"/>
              </w:rPr>
              <w:t>2</w:t>
            </w:r>
            <w:r>
              <w:rPr>
                <w:color w:val="auto"/>
                <w:highlight w:val="none"/>
              </w:rPr>
              <w:t>。</w:t>
            </w:r>
          </w:p>
          <w:p w14:paraId="27E3D0D4">
            <w:pPr>
              <w:ind w:firstLine="480"/>
              <w:rPr>
                <w:color w:val="auto"/>
                <w:highlight w:val="none"/>
              </w:rPr>
            </w:pPr>
            <w:r>
              <w:rPr>
                <w:color w:val="auto"/>
                <w:highlight w:val="none"/>
              </w:rPr>
              <w:t>因此</w:t>
            </w:r>
            <w:r>
              <w:rPr>
                <w:rFonts w:hint="eastAsia"/>
                <w:color w:val="auto"/>
                <w:highlight w:val="none"/>
              </w:rPr>
              <w:t>，</w:t>
            </w:r>
            <w:r>
              <w:rPr>
                <w:color w:val="auto"/>
                <w:highlight w:val="none"/>
              </w:rPr>
              <w:t>建设施工过程中主要污染因素有：</w:t>
            </w:r>
          </w:p>
          <w:p w14:paraId="6D373758">
            <w:pPr>
              <w:ind w:firstLine="480"/>
              <w:rPr>
                <w:color w:val="auto"/>
                <w:highlight w:val="none"/>
              </w:rPr>
            </w:pPr>
            <w:r>
              <w:rPr>
                <w:rFonts w:hint="eastAsia"/>
                <w:color w:val="auto"/>
                <w:highlight w:val="none"/>
              </w:rPr>
              <w:t>（1）</w:t>
            </w:r>
            <w:r>
              <w:rPr>
                <w:color w:val="auto"/>
                <w:highlight w:val="none"/>
              </w:rPr>
              <w:t>噪声：主要为施工机械和运输车辆产生的噪声；</w:t>
            </w:r>
          </w:p>
          <w:p w14:paraId="4E8FE99C">
            <w:pPr>
              <w:pStyle w:val="9"/>
              <w:ind w:firstLine="480"/>
              <w:rPr>
                <w:color w:val="auto"/>
                <w:highlight w:val="none"/>
              </w:rPr>
            </w:pPr>
            <w:r>
              <w:rPr>
                <w:rFonts w:hint="eastAsia"/>
                <w:color w:val="auto"/>
                <w:highlight w:val="none"/>
              </w:rPr>
              <w:t>（2）</w:t>
            </w:r>
            <w:r>
              <w:rPr>
                <w:color w:val="auto"/>
                <w:highlight w:val="none"/>
              </w:rPr>
              <w:t>废气：主要为土建施工、材料堆存、汽车运输等过程产生的扬尘；</w:t>
            </w:r>
          </w:p>
          <w:p w14:paraId="557150F6">
            <w:pPr>
              <w:ind w:firstLine="480"/>
              <w:rPr>
                <w:color w:val="auto"/>
                <w:highlight w:val="none"/>
              </w:rPr>
            </w:pPr>
            <w:r>
              <w:rPr>
                <w:rFonts w:hint="eastAsia"/>
                <w:color w:val="auto"/>
                <w:highlight w:val="none"/>
              </w:rPr>
              <w:t>（3）</w:t>
            </w:r>
            <w:r>
              <w:rPr>
                <w:color w:val="auto"/>
                <w:highlight w:val="none"/>
              </w:rPr>
              <w:t>废水：主要为混凝土养护废水、施工机械设备和车辆冲洗废水以及施工人员</w:t>
            </w:r>
            <w:r>
              <w:rPr>
                <w:rFonts w:hint="eastAsia"/>
                <w:color w:val="auto"/>
                <w:highlight w:val="none"/>
              </w:rPr>
              <w:t>产生</w:t>
            </w:r>
            <w:r>
              <w:rPr>
                <w:color w:val="auto"/>
                <w:highlight w:val="none"/>
              </w:rPr>
              <w:t>的生活污水；</w:t>
            </w:r>
          </w:p>
          <w:p w14:paraId="6D04F8DF">
            <w:pPr>
              <w:ind w:firstLine="480"/>
              <w:rPr>
                <w:color w:val="auto"/>
                <w:highlight w:val="none"/>
              </w:rPr>
            </w:pPr>
            <w:r>
              <w:rPr>
                <w:rFonts w:hint="eastAsia"/>
                <w:color w:val="auto"/>
                <w:highlight w:val="none"/>
              </w:rPr>
              <w:t>（4）</w:t>
            </w:r>
            <w:r>
              <w:rPr>
                <w:color w:val="auto"/>
                <w:highlight w:val="none"/>
              </w:rPr>
              <w:t>固体废物：主要为施工产生的建筑垃圾和施工人员产生的生活垃圾。</w:t>
            </w:r>
          </w:p>
          <w:p w14:paraId="39E59EA4">
            <w:pPr>
              <w:spacing w:line="500" w:lineRule="exact"/>
              <w:ind w:firstLine="0" w:firstLineChars="0"/>
              <w:rPr>
                <w:b/>
                <w:bCs/>
                <w:color w:val="auto"/>
                <w:highlight w:val="none"/>
              </w:rPr>
            </w:pPr>
            <w:r>
              <w:rPr>
                <w:b/>
                <w:bCs/>
                <w:color w:val="auto"/>
                <w:highlight w:val="none"/>
              </w:rPr>
              <w:t>1</w:t>
            </w:r>
            <w:r>
              <w:rPr>
                <w:rFonts w:hint="eastAsia"/>
                <w:b/>
                <w:bCs/>
                <w:color w:val="auto"/>
                <w:highlight w:val="none"/>
              </w:rPr>
              <w:t>、</w:t>
            </w:r>
            <w:r>
              <w:rPr>
                <w:b/>
                <w:bCs/>
                <w:color w:val="auto"/>
                <w:highlight w:val="none"/>
              </w:rPr>
              <w:t>施工期大气环境影响分析</w:t>
            </w:r>
          </w:p>
          <w:p w14:paraId="6A0B17AE">
            <w:pPr>
              <w:spacing w:line="500" w:lineRule="exact"/>
              <w:ind w:firstLine="482"/>
              <w:rPr>
                <w:b/>
                <w:bCs/>
                <w:color w:val="auto"/>
                <w:highlight w:val="none"/>
              </w:rPr>
            </w:pPr>
            <w:r>
              <w:rPr>
                <w:b/>
                <w:bCs/>
                <w:color w:val="auto"/>
                <w:highlight w:val="none"/>
              </w:rPr>
              <w:t>1.1施工扬尘影响分析</w:t>
            </w:r>
          </w:p>
          <w:p w14:paraId="21251C97">
            <w:pPr>
              <w:ind w:firstLine="480"/>
              <w:rPr>
                <w:color w:val="auto"/>
                <w:highlight w:val="none"/>
              </w:rPr>
            </w:pPr>
            <w:r>
              <w:rPr>
                <w:color w:val="auto"/>
                <w:highlight w:val="none"/>
              </w:rPr>
              <w:t>施工期扬尘主要来自：施工期土方挖掘、回填，建筑材料搬运及堆放，施工垃圾的清理及堆放，运输车辆的装卸，施工机械的往来等。施工扬尘的大小与施工现场条件，施工工艺、施工管理水平，施工机械化程度及施工季节，建设地区土质及天气等诸多因素有关。</w:t>
            </w:r>
          </w:p>
          <w:p w14:paraId="73E893DE">
            <w:pPr>
              <w:pStyle w:val="9"/>
              <w:ind w:firstLine="480"/>
              <w:rPr>
                <w:color w:val="auto"/>
                <w:highlight w:val="none"/>
              </w:rPr>
            </w:pPr>
            <w:r>
              <w:rPr>
                <w:color w:val="auto"/>
                <w:highlight w:val="none"/>
              </w:rPr>
              <w:t>扬尘是施工阶段的主要大气污染物，拟建</w:t>
            </w:r>
            <w:r>
              <w:rPr>
                <w:rFonts w:hint="eastAsia"/>
                <w:color w:val="auto"/>
                <w:highlight w:val="none"/>
              </w:rPr>
              <w:t>项目</w:t>
            </w:r>
            <w:r>
              <w:rPr>
                <w:color w:val="auto"/>
                <w:highlight w:val="none"/>
              </w:rPr>
              <w:t>建设期扬尘主要来源于基础开挖、施工作业、车辆运输等过程。对整个施工期而言，施工产生的扬尘主要集中在土建施工阶段，起尘的原因主要为风力起尘，裸露的施工区表层浮尘由于天气干燥及大风，产生风力扬尘。扬尘中主要污染因子</w:t>
            </w:r>
            <w:r>
              <w:rPr>
                <w:rFonts w:hint="eastAsia"/>
                <w:color w:val="auto"/>
                <w:highlight w:val="none"/>
              </w:rPr>
              <w:t>为</w:t>
            </w:r>
            <w:r>
              <w:rPr>
                <w:color w:val="auto"/>
                <w:highlight w:val="none"/>
              </w:rPr>
              <w:t>PM</w:t>
            </w:r>
            <w:r>
              <w:rPr>
                <w:color w:val="auto"/>
                <w:highlight w:val="none"/>
                <w:vertAlign w:val="subscript"/>
              </w:rPr>
              <w:t>10</w:t>
            </w:r>
            <w:r>
              <w:rPr>
                <w:color w:val="auto"/>
                <w:highlight w:val="none"/>
              </w:rPr>
              <w:t>，不含有毒有害的特殊污染物，且以无组织形式</w:t>
            </w:r>
            <w:r>
              <w:rPr>
                <w:rFonts w:hint="eastAsia"/>
                <w:color w:val="auto"/>
                <w:highlight w:val="none"/>
              </w:rPr>
              <w:t>排放。</w:t>
            </w:r>
          </w:p>
          <w:p w14:paraId="08308EF6">
            <w:pPr>
              <w:ind w:firstLine="480"/>
              <w:rPr>
                <w:color w:val="auto"/>
                <w:highlight w:val="none"/>
              </w:rPr>
            </w:pPr>
            <w:r>
              <w:rPr>
                <w:color w:val="auto"/>
                <w:highlight w:val="none"/>
              </w:rPr>
              <w:t>从施工场地实地调查的数据资料来看，建筑工地扬尘对大气的影响范围主要在工地围墙外150m以内。</w:t>
            </w:r>
            <w:r>
              <w:rPr>
                <w:rFonts w:hint="eastAsia"/>
                <w:color w:val="auto"/>
                <w:highlight w:val="none"/>
              </w:rPr>
              <w:t>本项目150m范围内</w:t>
            </w:r>
            <w:r>
              <w:rPr>
                <w:rFonts w:hint="eastAsia"/>
                <w:color w:val="auto"/>
                <w:highlight w:val="none"/>
                <w:lang w:val="en-US" w:eastAsia="zh-CN"/>
              </w:rPr>
              <w:t>的</w:t>
            </w:r>
            <w:r>
              <w:rPr>
                <w:rFonts w:hint="eastAsia"/>
                <w:color w:val="auto"/>
                <w:highlight w:val="none"/>
              </w:rPr>
              <w:t>大气环境保护目标</w:t>
            </w:r>
            <w:r>
              <w:rPr>
                <w:rFonts w:hint="eastAsia"/>
                <w:color w:val="auto"/>
                <w:highlight w:val="none"/>
                <w:lang w:val="en-US" w:eastAsia="zh-CN"/>
              </w:rPr>
              <w:t>为</w:t>
            </w:r>
            <w:r>
              <w:rPr>
                <w:rFonts w:hint="eastAsia"/>
                <w:color w:val="auto"/>
                <w:sz w:val="24"/>
                <w:szCs w:val="24"/>
                <w:highlight w:val="none"/>
                <w:lang w:val="en-US" w:eastAsia="zh-CN"/>
              </w:rPr>
              <w:t>西侧31m处的高新实验小学（距离教学楼100m）、西南侧68m处的唐山市高新中学（距离教学楼170m）和南侧56m处的国贸府</w:t>
            </w:r>
            <w:r>
              <w:rPr>
                <w:rFonts w:hint="eastAsia"/>
                <w:color w:val="auto"/>
                <w:highlight w:val="none"/>
              </w:rPr>
              <w:t>。</w:t>
            </w:r>
          </w:p>
          <w:p w14:paraId="464FA521">
            <w:pPr>
              <w:ind w:firstLine="480"/>
              <w:rPr>
                <w:color w:val="auto"/>
                <w:highlight w:val="none"/>
              </w:rPr>
            </w:pPr>
            <w:r>
              <w:rPr>
                <w:color w:val="auto"/>
                <w:highlight w:val="none"/>
              </w:rPr>
              <w:t>本工程需要采取有效防治措施，尤其是避免施工扬尘对周围环境造成显著的不利影响，施工期对环境的影响属于短期影响，施工结束后，周边的环境空气质量能恢复到现状水平。</w:t>
            </w:r>
          </w:p>
          <w:p w14:paraId="74AD5290">
            <w:pPr>
              <w:spacing w:line="500" w:lineRule="exact"/>
              <w:ind w:firstLine="482"/>
              <w:rPr>
                <w:b/>
                <w:bCs/>
                <w:color w:val="auto"/>
                <w:highlight w:val="none"/>
              </w:rPr>
            </w:pPr>
            <w:r>
              <w:rPr>
                <w:b/>
                <w:bCs/>
                <w:color w:val="auto"/>
                <w:highlight w:val="none"/>
              </w:rPr>
              <w:t>1.2施工扬尘污染防治对策</w:t>
            </w:r>
          </w:p>
          <w:p w14:paraId="7CF36B6F">
            <w:pPr>
              <w:ind w:firstLine="480"/>
              <w:rPr>
                <w:color w:val="auto"/>
                <w:highlight w:val="none"/>
              </w:rPr>
            </w:pPr>
            <w:r>
              <w:rPr>
                <w:color w:val="auto"/>
                <w:highlight w:val="none"/>
              </w:rPr>
              <w:t>为减少施工扬尘对外环境的影响，根据《施工场地扬尘排放标准》（DB13/2934-2019）、《河北省扬尘污染防治办法》（2020年1月21日省政府第77次常务会议通过，2020年4月1日起施行）、</w:t>
            </w:r>
            <w:r>
              <w:rPr>
                <w:rFonts w:hint="eastAsia"/>
                <w:color w:val="auto"/>
                <w:highlight w:val="none"/>
              </w:rPr>
              <w:t>《关于印发&lt;河北省2023年建筑施工扬尘污染防治工作方案&gt;的通知》（冀建质安函[2023]105号）</w:t>
            </w:r>
            <w:r>
              <w:rPr>
                <w:color w:val="auto"/>
                <w:highlight w:val="none"/>
              </w:rPr>
              <w:t>及《唐山市住房和城乡建设局关于进一步强化建筑工地扬尘治理有关措施的通知》</w:t>
            </w:r>
            <w:r>
              <w:rPr>
                <w:rFonts w:hint="eastAsia"/>
                <w:color w:val="auto"/>
                <w:highlight w:val="none"/>
              </w:rPr>
              <w:t>（</w:t>
            </w:r>
            <w:r>
              <w:rPr>
                <w:color w:val="auto"/>
                <w:highlight w:val="none"/>
              </w:rPr>
              <w:t>简称</w:t>
            </w:r>
            <w:r>
              <w:rPr>
                <w:rFonts w:hint="eastAsia"/>
                <w:color w:val="auto"/>
                <w:highlight w:val="none"/>
              </w:rPr>
              <w:t>“</w:t>
            </w:r>
            <w:r>
              <w:rPr>
                <w:color w:val="auto"/>
                <w:highlight w:val="none"/>
              </w:rPr>
              <w:t>六项强化措施</w:t>
            </w:r>
            <w:r>
              <w:rPr>
                <w:rFonts w:hint="eastAsia"/>
                <w:color w:val="auto"/>
                <w:highlight w:val="none"/>
              </w:rPr>
              <w:t>”）（</w:t>
            </w:r>
            <w:r>
              <w:rPr>
                <w:color w:val="auto"/>
                <w:highlight w:val="none"/>
              </w:rPr>
              <w:t>唐住建发[2018]44号</w:t>
            </w:r>
            <w:r>
              <w:rPr>
                <w:rFonts w:hint="eastAsia"/>
                <w:color w:val="auto"/>
                <w:highlight w:val="none"/>
              </w:rPr>
              <w:t>）以及《唐山市2022年大气污染综合治理暨稳定“退后十”工作方案》</w:t>
            </w:r>
            <w:r>
              <w:rPr>
                <w:color w:val="auto"/>
                <w:highlight w:val="none"/>
              </w:rPr>
              <w:t>。本项目施工过程中要采取如下防尘和抑尘措施。</w:t>
            </w:r>
          </w:p>
          <w:p w14:paraId="26ED0667">
            <w:pPr>
              <w:ind w:firstLine="480"/>
              <w:rPr>
                <w:color w:val="auto"/>
                <w:highlight w:val="none"/>
              </w:rPr>
            </w:pPr>
            <w:r>
              <w:rPr>
                <w:color w:val="auto"/>
                <w:highlight w:val="none"/>
              </w:rPr>
              <w:t>一、施工单位必须在施工现场出入口明显位置设置扬尘防治公示牌，内容包括建设、施工、监理及监管等单位名称、扬尘防治负责人的名称、联系电话、举报电话等。</w:t>
            </w:r>
          </w:p>
          <w:p w14:paraId="2B2B54F0">
            <w:pPr>
              <w:ind w:firstLine="480"/>
              <w:rPr>
                <w:color w:val="auto"/>
                <w:highlight w:val="none"/>
              </w:rPr>
            </w:pPr>
            <w:r>
              <w:rPr>
                <w:color w:val="auto"/>
                <w:highlight w:val="none"/>
              </w:rPr>
              <w:t>二、施工现场必须连续设置硬质围挡，围挡应坚固、美观，严禁围挡不严或敞开式施工。城区主干道两侧的围挡高度不低于2.5米，一般路段高度不低于1.8米。</w:t>
            </w:r>
          </w:p>
          <w:p w14:paraId="506E1EC7">
            <w:pPr>
              <w:ind w:firstLine="480"/>
              <w:rPr>
                <w:color w:val="auto"/>
                <w:highlight w:val="none"/>
              </w:rPr>
            </w:pPr>
            <w:r>
              <w:rPr>
                <w:color w:val="auto"/>
                <w:highlight w:val="none"/>
              </w:rPr>
              <w:t>三、施工现场出入口和场内施工道路、材料加工堆放区、办公区、生活区必须采用混凝土硬化或用硬质砌块铺设，硬化后的地面应清扫整洁无浮土、积土，严禁使用其他软质材料铺设。</w:t>
            </w:r>
          </w:p>
          <w:p w14:paraId="1E12650B">
            <w:pPr>
              <w:ind w:firstLine="480"/>
              <w:rPr>
                <w:color w:val="auto"/>
                <w:highlight w:val="none"/>
              </w:rPr>
            </w:pPr>
            <w:r>
              <w:rPr>
                <w:color w:val="auto"/>
                <w:highlight w:val="none"/>
              </w:rPr>
              <w:t>四、施工现场出入口必须配备车辆冲洗设施，设置排水、泥浆沉淀池等设施，建立冲洗制度并设专人管理，严禁车辆带泥上路。</w:t>
            </w:r>
          </w:p>
          <w:p w14:paraId="17C67332">
            <w:pPr>
              <w:ind w:firstLine="480"/>
              <w:rPr>
                <w:color w:val="auto"/>
                <w:highlight w:val="none"/>
              </w:rPr>
            </w:pPr>
            <w:r>
              <w:rPr>
                <w:color w:val="auto"/>
                <w:highlight w:val="none"/>
              </w:rPr>
              <w:t>五、施工现场出入口、加工区和主作业区等处必须安装视频监控系统，对施工扬尘实时监控</w:t>
            </w:r>
            <w:r>
              <w:rPr>
                <w:rFonts w:hint="eastAsia"/>
                <w:color w:val="auto"/>
                <w:highlight w:val="none"/>
              </w:rPr>
              <w:t>。</w:t>
            </w:r>
          </w:p>
          <w:p w14:paraId="73AB7F44">
            <w:pPr>
              <w:ind w:firstLine="480"/>
              <w:rPr>
                <w:color w:val="auto"/>
                <w:highlight w:val="none"/>
              </w:rPr>
            </w:pPr>
            <w:r>
              <w:rPr>
                <w:color w:val="auto"/>
                <w:highlight w:val="none"/>
              </w:rPr>
              <w:t>六、施工现场集中堆放的土方和裸露场地必须采取覆盖、固化或绿化等防尘措施，严禁裸露。</w:t>
            </w:r>
          </w:p>
          <w:p w14:paraId="7FB25878">
            <w:pPr>
              <w:ind w:firstLine="480"/>
              <w:rPr>
                <w:color w:val="auto"/>
                <w:highlight w:val="none"/>
              </w:rPr>
            </w:pPr>
            <w:r>
              <w:rPr>
                <w:color w:val="auto"/>
                <w:highlight w:val="none"/>
              </w:rPr>
              <w:t>七、基坑开挖作业过程中，四周应采取洒水、喷雾等降尘措施。</w:t>
            </w:r>
          </w:p>
          <w:p w14:paraId="72328DA6">
            <w:pPr>
              <w:ind w:firstLine="480"/>
              <w:rPr>
                <w:color w:val="auto"/>
                <w:highlight w:val="none"/>
              </w:rPr>
            </w:pPr>
            <w:r>
              <w:rPr>
                <w:color w:val="auto"/>
                <w:highlight w:val="none"/>
              </w:rPr>
              <w:t>八、具备条件的地区施工现场必须使用商品混凝土、预拌砂浆，严禁现场搅拌。</w:t>
            </w:r>
          </w:p>
          <w:p w14:paraId="719F7F7B">
            <w:pPr>
              <w:ind w:firstLine="480"/>
              <w:rPr>
                <w:color w:val="auto"/>
                <w:highlight w:val="none"/>
              </w:rPr>
            </w:pPr>
            <w:r>
              <w:rPr>
                <w:color w:val="auto"/>
                <w:highlight w:val="none"/>
              </w:rPr>
              <w:t>九、建筑物内应保持干净整洁，清扫垃圾时要洒水抑尘。</w:t>
            </w:r>
          </w:p>
          <w:p w14:paraId="45ED8CA9">
            <w:pPr>
              <w:ind w:firstLine="480"/>
              <w:rPr>
                <w:color w:val="auto"/>
                <w:highlight w:val="none"/>
              </w:rPr>
            </w:pPr>
            <w:r>
              <w:rPr>
                <w:color w:val="auto"/>
                <w:highlight w:val="none"/>
              </w:rPr>
              <w:t>十、施工现场的建筑垃圾必须设置垃圾存放点</w:t>
            </w:r>
            <w:r>
              <w:rPr>
                <w:rFonts w:hint="eastAsia"/>
                <w:color w:val="auto"/>
                <w:highlight w:val="none"/>
              </w:rPr>
              <w:t>，</w:t>
            </w:r>
            <w:r>
              <w:rPr>
                <w:color w:val="auto"/>
                <w:highlight w:val="none"/>
              </w:rPr>
              <w:t>集中堆放并严密覆盖，及时清运。生活垃圾应用封闭式容器存放，日产日清，严禁随意丢弃。</w:t>
            </w:r>
          </w:p>
          <w:p w14:paraId="34F9117B">
            <w:pPr>
              <w:ind w:firstLine="480"/>
              <w:rPr>
                <w:color w:val="auto"/>
                <w:highlight w:val="none"/>
              </w:rPr>
            </w:pPr>
            <w:r>
              <w:rPr>
                <w:color w:val="auto"/>
                <w:highlight w:val="none"/>
              </w:rPr>
              <w:t>十一、施工现场必须建立洒水清扫抑尘制度，配备洒水设备。非冰冻期每天洒水不少于2次，并有专人负责。重污染天气时相应增加洒水频次。</w:t>
            </w:r>
          </w:p>
          <w:p w14:paraId="24D86CBE">
            <w:pPr>
              <w:ind w:firstLine="480"/>
              <w:rPr>
                <w:color w:val="auto"/>
                <w:highlight w:val="none"/>
              </w:rPr>
            </w:pPr>
            <w:r>
              <w:rPr>
                <w:color w:val="auto"/>
                <w:highlight w:val="none"/>
              </w:rPr>
              <w:t>十二、遇有4级以上大风或重污染天气预警时，必须采取扬尘防治应急措施，严禁土方开挖、土方回填、房屋拆除、材料切割、金属焊接、喷涂或其他有可能产生扬尘的作业。</w:t>
            </w:r>
          </w:p>
          <w:p w14:paraId="5AF996DF">
            <w:pPr>
              <w:ind w:firstLine="480"/>
              <w:rPr>
                <w:color w:val="auto"/>
                <w:highlight w:val="none"/>
              </w:rPr>
            </w:pPr>
            <w:r>
              <w:rPr>
                <w:color w:val="auto"/>
                <w:highlight w:val="none"/>
              </w:rPr>
              <w:t>十三、建设单位必须组织相关单位做好工程外管网及绿化施工阶段的扬尘防治工作。</w:t>
            </w:r>
          </w:p>
          <w:p w14:paraId="7C6D024F">
            <w:pPr>
              <w:ind w:firstLine="480"/>
              <w:rPr>
                <w:color w:val="auto"/>
                <w:highlight w:val="none"/>
              </w:rPr>
            </w:pPr>
            <w:r>
              <w:rPr>
                <w:color w:val="auto"/>
                <w:highlight w:val="none"/>
              </w:rPr>
              <w:t>十四、在施工工地同步安装视频监控设备和扬尘污染物在线监测设备，分别与建设主管部门、生态环境主管部门的监控设备联网，并保证系统正常运行，发生故障应当在二十四小时内修复；县级以上人民政府建立统一平台后，并入监控系统进行联网监控。根据河北省印发</w:t>
            </w:r>
            <w:r>
              <w:rPr>
                <w:rFonts w:hint="eastAsia"/>
                <w:color w:val="auto"/>
                <w:highlight w:val="none"/>
              </w:rPr>
              <w:t>的</w:t>
            </w:r>
            <w:r>
              <w:rPr>
                <w:color w:val="auto"/>
                <w:highlight w:val="none"/>
              </w:rPr>
              <w:t>《施工场地扬尘排放标准》</w:t>
            </w:r>
            <w:r>
              <w:rPr>
                <w:rFonts w:hint="eastAsia"/>
                <w:color w:val="auto"/>
                <w:highlight w:val="none"/>
              </w:rPr>
              <w:t>（DB13/2934-2019）</w:t>
            </w:r>
            <w:r>
              <w:rPr>
                <w:color w:val="auto"/>
                <w:highlight w:val="none"/>
              </w:rPr>
              <w:t>，施工场地占地</w:t>
            </w:r>
            <w:r>
              <w:rPr>
                <w:rFonts w:hint="eastAsia"/>
                <w:color w:val="auto"/>
                <w:highlight w:val="none"/>
              </w:rPr>
              <w:t>面积为</w:t>
            </w:r>
            <w:r>
              <w:rPr>
                <w:rFonts w:hint="eastAsia"/>
                <w:color w:val="auto"/>
                <w:highlight w:val="none"/>
                <w:lang w:val="en-US" w:eastAsia="zh-CN"/>
              </w:rPr>
              <w:t>10</w:t>
            </w:r>
            <w:r>
              <w:rPr>
                <w:rFonts w:hint="eastAsia"/>
                <w:color w:val="auto"/>
                <w:highlight w:val="none"/>
              </w:rPr>
              <w:t>000</w:t>
            </w:r>
            <w:r>
              <w:rPr>
                <w:color w:val="auto"/>
                <w:highlight w:val="none"/>
              </w:rPr>
              <w:t>~</w:t>
            </w:r>
            <w:r>
              <w:rPr>
                <w:rFonts w:hint="eastAsia"/>
                <w:color w:val="auto"/>
                <w:highlight w:val="none"/>
              </w:rPr>
              <w:t>10</w:t>
            </w:r>
            <w:r>
              <w:rPr>
                <w:rFonts w:hint="eastAsia"/>
                <w:color w:val="auto"/>
                <w:highlight w:val="none"/>
                <w:lang w:val="en-US" w:eastAsia="zh-CN"/>
              </w:rPr>
              <w:t>0</w:t>
            </w:r>
            <w:r>
              <w:rPr>
                <w:rFonts w:hint="eastAsia"/>
                <w:color w:val="auto"/>
                <w:highlight w:val="none"/>
              </w:rPr>
              <w:t>000m</w:t>
            </w:r>
            <w:r>
              <w:rPr>
                <w:rFonts w:hint="eastAsia"/>
                <w:color w:val="auto"/>
                <w:highlight w:val="none"/>
                <w:vertAlign w:val="superscript"/>
              </w:rPr>
              <w:t>2</w:t>
            </w:r>
            <w:r>
              <w:rPr>
                <w:rFonts w:hint="eastAsia"/>
                <w:color w:val="auto"/>
                <w:highlight w:val="none"/>
              </w:rPr>
              <w:t>，监测点数量不小于</w:t>
            </w:r>
            <w:r>
              <w:rPr>
                <w:rFonts w:hint="eastAsia"/>
                <w:color w:val="auto"/>
                <w:highlight w:val="none"/>
                <w:lang w:val="en-US" w:eastAsia="zh-CN"/>
              </w:rPr>
              <w:t>4</w:t>
            </w:r>
            <w:r>
              <w:rPr>
                <w:rFonts w:hint="eastAsia"/>
                <w:color w:val="auto"/>
                <w:highlight w:val="none"/>
              </w:rPr>
              <w:t>个，</w:t>
            </w:r>
            <w:r>
              <w:rPr>
                <w:color w:val="auto"/>
                <w:highlight w:val="none"/>
              </w:rPr>
              <w:t>本项目施工场地</w:t>
            </w:r>
            <w:r>
              <w:rPr>
                <w:rFonts w:hint="eastAsia"/>
                <w:color w:val="auto"/>
                <w:highlight w:val="none"/>
                <w:lang w:val="en-US" w:eastAsia="zh-CN"/>
              </w:rPr>
              <w:t>位于厂区西侧，施工区域占地面积约</w:t>
            </w:r>
            <w:r>
              <w:rPr>
                <w:rFonts w:hint="eastAsia"/>
                <w:color w:val="auto"/>
                <w:highlight w:val="none"/>
              </w:rPr>
              <w:t>1</w:t>
            </w:r>
            <w:r>
              <w:rPr>
                <w:rFonts w:hint="eastAsia"/>
                <w:color w:val="auto"/>
                <w:highlight w:val="none"/>
                <w:lang w:val="en-US" w:eastAsia="zh-CN"/>
              </w:rPr>
              <w:t>81</w:t>
            </w:r>
            <w:r>
              <w:rPr>
                <w:rFonts w:hint="eastAsia"/>
                <w:color w:val="auto"/>
                <w:highlight w:val="none"/>
              </w:rPr>
              <w:t>00</w:t>
            </w:r>
            <w:r>
              <w:rPr>
                <w:color w:val="auto"/>
                <w:highlight w:val="none"/>
              </w:rPr>
              <w:t>m</w:t>
            </w:r>
            <w:r>
              <w:rPr>
                <w:color w:val="auto"/>
                <w:highlight w:val="none"/>
                <w:vertAlign w:val="superscript"/>
              </w:rPr>
              <w:t>2</w:t>
            </w:r>
            <w:r>
              <w:rPr>
                <w:color w:val="auto"/>
                <w:highlight w:val="none"/>
              </w:rPr>
              <w:t>，即需设置</w:t>
            </w:r>
            <w:r>
              <w:rPr>
                <w:rFonts w:hint="eastAsia"/>
                <w:color w:val="auto"/>
                <w:highlight w:val="none"/>
                <w:lang w:val="en-US" w:eastAsia="zh-CN"/>
              </w:rPr>
              <w:t>4</w:t>
            </w:r>
            <w:r>
              <w:rPr>
                <w:color w:val="auto"/>
                <w:highlight w:val="none"/>
              </w:rPr>
              <w:t>个监测点。可吸入颗粒物PM</w:t>
            </w:r>
            <w:r>
              <w:rPr>
                <w:color w:val="auto"/>
                <w:highlight w:val="none"/>
                <w:vertAlign w:val="subscript"/>
              </w:rPr>
              <w:t>10</w:t>
            </w:r>
            <w:r>
              <w:rPr>
                <w:color w:val="auto"/>
                <w:highlight w:val="none"/>
              </w:rPr>
              <w:t>采样口高度一般应设在距地面</w:t>
            </w:r>
            <w:r>
              <w:rPr>
                <w:rFonts w:hint="eastAsia"/>
                <w:color w:val="auto"/>
                <w:highlight w:val="none"/>
              </w:rPr>
              <w:t>3</w:t>
            </w:r>
            <w:r>
              <w:rPr>
                <w:color w:val="auto"/>
                <w:highlight w:val="none"/>
              </w:rPr>
              <w:t>~</w:t>
            </w:r>
            <w:r>
              <w:rPr>
                <w:rFonts w:hint="eastAsia"/>
                <w:color w:val="auto"/>
                <w:highlight w:val="none"/>
              </w:rPr>
              <w:t>5</w:t>
            </w:r>
            <w:r>
              <w:rPr>
                <w:color w:val="auto"/>
                <w:highlight w:val="none"/>
              </w:rPr>
              <w:t>m</w:t>
            </w:r>
            <w:r>
              <w:rPr>
                <w:rFonts w:hint="eastAsia"/>
                <w:color w:val="auto"/>
                <w:highlight w:val="none"/>
              </w:rPr>
              <w:t>处</w:t>
            </w:r>
            <w:r>
              <w:rPr>
                <w:color w:val="auto"/>
                <w:highlight w:val="none"/>
              </w:rPr>
              <w:t>，采样口到在线监测仪管道长度不应大于2.5m。</w:t>
            </w:r>
          </w:p>
          <w:p w14:paraId="24BADE8D">
            <w:pPr>
              <w:ind w:firstLine="480"/>
              <w:rPr>
                <w:color w:val="auto"/>
                <w:highlight w:val="none"/>
              </w:rPr>
            </w:pPr>
            <w:r>
              <w:rPr>
                <w:color w:val="auto"/>
                <w:highlight w:val="none"/>
              </w:rPr>
              <w:t>采取上述措施后，项目施工场地扬尘排放应满足《施工场地扬尘排放标准》（DB13/ 2934</w:t>
            </w:r>
            <w:r>
              <w:rPr>
                <w:rFonts w:hint="eastAsia" w:ascii="宋体" w:hAnsi="宋体" w:cs="宋体"/>
                <w:color w:val="auto"/>
                <w:highlight w:val="none"/>
              </w:rPr>
              <w:t>－</w:t>
            </w:r>
            <w:r>
              <w:rPr>
                <w:color w:val="auto"/>
                <w:highlight w:val="none"/>
              </w:rPr>
              <w:t>2019）标准要求。只要加强管理、切实落实好上述污染防治措施，施工扬尘对环境的影响将大大降低，扬尘对环境的影响将随施工期的结束而消失。</w:t>
            </w:r>
          </w:p>
          <w:p w14:paraId="719F1CB6">
            <w:pPr>
              <w:ind w:firstLine="0" w:firstLineChars="0"/>
              <w:rPr>
                <w:b/>
                <w:bCs/>
                <w:color w:val="auto"/>
                <w:highlight w:val="none"/>
              </w:rPr>
            </w:pPr>
            <w:r>
              <w:rPr>
                <w:b/>
                <w:bCs/>
                <w:color w:val="auto"/>
                <w:highlight w:val="none"/>
              </w:rPr>
              <w:t>2</w:t>
            </w:r>
            <w:r>
              <w:rPr>
                <w:rFonts w:hint="eastAsia"/>
                <w:b/>
                <w:bCs/>
                <w:color w:val="auto"/>
                <w:highlight w:val="none"/>
              </w:rPr>
              <w:t>、</w:t>
            </w:r>
            <w:r>
              <w:rPr>
                <w:b/>
                <w:bCs/>
                <w:color w:val="auto"/>
                <w:highlight w:val="none"/>
              </w:rPr>
              <w:t>施工期水环境影响分析</w:t>
            </w:r>
          </w:p>
          <w:p w14:paraId="5F47889E">
            <w:pPr>
              <w:ind w:firstLine="480"/>
              <w:rPr>
                <w:color w:val="auto"/>
                <w:highlight w:val="none"/>
              </w:rPr>
            </w:pPr>
            <w:r>
              <w:rPr>
                <w:color w:val="auto"/>
                <w:highlight w:val="none"/>
              </w:rPr>
              <w:t>施工期产生的废水主要有施工废水，即混凝土养护废水、施工机械设备和车辆的冲洗废水</w:t>
            </w:r>
            <w:r>
              <w:rPr>
                <w:rFonts w:hint="eastAsia"/>
                <w:color w:val="auto"/>
                <w:highlight w:val="none"/>
              </w:rPr>
              <w:t>和</w:t>
            </w:r>
            <w:r>
              <w:rPr>
                <w:color w:val="auto"/>
                <w:highlight w:val="none"/>
              </w:rPr>
              <w:t>施工人员生活污水，主要污染物为SS等</w:t>
            </w:r>
            <w:r>
              <w:rPr>
                <w:rFonts w:hint="eastAsia"/>
                <w:color w:val="auto"/>
                <w:highlight w:val="none"/>
              </w:rPr>
              <w:t>。</w:t>
            </w:r>
          </w:p>
          <w:p w14:paraId="63F97B39">
            <w:pPr>
              <w:ind w:firstLine="480"/>
              <w:rPr>
                <w:color w:val="auto"/>
                <w:highlight w:val="none"/>
              </w:rPr>
            </w:pPr>
            <w:r>
              <w:rPr>
                <w:color w:val="auto"/>
                <w:highlight w:val="none"/>
              </w:rPr>
              <w:t>针对上述不同的废水，采取如下防治措施。</w:t>
            </w:r>
          </w:p>
          <w:p w14:paraId="5A1C1879">
            <w:pPr>
              <w:ind w:firstLine="480"/>
              <w:rPr>
                <w:color w:val="auto"/>
                <w:highlight w:val="none"/>
              </w:rPr>
            </w:pPr>
            <w:r>
              <w:rPr>
                <w:color w:val="auto"/>
                <w:highlight w:val="none"/>
              </w:rPr>
              <w:t>（1）混凝土养护废水：封闭混凝土中水分不蒸发外逸，水泥依靠混凝土中水分完成水化作用，因水量较小，故废水排放量小，可以不需专门处理。</w:t>
            </w:r>
          </w:p>
          <w:p w14:paraId="2CCEF35A">
            <w:pPr>
              <w:ind w:firstLine="480"/>
              <w:rPr>
                <w:color w:val="auto"/>
                <w:highlight w:val="none"/>
              </w:rPr>
            </w:pPr>
            <w:r>
              <w:rPr>
                <w:color w:val="auto"/>
                <w:highlight w:val="none"/>
              </w:rPr>
              <w:t>（2）机械和车辆冲洗废水：清洗处设置沉淀池，使排放的废水先经沉淀池沉淀后再回收用于场地洒水降尘。</w:t>
            </w:r>
          </w:p>
          <w:p w14:paraId="6050B62A">
            <w:pPr>
              <w:ind w:firstLine="480"/>
              <w:rPr>
                <w:color w:val="auto"/>
                <w:highlight w:val="none"/>
              </w:rPr>
            </w:pPr>
            <w:r>
              <w:rPr>
                <w:color w:val="auto"/>
                <w:highlight w:val="none"/>
              </w:rPr>
              <w:t>（3）施工人员生活污水：</w:t>
            </w:r>
            <w:r>
              <w:rPr>
                <w:rFonts w:hint="default"/>
                <w:color w:val="auto"/>
                <w:highlight w:val="none"/>
              </w:rPr>
              <w:t>现场不设宿舍、食堂和洗浴设施，厕所依托</w:t>
            </w:r>
            <w:r>
              <w:rPr>
                <w:rFonts w:hint="eastAsia"/>
                <w:color w:val="auto"/>
                <w:highlight w:val="none"/>
                <w:lang w:val="en-US" w:eastAsia="zh-CN"/>
              </w:rPr>
              <w:t>厂区水厕</w:t>
            </w:r>
            <w:r>
              <w:rPr>
                <w:rFonts w:hint="eastAsia"/>
                <w:color w:val="auto"/>
                <w:highlight w:val="none"/>
                <w:lang w:eastAsia="zh-CN"/>
              </w:rPr>
              <w:t>，</w:t>
            </w:r>
            <w:r>
              <w:rPr>
                <w:rFonts w:hint="default"/>
                <w:color w:val="auto"/>
                <w:highlight w:val="none"/>
              </w:rPr>
              <w:t>生活污水</w:t>
            </w:r>
            <w:r>
              <w:rPr>
                <w:rFonts w:hint="eastAsia"/>
                <w:color w:val="auto"/>
                <w:highlight w:val="none"/>
                <w:lang w:eastAsia="zh-CN"/>
              </w:rPr>
              <w:t>主要为</w:t>
            </w:r>
            <w:r>
              <w:rPr>
                <w:rFonts w:hint="eastAsia"/>
                <w:color w:val="auto"/>
                <w:highlight w:val="none"/>
                <w:lang w:val="en-US" w:eastAsia="zh-CN"/>
              </w:rPr>
              <w:t>冲厕废水和</w:t>
            </w:r>
            <w:r>
              <w:rPr>
                <w:rFonts w:hint="eastAsia"/>
                <w:color w:val="auto"/>
                <w:highlight w:val="none"/>
                <w:lang w:eastAsia="zh-CN"/>
              </w:rPr>
              <w:t>盥洗废水，</w:t>
            </w:r>
            <w:r>
              <w:rPr>
                <w:rFonts w:hint="eastAsia"/>
                <w:color w:val="auto"/>
                <w:highlight w:val="none"/>
                <w:lang w:val="en-US" w:eastAsia="zh-CN"/>
              </w:rPr>
              <w:t>排入市政污水管网，最终进入污水处理厂统一处理</w:t>
            </w:r>
            <w:r>
              <w:rPr>
                <w:color w:val="auto"/>
                <w:highlight w:val="none"/>
              </w:rPr>
              <w:t>。</w:t>
            </w:r>
          </w:p>
          <w:p w14:paraId="2174DBF0">
            <w:pPr>
              <w:ind w:firstLine="480"/>
              <w:rPr>
                <w:color w:val="auto"/>
                <w:highlight w:val="none"/>
              </w:rPr>
            </w:pPr>
            <w:r>
              <w:rPr>
                <w:color w:val="auto"/>
                <w:highlight w:val="none"/>
              </w:rPr>
              <w:t>采取上述措施后，施工期产生的废水都可得到合理的处置，对外界环境影响较小。</w:t>
            </w:r>
          </w:p>
          <w:p w14:paraId="4860A8F5">
            <w:pPr>
              <w:ind w:firstLine="0" w:firstLineChars="0"/>
              <w:rPr>
                <w:b/>
                <w:bCs/>
                <w:color w:val="auto"/>
                <w:highlight w:val="none"/>
              </w:rPr>
            </w:pPr>
            <w:r>
              <w:rPr>
                <w:b/>
                <w:bCs/>
                <w:color w:val="auto"/>
                <w:highlight w:val="none"/>
              </w:rPr>
              <w:t>3</w:t>
            </w:r>
            <w:r>
              <w:rPr>
                <w:rFonts w:hint="eastAsia"/>
                <w:b/>
                <w:bCs/>
                <w:color w:val="auto"/>
                <w:highlight w:val="none"/>
              </w:rPr>
              <w:t>、</w:t>
            </w:r>
            <w:r>
              <w:rPr>
                <w:b/>
                <w:bCs/>
                <w:color w:val="auto"/>
                <w:highlight w:val="none"/>
              </w:rPr>
              <w:t>施工噪声影响分析</w:t>
            </w:r>
          </w:p>
          <w:p w14:paraId="60D092C6">
            <w:pPr>
              <w:tabs>
                <w:tab w:val="left" w:pos="0"/>
                <w:tab w:val="left" w:pos="1020"/>
              </w:tabs>
              <w:autoSpaceDE w:val="0"/>
              <w:autoSpaceDN w:val="0"/>
              <w:adjustRightInd w:val="0"/>
              <w:ind w:firstLine="482"/>
              <w:rPr>
                <w:color w:val="auto"/>
                <w:highlight w:val="none"/>
              </w:rPr>
            </w:pPr>
            <w:r>
              <w:rPr>
                <w:b/>
                <w:bCs/>
                <w:color w:val="auto"/>
                <w:highlight w:val="none"/>
              </w:rPr>
              <w:t>3.1 噪声源强</w:t>
            </w:r>
            <w:r>
              <w:rPr>
                <w:color w:val="auto"/>
                <w:highlight w:val="none"/>
              </w:rPr>
              <w:t xml:space="preserve"> </w:t>
            </w:r>
          </w:p>
          <w:p w14:paraId="342A0AF1">
            <w:pPr>
              <w:ind w:firstLine="480"/>
              <w:rPr>
                <w:color w:val="auto"/>
                <w:highlight w:val="none"/>
                <w:lang w:val="zh-CN"/>
              </w:rPr>
            </w:pPr>
            <w:r>
              <w:rPr>
                <w:rFonts w:hint="eastAsia"/>
                <w:color w:val="auto"/>
                <w:highlight w:val="none"/>
              </w:rPr>
              <w:t>本项目施工期噪声污染源</w:t>
            </w:r>
            <w:r>
              <w:rPr>
                <w:color w:val="auto"/>
                <w:highlight w:val="none"/>
              </w:rPr>
              <w:t>为施工机械和运输车辆产生的噪声</w:t>
            </w:r>
            <w:r>
              <w:rPr>
                <w:rFonts w:hint="eastAsia"/>
                <w:color w:val="auto"/>
                <w:highlight w:val="none"/>
              </w:rPr>
              <w:t>。项目噪声污染源主要为</w:t>
            </w:r>
            <w:r>
              <w:rPr>
                <w:color w:val="auto"/>
                <w:highlight w:val="none"/>
              </w:rPr>
              <w:t>施工机械和运输车辆产生的噪声</w:t>
            </w:r>
            <w:r>
              <w:rPr>
                <w:rFonts w:hint="eastAsia"/>
                <w:color w:val="auto"/>
                <w:highlight w:val="none"/>
              </w:rPr>
              <w:t>，</w:t>
            </w:r>
            <w:r>
              <w:rPr>
                <w:color w:val="auto"/>
                <w:highlight w:val="none"/>
              </w:rPr>
              <w:t>从噪声角度出发，把施工阶段分为四个阶段：土石方阶段、基础施工阶段、结构施工阶段和装修阶段。这几个阶段所占施工时间较长，采用的施工机械较多，噪声污染比较严重，不同阶段又具有独立的噪声特性。根据类比调查和资料分析，各类建筑施工机械产生噪声值及噪声测点与设备距离见下表。</w:t>
            </w:r>
          </w:p>
          <w:p w14:paraId="5D40E411">
            <w:pPr>
              <w:pStyle w:val="33"/>
              <w:rPr>
                <w:color w:val="auto"/>
                <w:szCs w:val="21"/>
                <w:highlight w:val="none"/>
              </w:rPr>
            </w:pPr>
            <w:r>
              <w:rPr>
                <w:color w:val="auto"/>
                <w:szCs w:val="21"/>
                <w:highlight w:val="none"/>
              </w:rPr>
              <w:t>表</w:t>
            </w:r>
            <w:r>
              <w:rPr>
                <w:rFonts w:hint="eastAsia"/>
                <w:color w:val="auto"/>
                <w:szCs w:val="21"/>
                <w:highlight w:val="none"/>
                <w:lang w:val="en-US" w:eastAsia="zh-CN"/>
              </w:rPr>
              <w:t>35</w:t>
            </w:r>
            <w:r>
              <w:rPr>
                <w:rFonts w:hint="eastAsia"/>
                <w:color w:val="auto"/>
                <w:szCs w:val="21"/>
                <w:highlight w:val="none"/>
              </w:rPr>
              <w:t xml:space="preserve">  </w:t>
            </w:r>
            <w:r>
              <w:rPr>
                <w:color w:val="auto"/>
                <w:szCs w:val="21"/>
                <w:highlight w:val="none"/>
              </w:rPr>
              <w:t>施工机械产生噪声值一览表</w:t>
            </w:r>
          </w:p>
          <w:tbl>
            <w:tblPr>
              <w:tblStyle w:val="24"/>
              <w:tblW w:w="84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803"/>
              <w:gridCol w:w="2037"/>
              <w:gridCol w:w="1872"/>
              <w:gridCol w:w="1616"/>
            </w:tblGrid>
            <w:tr w14:paraId="5D47B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93" w:type="dxa"/>
                  <w:tcBorders>
                    <w:tl2br w:val="nil"/>
                    <w:tr2bl w:val="nil"/>
                  </w:tcBorders>
                  <w:vAlign w:val="center"/>
                </w:tcPr>
                <w:p w14:paraId="71CBCF16">
                  <w:pPr>
                    <w:pStyle w:val="31"/>
                    <w:spacing w:before="0" w:after="0"/>
                    <w:rPr>
                      <w:color w:val="auto"/>
                      <w:sz w:val="21"/>
                      <w:highlight w:val="none"/>
                    </w:rPr>
                  </w:pPr>
                  <w:r>
                    <w:rPr>
                      <w:color w:val="auto"/>
                      <w:sz w:val="21"/>
                      <w:highlight w:val="none"/>
                    </w:rPr>
                    <w:t>设备名称</w:t>
                  </w:r>
                </w:p>
              </w:tc>
              <w:tc>
                <w:tcPr>
                  <w:tcW w:w="1806" w:type="dxa"/>
                  <w:tcBorders>
                    <w:tl2br w:val="nil"/>
                    <w:tr2bl w:val="nil"/>
                  </w:tcBorders>
                  <w:vAlign w:val="center"/>
                </w:tcPr>
                <w:p w14:paraId="42956A6F">
                  <w:pPr>
                    <w:pStyle w:val="31"/>
                    <w:spacing w:before="0" w:after="0"/>
                    <w:rPr>
                      <w:color w:val="auto"/>
                      <w:sz w:val="21"/>
                      <w:highlight w:val="none"/>
                    </w:rPr>
                  </w:pPr>
                  <w:r>
                    <w:rPr>
                      <w:color w:val="auto"/>
                      <w:sz w:val="21"/>
                      <w:highlight w:val="none"/>
                    </w:rPr>
                    <w:t>噪声强度/dB（A）</w:t>
                  </w:r>
                </w:p>
              </w:tc>
              <w:tc>
                <w:tcPr>
                  <w:tcW w:w="2040" w:type="dxa"/>
                  <w:tcBorders>
                    <w:tl2br w:val="nil"/>
                    <w:tr2bl w:val="nil"/>
                  </w:tcBorders>
                  <w:vAlign w:val="center"/>
                </w:tcPr>
                <w:p w14:paraId="284E5FFE">
                  <w:pPr>
                    <w:pStyle w:val="31"/>
                    <w:spacing w:before="0" w:after="0"/>
                    <w:rPr>
                      <w:color w:val="auto"/>
                      <w:sz w:val="21"/>
                      <w:highlight w:val="none"/>
                    </w:rPr>
                  </w:pPr>
                  <w:r>
                    <w:rPr>
                      <w:color w:val="auto"/>
                      <w:sz w:val="21"/>
                      <w:highlight w:val="none"/>
                    </w:rPr>
                    <w:t>设备名称</w:t>
                  </w:r>
                </w:p>
              </w:tc>
              <w:tc>
                <w:tcPr>
                  <w:tcW w:w="1875" w:type="dxa"/>
                  <w:tcBorders>
                    <w:tl2br w:val="nil"/>
                    <w:tr2bl w:val="nil"/>
                  </w:tcBorders>
                  <w:vAlign w:val="center"/>
                </w:tcPr>
                <w:p w14:paraId="5317379E">
                  <w:pPr>
                    <w:pStyle w:val="31"/>
                    <w:spacing w:before="0" w:after="0"/>
                    <w:rPr>
                      <w:color w:val="auto"/>
                      <w:sz w:val="21"/>
                      <w:highlight w:val="none"/>
                    </w:rPr>
                  </w:pPr>
                  <w:r>
                    <w:rPr>
                      <w:color w:val="auto"/>
                      <w:sz w:val="21"/>
                      <w:highlight w:val="none"/>
                    </w:rPr>
                    <w:t>噪声强度/dB（A）</w:t>
                  </w:r>
                </w:p>
              </w:tc>
              <w:tc>
                <w:tcPr>
                  <w:tcW w:w="1618" w:type="dxa"/>
                  <w:tcBorders>
                    <w:tl2br w:val="nil"/>
                    <w:tr2bl w:val="nil"/>
                  </w:tcBorders>
                  <w:vAlign w:val="center"/>
                </w:tcPr>
                <w:p w14:paraId="4BB4A5A4">
                  <w:pPr>
                    <w:pStyle w:val="31"/>
                    <w:spacing w:before="0" w:after="0"/>
                    <w:rPr>
                      <w:color w:val="auto"/>
                      <w:sz w:val="21"/>
                      <w:highlight w:val="none"/>
                    </w:rPr>
                  </w:pPr>
                  <w:r>
                    <w:rPr>
                      <w:color w:val="auto"/>
                      <w:sz w:val="21"/>
                      <w:highlight w:val="none"/>
                    </w:rPr>
                    <w:t>备注</w:t>
                  </w:r>
                </w:p>
              </w:tc>
            </w:tr>
            <w:tr w14:paraId="2B7D1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093" w:type="dxa"/>
                  <w:tcBorders>
                    <w:tl2br w:val="nil"/>
                    <w:tr2bl w:val="nil"/>
                  </w:tcBorders>
                  <w:vAlign w:val="center"/>
                </w:tcPr>
                <w:p w14:paraId="7573D6D0">
                  <w:pPr>
                    <w:pStyle w:val="31"/>
                    <w:spacing w:before="0" w:after="0"/>
                    <w:rPr>
                      <w:color w:val="auto"/>
                      <w:sz w:val="21"/>
                      <w:highlight w:val="none"/>
                    </w:rPr>
                  </w:pPr>
                  <w:r>
                    <w:rPr>
                      <w:color w:val="auto"/>
                      <w:sz w:val="21"/>
                      <w:highlight w:val="none"/>
                    </w:rPr>
                    <w:t>挖掘机</w:t>
                  </w:r>
                </w:p>
              </w:tc>
              <w:tc>
                <w:tcPr>
                  <w:tcW w:w="1806" w:type="dxa"/>
                  <w:tcBorders>
                    <w:tl2br w:val="nil"/>
                    <w:tr2bl w:val="nil"/>
                  </w:tcBorders>
                  <w:vAlign w:val="center"/>
                </w:tcPr>
                <w:p w14:paraId="6A1A6766">
                  <w:pPr>
                    <w:pStyle w:val="31"/>
                    <w:spacing w:before="0" w:after="0"/>
                    <w:rPr>
                      <w:color w:val="auto"/>
                      <w:sz w:val="21"/>
                      <w:highlight w:val="none"/>
                    </w:rPr>
                  </w:pPr>
                  <w:r>
                    <w:rPr>
                      <w:color w:val="auto"/>
                      <w:sz w:val="21"/>
                      <w:highlight w:val="none"/>
                    </w:rPr>
                    <w:t>93</w:t>
                  </w:r>
                </w:p>
              </w:tc>
              <w:tc>
                <w:tcPr>
                  <w:tcW w:w="2040" w:type="dxa"/>
                  <w:tcBorders>
                    <w:tl2br w:val="nil"/>
                    <w:tr2bl w:val="nil"/>
                  </w:tcBorders>
                  <w:vAlign w:val="center"/>
                </w:tcPr>
                <w:p w14:paraId="3D06E829">
                  <w:pPr>
                    <w:pStyle w:val="31"/>
                    <w:spacing w:before="0" w:after="0"/>
                    <w:rPr>
                      <w:color w:val="auto"/>
                      <w:sz w:val="21"/>
                      <w:highlight w:val="none"/>
                    </w:rPr>
                  </w:pPr>
                  <w:r>
                    <w:rPr>
                      <w:color w:val="auto"/>
                      <w:sz w:val="21"/>
                      <w:highlight w:val="none"/>
                    </w:rPr>
                    <w:t>推土机</w:t>
                  </w:r>
                </w:p>
              </w:tc>
              <w:tc>
                <w:tcPr>
                  <w:tcW w:w="1875" w:type="dxa"/>
                  <w:tcBorders>
                    <w:tl2br w:val="nil"/>
                    <w:tr2bl w:val="nil"/>
                  </w:tcBorders>
                  <w:vAlign w:val="center"/>
                </w:tcPr>
                <w:p w14:paraId="26FE4230">
                  <w:pPr>
                    <w:pStyle w:val="31"/>
                    <w:spacing w:before="0" w:after="0"/>
                    <w:rPr>
                      <w:color w:val="auto"/>
                      <w:sz w:val="21"/>
                      <w:highlight w:val="none"/>
                    </w:rPr>
                  </w:pPr>
                  <w:r>
                    <w:rPr>
                      <w:color w:val="auto"/>
                      <w:sz w:val="21"/>
                      <w:highlight w:val="none"/>
                    </w:rPr>
                    <w:t>86</w:t>
                  </w:r>
                </w:p>
              </w:tc>
              <w:tc>
                <w:tcPr>
                  <w:tcW w:w="1618" w:type="dxa"/>
                  <w:vMerge w:val="restart"/>
                  <w:tcBorders>
                    <w:tl2br w:val="nil"/>
                    <w:tr2bl w:val="nil"/>
                  </w:tcBorders>
                  <w:vAlign w:val="center"/>
                </w:tcPr>
                <w:p w14:paraId="6B27087C">
                  <w:pPr>
                    <w:pStyle w:val="31"/>
                    <w:spacing w:before="0" w:after="0"/>
                    <w:rPr>
                      <w:color w:val="auto"/>
                      <w:sz w:val="21"/>
                      <w:highlight w:val="none"/>
                    </w:rPr>
                  </w:pPr>
                  <w:r>
                    <w:rPr>
                      <w:color w:val="auto"/>
                      <w:sz w:val="21"/>
                      <w:highlight w:val="none"/>
                    </w:rPr>
                    <w:t>设备1m处</w:t>
                  </w:r>
                </w:p>
              </w:tc>
            </w:tr>
            <w:tr w14:paraId="1CDF4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093" w:type="dxa"/>
                  <w:tcBorders>
                    <w:tl2br w:val="nil"/>
                    <w:tr2bl w:val="nil"/>
                  </w:tcBorders>
                  <w:vAlign w:val="center"/>
                </w:tcPr>
                <w:p w14:paraId="2B1DDDDC">
                  <w:pPr>
                    <w:pStyle w:val="31"/>
                    <w:spacing w:before="0" w:after="0"/>
                    <w:rPr>
                      <w:color w:val="auto"/>
                      <w:sz w:val="21"/>
                      <w:highlight w:val="none"/>
                    </w:rPr>
                  </w:pPr>
                  <w:r>
                    <w:rPr>
                      <w:rFonts w:hint="eastAsia"/>
                      <w:color w:val="auto"/>
                      <w:sz w:val="21"/>
                      <w:highlight w:val="none"/>
                    </w:rPr>
                    <w:t>运输车辆</w:t>
                  </w:r>
                </w:p>
              </w:tc>
              <w:tc>
                <w:tcPr>
                  <w:tcW w:w="1806" w:type="dxa"/>
                  <w:tcBorders>
                    <w:tl2br w:val="nil"/>
                    <w:tr2bl w:val="nil"/>
                  </w:tcBorders>
                  <w:vAlign w:val="center"/>
                </w:tcPr>
                <w:p w14:paraId="1989F64D">
                  <w:pPr>
                    <w:pStyle w:val="31"/>
                    <w:spacing w:before="0" w:after="0"/>
                    <w:rPr>
                      <w:color w:val="auto"/>
                      <w:sz w:val="21"/>
                      <w:highlight w:val="none"/>
                    </w:rPr>
                  </w:pPr>
                  <w:r>
                    <w:rPr>
                      <w:color w:val="auto"/>
                      <w:sz w:val="21"/>
                      <w:highlight w:val="none"/>
                    </w:rPr>
                    <w:t>80</w:t>
                  </w:r>
                </w:p>
              </w:tc>
              <w:tc>
                <w:tcPr>
                  <w:tcW w:w="2040" w:type="dxa"/>
                  <w:tcBorders>
                    <w:tl2br w:val="nil"/>
                    <w:tr2bl w:val="nil"/>
                  </w:tcBorders>
                  <w:vAlign w:val="center"/>
                </w:tcPr>
                <w:p w14:paraId="0CBFE8C5">
                  <w:pPr>
                    <w:pStyle w:val="31"/>
                    <w:spacing w:before="0" w:after="0"/>
                    <w:rPr>
                      <w:color w:val="auto"/>
                      <w:sz w:val="21"/>
                      <w:highlight w:val="none"/>
                    </w:rPr>
                  </w:pPr>
                  <w:r>
                    <w:rPr>
                      <w:color w:val="auto"/>
                      <w:sz w:val="21"/>
                      <w:highlight w:val="none"/>
                    </w:rPr>
                    <w:t>低频环保型振捣器</w:t>
                  </w:r>
                </w:p>
              </w:tc>
              <w:tc>
                <w:tcPr>
                  <w:tcW w:w="1875" w:type="dxa"/>
                  <w:tcBorders>
                    <w:tl2br w:val="nil"/>
                    <w:tr2bl w:val="nil"/>
                  </w:tcBorders>
                  <w:vAlign w:val="center"/>
                </w:tcPr>
                <w:p w14:paraId="0727CD92">
                  <w:pPr>
                    <w:pStyle w:val="31"/>
                    <w:spacing w:before="0" w:after="0"/>
                    <w:rPr>
                      <w:color w:val="auto"/>
                      <w:sz w:val="21"/>
                      <w:highlight w:val="none"/>
                    </w:rPr>
                  </w:pPr>
                  <w:r>
                    <w:rPr>
                      <w:color w:val="auto"/>
                      <w:sz w:val="21"/>
                      <w:highlight w:val="none"/>
                    </w:rPr>
                    <w:t>80</w:t>
                  </w:r>
                </w:p>
              </w:tc>
              <w:tc>
                <w:tcPr>
                  <w:tcW w:w="1618" w:type="dxa"/>
                  <w:vMerge w:val="continue"/>
                  <w:tcBorders>
                    <w:tl2br w:val="nil"/>
                    <w:tr2bl w:val="nil"/>
                  </w:tcBorders>
                  <w:vAlign w:val="center"/>
                </w:tcPr>
                <w:p w14:paraId="44849514">
                  <w:pPr>
                    <w:pStyle w:val="31"/>
                    <w:spacing w:before="0" w:after="0"/>
                    <w:rPr>
                      <w:color w:val="auto"/>
                      <w:sz w:val="21"/>
                      <w:highlight w:val="none"/>
                    </w:rPr>
                  </w:pPr>
                </w:p>
              </w:tc>
            </w:tr>
          </w:tbl>
          <w:p w14:paraId="6232F9E2">
            <w:pPr>
              <w:tabs>
                <w:tab w:val="left" w:pos="-180"/>
                <w:tab w:val="left" w:pos="1020"/>
              </w:tabs>
              <w:ind w:firstLine="480"/>
              <w:rPr>
                <w:color w:val="auto"/>
                <w:highlight w:val="none"/>
              </w:rPr>
            </w:pPr>
            <w:r>
              <w:rPr>
                <w:color w:val="auto"/>
                <w:highlight w:val="none"/>
              </w:rPr>
              <w:t>本项目采用低频环保混凝土振捣器，其噪声值为80dB（A）。</w:t>
            </w:r>
          </w:p>
          <w:p w14:paraId="37DFDE5F">
            <w:pPr>
              <w:tabs>
                <w:tab w:val="left" w:pos="360"/>
              </w:tabs>
              <w:ind w:firstLine="480"/>
              <w:rPr>
                <w:color w:val="auto"/>
                <w:highlight w:val="none"/>
              </w:rPr>
            </w:pPr>
            <w:r>
              <w:rPr>
                <w:color w:val="auto"/>
                <w:highlight w:val="none"/>
              </w:rPr>
              <w:t>目前施工所用的基本上是钢模板，而不是传统的木制模板，因此使用电锯加工的工作量不大。鉴于电锯产生的噪声对周围环境影响较大，环评要求施工现场不设电锯，少量需电锯加工的材料可委托外单位加工。</w:t>
            </w:r>
          </w:p>
          <w:p w14:paraId="0933522B">
            <w:pPr>
              <w:tabs>
                <w:tab w:val="left" w:pos="360"/>
              </w:tabs>
              <w:ind w:firstLine="480"/>
              <w:rPr>
                <w:color w:val="auto"/>
                <w:highlight w:val="none"/>
              </w:rPr>
            </w:pPr>
            <w:r>
              <w:rPr>
                <w:color w:val="auto"/>
                <w:highlight w:val="none"/>
              </w:rPr>
              <w:t>因此本项目产生噪声的施工机械设备主要有挖掘机、推土机、低频环保型混凝土振捣器、</w:t>
            </w:r>
            <w:r>
              <w:rPr>
                <w:rFonts w:hint="eastAsia"/>
                <w:color w:val="auto"/>
                <w:highlight w:val="none"/>
              </w:rPr>
              <w:t>运输车辆</w:t>
            </w:r>
            <w:r>
              <w:rPr>
                <w:color w:val="auto"/>
                <w:highlight w:val="none"/>
              </w:rPr>
              <w:t>等。</w:t>
            </w:r>
          </w:p>
          <w:p w14:paraId="140450F4">
            <w:pPr>
              <w:autoSpaceDE w:val="0"/>
              <w:autoSpaceDN w:val="0"/>
              <w:adjustRightInd w:val="0"/>
              <w:ind w:firstLine="482"/>
              <w:rPr>
                <w:b/>
                <w:bCs/>
                <w:color w:val="auto"/>
                <w:highlight w:val="none"/>
              </w:rPr>
            </w:pPr>
            <w:r>
              <w:rPr>
                <w:b/>
                <w:bCs/>
                <w:color w:val="auto"/>
                <w:highlight w:val="none"/>
              </w:rPr>
              <w:t>3.2 施工期噪声影响分析</w:t>
            </w:r>
          </w:p>
          <w:p w14:paraId="339B1106">
            <w:pPr>
              <w:ind w:firstLine="480"/>
              <w:rPr>
                <w:color w:val="auto"/>
                <w:highlight w:val="none"/>
                <w:lang w:val="zh-CN"/>
              </w:rPr>
            </w:pPr>
            <w:r>
              <w:rPr>
                <w:color w:val="auto"/>
                <w:highlight w:val="none"/>
                <w:lang w:val="zh-CN"/>
              </w:rPr>
              <w:t>（</w:t>
            </w:r>
            <w:r>
              <w:rPr>
                <w:color w:val="auto"/>
                <w:highlight w:val="none"/>
              </w:rPr>
              <w:t>1</w:t>
            </w:r>
            <w:r>
              <w:rPr>
                <w:color w:val="auto"/>
                <w:highlight w:val="none"/>
                <w:lang w:val="zh-CN"/>
              </w:rPr>
              <w:t>）各施工机械到场界噪声达标分析：</w:t>
            </w:r>
          </w:p>
          <w:p w14:paraId="703519C1">
            <w:pPr>
              <w:ind w:firstLine="480"/>
              <w:rPr>
                <w:color w:val="auto"/>
                <w:highlight w:val="none"/>
                <w:lang w:val="zh-CN"/>
              </w:rPr>
            </w:pPr>
            <w:r>
              <w:rPr>
                <w:color w:val="auto"/>
                <w:highlight w:val="none"/>
                <w:lang w:val="zh-CN"/>
              </w:rPr>
              <w:t>本项目所用施工机械设备满足</w:t>
            </w:r>
            <w:r>
              <w:rPr>
                <w:color w:val="auto"/>
                <w:highlight w:val="none"/>
              </w:rPr>
              <w:t>《建筑施工场界环境噪声排放标准》（GB12523-2011）要求时所需的距离。</w:t>
            </w:r>
          </w:p>
          <w:p w14:paraId="7E48B09B">
            <w:pPr>
              <w:ind w:firstLine="480"/>
              <w:rPr>
                <w:color w:val="auto"/>
                <w:highlight w:val="none"/>
              </w:rPr>
            </w:pPr>
            <w:r>
              <w:rPr>
                <w:color w:val="auto"/>
                <w:highlight w:val="none"/>
                <w:lang w:val="zh-CN"/>
              </w:rPr>
              <w:t>施工噪声预测</w:t>
            </w:r>
            <w:r>
              <w:rPr>
                <w:color w:val="auto"/>
                <w:highlight w:val="none"/>
              </w:rPr>
              <w:t>采用点源衰减预测模式，预测只计算声源至受声点的几何发散衰减，不考虑声屏障、空气吸收等衰减。预测模式如下：</w:t>
            </w:r>
          </w:p>
          <w:p w14:paraId="7A99E457">
            <w:pPr>
              <w:autoSpaceDE w:val="0"/>
              <w:autoSpaceDN w:val="0"/>
              <w:adjustRightInd w:val="0"/>
              <w:spacing w:line="240" w:lineRule="auto"/>
              <w:ind w:firstLine="0" w:firstLineChars="0"/>
              <w:jc w:val="center"/>
              <w:rPr>
                <w:color w:val="auto"/>
                <w:highlight w:val="none"/>
              </w:rPr>
            </w:pPr>
            <w:r>
              <w:rPr>
                <w:color w:val="auto"/>
                <w:position w:val="-30"/>
                <w:highlight w:val="none"/>
              </w:rPr>
              <w:object>
                <v:shape id="_x0000_i1025" o:spt="75" type="#_x0000_t75" style="height:35.5pt;width:94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p>
          <w:p w14:paraId="7AE7FA97">
            <w:pPr>
              <w:autoSpaceDE w:val="0"/>
              <w:autoSpaceDN w:val="0"/>
              <w:adjustRightInd w:val="0"/>
              <w:ind w:firstLine="480"/>
              <w:rPr>
                <w:color w:val="auto"/>
                <w:highlight w:val="none"/>
              </w:rPr>
            </w:pPr>
            <w:r>
              <w:rPr>
                <w:color w:val="auto"/>
                <w:highlight w:val="none"/>
              </w:rPr>
              <w:t>式中：L</w:t>
            </w:r>
            <w:r>
              <w:rPr>
                <w:rFonts w:hint="eastAsia"/>
                <w:color w:val="auto"/>
                <w:highlight w:val="none"/>
                <w:vertAlign w:val="subscript"/>
              </w:rPr>
              <w:t>r</w:t>
            </w:r>
            <w:r>
              <w:rPr>
                <w:color w:val="auto"/>
                <w:highlight w:val="none"/>
              </w:rPr>
              <w:t>—距声</w:t>
            </w:r>
            <w:r>
              <w:rPr>
                <w:color w:val="auto"/>
                <w:spacing w:val="20"/>
                <w:highlight w:val="none"/>
              </w:rPr>
              <w:t>源r处</w:t>
            </w:r>
            <w:r>
              <w:rPr>
                <w:color w:val="auto"/>
                <w:highlight w:val="none"/>
              </w:rPr>
              <w:t>的A声级，dB（A）；</w:t>
            </w:r>
          </w:p>
          <w:p w14:paraId="33D59356">
            <w:pPr>
              <w:autoSpaceDE w:val="0"/>
              <w:autoSpaceDN w:val="0"/>
              <w:adjustRightInd w:val="0"/>
              <w:ind w:firstLine="480"/>
              <w:rPr>
                <w:color w:val="auto"/>
                <w:highlight w:val="none"/>
              </w:rPr>
            </w:pPr>
            <w:r>
              <w:rPr>
                <w:color w:val="auto"/>
                <w:highlight w:val="none"/>
              </w:rPr>
              <w:t>L</w:t>
            </w:r>
            <w:r>
              <w:rPr>
                <w:color w:val="auto"/>
                <w:highlight w:val="none"/>
                <w:vertAlign w:val="subscript"/>
              </w:rPr>
              <w:t>r0</w:t>
            </w:r>
            <w:r>
              <w:rPr>
                <w:color w:val="auto"/>
                <w:highlight w:val="none"/>
              </w:rPr>
              <w:t>—参考位</w:t>
            </w:r>
            <w:r>
              <w:rPr>
                <w:color w:val="auto"/>
                <w:spacing w:val="23"/>
                <w:highlight w:val="none"/>
              </w:rPr>
              <w:t>置r</w:t>
            </w:r>
            <w:r>
              <w:rPr>
                <w:color w:val="auto"/>
                <w:spacing w:val="23"/>
                <w:highlight w:val="none"/>
                <w:vertAlign w:val="subscript"/>
              </w:rPr>
              <w:t>0</w:t>
            </w:r>
            <w:r>
              <w:rPr>
                <w:color w:val="auto"/>
                <w:highlight w:val="none"/>
              </w:rPr>
              <w:t>处的A声级，dB（A）；</w:t>
            </w:r>
          </w:p>
          <w:p w14:paraId="7699D1BC">
            <w:pPr>
              <w:autoSpaceDE w:val="0"/>
              <w:autoSpaceDN w:val="0"/>
              <w:adjustRightInd w:val="0"/>
              <w:ind w:firstLine="480"/>
              <w:rPr>
                <w:color w:val="auto"/>
                <w:highlight w:val="none"/>
              </w:rPr>
            </w:pPr>
            <w:r>
              <w:rPr>
                <w:color w:val="auto"/>
                <w:highlight w:val="none"/>
              </w:rPr>
              <w:t>r—预测点距声源的距离，m；</w:t>
            </w:r>
          </w:p>
          <w:p w14:paraId="2B5E1A9A">
            <w:pPr>
              <w:autoSpaceDE w:val="0"/>
              <w:autoSpaceDN w:val="0"/>
              <w:adjustRightInd w:val="0"/>
              <w:ind w:firstLine="480"/>
              <w:rPr>
                <w:color w:val="auto"/>
                <w:highlight w:val="none"/>
              </w:rPr>
            </w:pPr>
            <w:r>
              <w:rPr>
                <w:color w:val="auto"/>
                <w:highlight w:val="none"/>
              </w:rPr>
              <w:t>r</w:t>
            </w:r>
            <w:r>
              <w:rPr>
                <w:color w:val="auto"/>
                <w:highlight w:val="none"/>
                <w:vertAlign w:val="subscript"/>
              </w:rPr>
              <w:t>0</w:t>
            </w:r>
            <w:r>
              <w:rPr>
                <w:color w:val="auto"/>
                <w:highlight w:val="none"/>
              </w:rPr>
              <w:t xml:space="preserve">—参考位置距声源的距离，m。 </w:t>
            </w:r>
          </w:p>
          <w:p w14:paraId="6093F08B">
            <w:pPr>
              <w:tabs>
                <w:tab w:val="left" w:pos="0"/>
              </w:tabs>
              <w:autoSpaceDE w:val="0"/>
              <w:autoSpaceDN w:val="0"/>
              <w:adjustRightInd w:val="0"/>
              <w:ind w:firstLine="480"/>
              <w:rPr>
                <w:color w:val="auto"/>
                <w:highlight w:val="none"/>
              </w:rPr>
            </w:pPr>
            <w:r>
              <w:rPr>
                <w:color w:val="auto"/>
                <w:highlight w:val="none"/>
              </w:rPr>
              <w:t>计算主要施工机械在不同距离的噪声贡献值，计算结果见下表。</w:t>
            </w:r>
          </w:p>
          <w:p w14:paraId="206451CB">
            <w:pPr>
              <w:pStyle w:val="33"/>
              <w:rPr>
                <w:color w:val="auto"/>
                <w:sz w:val="24"/>
                <w:highlight w:val="none"/>
              </w:rPr>
            </w:pPr>
            <w:r>
              <w:rPr>
                <w:color w:val="auto"/>
                <w:szCs w:val="21"/>
                <w:highlight w:val="none"/>
              </w:rPr>
              <w:t>表</w:t>
            </w:r>
            <w:r>
              <w:rPr>
                <w:rFonts w:hint="eastAsia"/>
                <w:color w:val="auto"/>
                <w:szCs w:val="21"/>
                <w:highlight w:val="none"/>
                <w:lang w:val="en-US" w:eastAsia="zh-CN"/>
              </w:rPr>
              <w:t>36</w:t>
            </w:r>
            <w:r>
              <w:rPr>
                <w:rFonts w:hint="eastAsia"/>
                <w:color w:val="auto"/>
                <w:szCs w:val="21"/>
                <w:highlight w:val="none"/>
              </w:rPr>
              <w:t xml:space="preserve">  </w:t>
            </w:r>
            <w:r>
              <w:rPr>
                <w:color w:val="auto"/>
                <w:szCs w:val="21"/>
                <w:highlight w:val="none"/>
              </w:rPr>
              <w:t>施工机械在不同距离的噪声贡献值</w:t>
            </w:r>
          </w:p>
          <w:tbl>
            <w:tblPr>
              <w:tblStyle w:val="24"/>
              <w:tblW w:w="84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90"/>
              <w:gridCol w:w="710"/>
              <w:gridCol w:w="709"/>
              <w:gridCol w:w="709"/>
              <w:gridCol w:w="709"/>
              <w:gridCol w:w="709"/>
              <w:gridCol w:w="709"/>
              <w:gridCol w:w="709"/>
              <w:gridCol w:w="714"/>
              <w:gridCol w:w="996"/>
            </w:tblGrid>
            <w:tr w14:paraId="71C0C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655" w:type="dxa"/>
                  <w:vMerge w:val="restart"/>
                  <w:tcBorders>
                    <w:tl2br w:val="nil"/>
                    <w:tr2bl w:val="nil"/>
                  </w:tcBorders>
                  <w:vAlign w:val="center"/>
                </w:tcPr>
                <w:p w14:paraId="320976F5">
                  <w:pPr>
                    <w:pStyle w:val="31"/>
                    <w:rPr>
                      <w:color w:val="auto"/>
                      <w:sz w:val="21"/>
                      <w:highlight w:val="none"/>
                    </w:rPr>
                  </w:pPr>
                  <w:r>
                    <w:rPr>
                      <w:color w:val="auto"/>
                      <w:sz w:val="21"/>
                      <w:highlight w:val="none"/>
                    </w:rPr>
                    <w:t>序号</w:t>
                  </w:r>
                </w:p>
              </w:tc>
              <w:tc>
                <w:tcPr>
                  <w:tcW w:w="1090" w:type="dxa"/>
                  <w:vMerge w:val="restart"/>
                  <w:tcBorders>
                    <w:tl2br w:val="nil"/>
                    <w:tr2bl w:val="nil"/>
                  </w:tcBorders>
                  <w:vAlign w:val="center"/>
                </w:tcPr>
                <w:p w14:paraId="107C039A">
                  <w:pPr>
                    <w:pStyle w:val="31"/>
                    <w:rPr>
                      <w:color w:val="auto"/>
                      <w:sz w:val="21"/>
                      <w:highlight w:val="none"/>
                    </w:rPr>
                  </w:pPr>
                  <w:r>
                    <w:rPr>
                      <w:color w:val="auto"/>
                      <w:sz w:val="21"/>
                      <w:highlight w:val="none"/>
                    </w:rPr>
                    <w:t>机械名称</w:t>
                  </w:r>
                </w:p>
              </w:tc>
              <w:tc>
                <w:tcPr>
                  <w:tcW w:w="5685" w:type="dxa"/>
                  <w:gridSpan w:val="8"/>
                  <w:tcBorders>
                    <w:tl2br w:val="nil"/>
                    <w:tr2bl w:val="nil"/>
                  </w:tcBorders>
                  <w:vAlign w:val="center"/>
                </w:tcPr>
                <w:p w14:paraId="07BD15D6">
                  <w:pPr>
                    <w:pStyle w:val="31"/>
                    <w:rPr>
                      <w:color w:val="auto"/>
                      <w:sz w:val="21"/>
                      <w:highlight w:val="none"/>
                    </w:rPr>
                  </w:pPr>
                  <w:r>
                    <w:rPr>
                      <w:color w:val="auto"/>
                      <w:sz w:val="21"/>
                      <w:highlight w:val="none"/>
                    </w:rPr>
                    <w:t>不同距离处的噪声预测值[dB（A）]</w:t>
                  </w:r>
                </w:p>
              </w:tc>
              <w:tc>
                <w:tcPr>
                  <w:tcW w:w="997" w:type="dxa"/>
                  <w:vMerge w:val="restart"/>
                  <w:tcBorders>
                    <w:tl2br w:val="nil"/>
                    <w:tr2bl w:val="nil"/>
                  </w:tcBorders>
                  <w:vAlign w:val="center"/>
                </w:tcPr>
                <w:p w14:paraId="3C221CEA">
                  <w:pPr>
                    <w:pStyle w:val="31"/>
                    <w:rPr>
                      <w:color w:val="auto"/>
                      <w:sz w:val="21"/>
                      <w:highlight w:val="none"/>
                    </w:rPr>
                  </w:pPr>
                  <w:r>
                    <w:rPr>
                      <w:color w:val="auto"/>
                      <w:sz w:val="21"/>
                      <w:highlight w:val="none"/>
                    </w:rPr>
                    <w:t>施工阶段</w:t>
                  </w:r>
                </w:p>
              </w:tc>
            </w:tr>
            <w:tr w14:paraId="7EBF4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55" w:type="dxa"/>
                  <w:vMerge w:val="continue"/>
                  <w:tcBorders>
                    <w:tl2br w:val="nil"/>
                    <w:tr2bl w:val="nil"/>
                  </w:tcBorders>
                  <w:vAlign w:val="center"/>
                </w:tcPr>
                <w:p w14:paraId="438290B9">
                  <w:pPr>
                    <w:pStyle w:val="31"/>
                    <w:rPr>
                      <w:color w:val="auto"/>
                      <w:sz w:val="21"/>
                      <w:highlight w:val="none"/>
                    </w:rPr>
                  </w:pPr>
                </w:p>
              </w:tc>
              <w:tc>
                <w:tcPr>
                  <w:tcW w:w="1090" w:type="dxa"/>
                  <w:vMerge w:val="continue"/>
                  <w:tcBorders>
                    <w:tl2br w:val="nil"/>
                    <w:tr2bl w:val="nil"/>
                  </w:tcBorders>
                  <w:vAlign w:val="center"/>
                </w:tcPr>
                <w:p w14:paraId="01A06346">
                  <w:pPr>
                    <w:pStyle w:val="31"/>
                    <w:rPr>
                      <w:color w:val="auto"/>
                      <w:sz w:val="21"/>
                      <w:highlight w:val="none"/>
                    </w:rPr>
                  </w:pPr>
                </w:p>
              </w:tc>
              <w:tc>
                <w:tcPr>
                  <w:tcW w:w="710" w:type="dxa"/>
                  <w:tcBorders>
                    <w:tl2br w:val="nil"/>
                    <w:tr2bl w:val="nil"/>
                  </w:tcBorders>
                  <w:vAlign w:val="center"/>
                </w:tcPr>
                <w:p w14:paraId="00786825">
                  <w:pPr>
                    <w:pStyle w:val="31"/>
                    <w:rPr>
                      <w:color w:val="auto"/>
                      <w:sz w:val="21"/>
                      <w:highlight w:val="none"/>
                    </w:rPr>
                  </w:pPr>
                  <w:r>
                    <w:rPr>
                      <w:color w:val="auto"/>
                      <w:sz w:val="21"/>
                      <w:highlight w:val="none"/>
                    </w:rPr>
                    <w:t>5m</w:t>
                  </w:r>
                </w:p>
              </w:tc>
              <w:tc>
                <w:tcPr>
                  <w:tcW w:w="710" w:type="dxa"/>
                  <w:tcBorders>
                    <w:tl2br w:val="nil"/>
                    <w:tr2bl w:val="nil"/>
                  </w:tcBorders>
                  <w:vAlign w:val="center"/>
                </w:tcPr>
                <w:p w14:paraId="0AE5764B">
                  <w:pPr>
                    <w:pStyle w:val="31"/>
                    <w:rPr>
                      <w:color w:val="auto"/>
                      <w:sz w:val="21"/>
                      <w:highlight w:val="none"/>
                    </w:rPr>
                  </w:pPr>
                  <w:r>
                    <w:rPr>
                      <w:color w:val="auto"/>
                      <w:sz w:val="21"/>
                      <w:highlight w:val="none"/>
                    </w:rPr>
                    <w:t>10m</w:t>
                  </w:r>
                </w:p>
              </w:tc>
              <w:tc>
                <w:tcPr>
                  <w:tcW w:w="710" w:type="dxa"/>
                  <w:tcBorders>
                    <w:tl2br w:val="nil"/>
                    <w:tr2bl w:val="nil"/>
                  </w:tcBorders>
                  <w:vAlign w:val="center"/>
                </w:tcPr>
                <w:p w14:paraId="227C7107">
                  <w:pPr>
                    <w:pStyle w:val="31"/>
                    <w:rPr>
                      <w:color w:val="auto"/>
                      <w:sz w:val="21"/>
                      <w:highlight w:val="none"/>
                    </w:rPr>
                  </w:pPr>
                  <w:r>
                    <w:rPr>
                      <w:color w:val="auto"/>
                      <w:sz w:val="21"/>
                      <w:highlight w:val="none"/>
                    </w:rPr>
                    <w:t>20m</w:t>
                  </w:r>
                </w:p>
              </w:tc>
              <w:tc>
                <w:tcPr>
                  <w:tcW w:w="710" w:type="dxa"/>
                  <w:tcBorders>
                    <w:tl2br w:val="nil"/>
                    <w:tr2bl w:val="nil"/>
                  </w:tcBorders>
                  <w:vAlign w:val="center"/>
                </w:tcPr>
                <w:p w14:paraId="7ABC8DFC">
                  <w:pPr>
                    <w:pStyle w:val="31"/>
                    <w:rPr>
                      <w:color w:val="auto"/>
                      <w:sz w:val="21"/>
                      <w:highlight w:val="none"/>
                    </w:rPr>
                  </w:pPr>
                  <w:r>
                    <w:rPr>
                      <w:color w:val="auto"/>
                      <w:sz w:val="21"/>
                      <w:highlight w:val="none"/>
                    </w:rPr>
                    <w:t>30m</w:t>
                  </w:r>
                </w:p>
              </w:tc>
              <w:tc>
                <w:tcPr>
                  <w:tcW w:w="710" w:type="dxa"/>
                  <w:tcBorders>
                    <w:tl2br w:val="nil"/>
                    <w:tr2bl w:val="nil"/>
                  </w:tcBorders>
                  <w:vAlign w:val="center"/>
                </w:tcPr>
                <w:p w14:paraId="6A464960">
                  <w:pPr>
                    <w:pStyle w:val="31"/>
                    <w:rPr>
                      <w:color w:val="auto"/>
                      <w:sz w:val="21"/>
                      <w:highlight w:val="none"/>
                    </w:rPr>
                  </w:pPr>
                  <w:r>
                    <w:rPr>
                      <w:color w:val="auto"/>
                      <w:sz w:val="21"/>
                      <w:highlight w:val="none"/>
                    </w:rPr>
                    <w:t>40m</w:t>
                  </w:r>
                </w:p>
              </w:tc>
              <w:tc>
                <w:tcPr>
                  <w:tcW w:w="710" w:type="dxa"/>
                  <w:tcBorders>
                    <w:tl2br w:val="nil"/>
                    <w:tr2bl w:val="nil"/>
                  </w:tcBorders>
                  <w:vAlign w:val="center"/>
                </w:tcPr>
                <w:p w14:paraId="669248A9">
                  <w:pPr>
                    <w:pStyle w:val="31"/>
                    <w:rPr>
                      <w:color w:val="auto"/>
                      <w:sz w:val="21"/>
                      <w:highlight w:val="none"/>
                    </w:rPr>
                  </w:pPr>
                  <w:r>
                    <w:rPr>
                      <w:color w:val="auto"/>
                      <w:sz w:val="21"/>
                      <w:highlight w:val="none"/>
                    </w:rPr>
                    <w:t>50m</w:t>
                  </w:r>
                </w:p>
              </w:tc>
              <w:tc>
                <w:tcPr>
                  <w:tcW w:w="710" w:type="dxa"/>
                  <w:tcBorders>
                    <w:tl2br w:val="nil"/>
                    <w:tr2bl w:val="nil"/>
                  </w:tcBorders>
                  <w:vAlign w:val="center"/>
                </w:tcPr>
                <w:p w14:paraId="036D669B">
                  <w:pPr>
                    <w:pStyle w:val="31"/>
                    <w:rPr>
                      <w:color w:val="auto"/>
                      <w:sz w:val="21"/>
                      <w:highlight w:val="none"/>
                    </w:rPr>
                  </w:pPr>
                  <w:r>
                    <w:rPr>
                      <w:color w:val="auto"/>
                      <w:sz w:val="21"/>
                      <w:highlight w:val="none"/>
                    </w:rPr>
                    <w:t>100m</w:t>
                  </w:r>
                </w:p>
              </w:tc>
              <w:tc>
                <w:tcPr>
                  <w:tcW w:w="715" w:type="dxa"/>
                  <w:tcBorders>
                    <w:tl2br w:val="nil"/>
                    <w:tr2bl w:val="nil"/>
                  </w:tcBorders>
                  <w:vAlign w:val="center"/>
                </w:tcPr>
                <w:p w14:paraId="77FB6228">
                  <w:pPr>
                    <w:pStyle w:val="31"/>
                    <w:rPr>
                      <w:color w:val="auto"/>
                      <w:sz w:val="21"/>
                      <w:highlight w:val="none"/>
                    </w:rPr>
                  </w:pPr>
                  <w:r>
                    <w:rPr>
                      <w:color w:val="auto"/>
                      <w:sz w:val="21"/>
                      <w:highlight w:val="none"/>
                    </w:rPr>
                    <w:t>200m</w:t>
                  </w:r>
                </w:p>
              </w:tc>
              <w:tc>
                <w:tcPr>
                  <w:tcW w:w="997" w:type="dxa"/>
                  <w:vMerge w:val="continue"/>
                  <w:tcBorders>
                    <w:tl2br w:val="nil"/>
                    <w:tr2bl w:val="nil"/>
                  </w:tcBorders>
                  <w:vAlign w:val="center"/>
                </w:tcPr>
                <w:p w14:paraId="701517C9">
                  <w:pPr>
                    <w:pStyle w:val="31"/>
                    <w:rPr>
                      <w:color w:val="auto"/>
                      <w:sz w:val="21"/>
                      <w:highlight w:val="none"/>
                    </w:rPr>
                  </w:pPr>
                </w:p>
              </w:tc>
            </w:tr>
            <w:tr w14:paraId="201EA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55" w:type="dxa"/>
                  <w:tcBorders>
                    <w:tl2br w:val="nil"/>
                    <w:tr2bl w:val="nil"/>
                  </w:tcBorders>
                  <w:vAlign w:val="center"/>
                </w:tcPr>
                <w:p w14:paraId="23832BA0">
                  <w:pPr>
                    <w:pStyle w:val="31"/>
                    <w:numPr>
                      <w:ilvl w:val="0"/>
                      <w:numId w:val="28"/>
                    </w:numPr>
                    <w:rPr>
                      <w:color w:val="auto"/>
                      <w:sz w:val="21"/>
                      <w:highlight w:val="none"/>
                    </w:rPr>
                  </w:pPr>
                </w:p>
              </w:tc>
              <w:tc>
                <w:tcPr>
                  <w:tcW w:w="1090" w:type="dxa"/>
                  <w:tcBorders>
                    <w:tl2br w:val="nil"/>
                    <w:tr2bl w:val="nil"/>
                  </w:tcBorders>
                  <w:vAlign w:val="center"/>
                </w:tcPr>
                <w:p w14:paraId="2B83B762">
                  <w:pPr>
                    <w:pStyle w:val="31"/>
                    <w:rPr>
                      <w:color w:val="auto"/>
                      <w:sz w:val="21"/>
                      <w:highlight w:val="none"/>
                    </w:rPr>
                  </w:pPr>
                  <w:r>
                    <w:rPr>
                      <w:color w:val="auto"/>
                      <w:sz w:val="21"/>
                      <w:highlight w:val="none"/>
                    </w:rPr>
                    <w:t>挖掘机</w:t>
                  </w:r>
                </w:p>
              </w:tc>
              <w:tc>
                <w:tcPr>
                  <w:tcW w:w="710" w:type="dxa"/>
                  <w:tcBorders>
                    <w:tl2br w:val="nil"/>
                    <w:tr2bl w:val="nil"/>
                  </w:tcBorders>
                  <w:vAlign w:val="center"/>
                </w:tcPr>
                <w:p w14:paraId="3C6A4A5D">
                  <w:pPr>
                    <w:pStyle w:val="31"/>
                    <w:rPr>
                      <w:color w:val="auto"/>
                      <w:sz w:val="21"/>
                      <w:highlight w:val="none"/>
                    </w:rPr>
                  </w:pPr>
                  <w:r>
                    <w:rPr>
                      <w:color w:val="auto"/>
                      <w:sz w:val="21"/>
                      <w:highlight w:val="none"/>
                    </w:rPr>
                    <w:t>79</w:t>
                  </w:r>
                </w:p>
              </w:tc>
              <w:tc>
                <w:tcPr>
                  <w:tcW w:w="710" w:type="dxa"/>
                  <w:tcBorders>
                    <w:tl2br w:val="nil"/>
                    <w:tr2bl w:val="nil"/>
                  </w:tcBorders>
                  <w:vAlign w:val="center"/>
                </w:tcPr>
                <w:p w14:paraId="690FC74E">
                  <w:pPr>
                    <w:pStyle w:val="31"/>
                    <w:rPr>
                      <w:color w:val="auto"/>
                      <w:sz w:val="21"/>
                      <w:highlight w:val="none"/>
                    </w:rPr>
                  </w:pPr>
                  <w:r>
                    <w:rPr>
                      <w:color w:val="auto"/>
                      <w:sz w:val="21"/>
                      <w:highlight w:val="none"/>
                    </w:rPr>
                    <w:t>73</w:t>
                  </w:r>
                </w:p>
              </w:tc>
              <w:tc>
                <w:tcPr>
                  <w:tcW w:w="710" w:type="dxa"/>
                  <w:tcBorders>
                    <w:tl2br w:val="nil"/>
                    <w:tr2bl w:val="nil"/>
                  </w:tcBorders>
                  <w:vAlign w:val="center"/>
                </w:tcPr>
                <w:p w14:paraId="12D06496">
                  <w:pPr>
                    <w:pStyle w:val="31"/>
                    <w:rPr>
                      <w:color w:val="auto"/>
                      <w:sz w:val="21"/>
                      <w:highlight w:val="none"/>
                    </w:rPr>
                  </w:pPr>
                  <w:r>
                    <w:rPr>
                      <w:color w:val="auto"/>
                      <w:sz w:val="21"/>
                      <w:highlight w:val="none"/>
                    </w:rPr>
                    <w:t>67</w:t>
                  </w:r>
                </w:p>
              </w:tc>
              <w:tc>
                <w:tcPr>
                  <w:tcW w:w="710" w:type="dxa"/>
                  <w:tcBorders>
                    <w:tl2br w:val="nil"/>
                    <w:tr2bl w:val="nil"/>
                  </w:tcBorders>
                  <w:vAlign w:val="center"/>
                </w:tcPr>
                <w:p w14:paraId="3A1E1657">
                  <w:pPr>
                    <w:pStyle w:val="31"/>
                    <w:rPr>
                      <w:color w:val="auto"/>
                      <w:sz w:val="21"/>
                      <w:highlight w:val="none"/>
                    </w:rPr>
                  </w:pPr>
                  <w:r>
                    <w:rPr>
                      <w:color w:val="auto"/>
                      <w:sz w:val="21"/>
                      <w:highlight w:val="none"/>
                    </w:rPr>
                    <w:t>63</w:t>
                  </w:r>
                </w:p>
              </w:tc>
              <w:tc>
                <w:tcPr>
                  <w:tcW w:w="710" w:type="dxa"/>
                  <w:tcBorders>
                    <w:tl2br w:val="nil"/>
                    <w:tr2bl w:val="nil"/>
                  </w:tcBorders>
                  <w:vAlign w:val="center"/>
                </w:tcPr>
                <w:p w14:paraId="6273E7E7">
                  <w:pPr>
                    <w:pStyle w:val="31"/>
                    <w:rPr>
                      <w:color w:val="auto"/>
                      <w:sz w:val="21"/>
                      <w:highlight w:val="none"/>
                    </w:rPr>
                  </w:pPr>
                  <w:r>
                    <w:rPr>
                      <w:color w:val="auto"/>
                      <w:sz w:val="21"/>
                      <w:highlight w:val="none"/>
                    </w:rPr>
                    <w:t>61</w:t>
                  </w:r>
                </w:p>
              </w:tc>
              <w:tc>
                <w:tcPr>
                  <w:tcW w:w="710" w:type="dxa"/>
                  <w:tcBorders>
                    <w:tl2br w:val="nil"/>
                    <w:tr2bl w:val="nil"/>
                  </w:tcBorders>
                  <w:vAlign w:val="center"/>
                </w:tcPr>
                <w:p w14:paraId="1381DCBE">
                  <w:pPr>
                    <w:pStyle w:val="31"/>
                    <w:rPr>
                      <w:color w:val="auto"/>
                      <w:sz w:val="21"/>
                      <w:highlight w:val="none"/>
                    </w:rPr>
                  </w:pPr>
                  <w:r>
                    <w:rPr>
                      <w:color w:val="auto"/>
                      <w:sz w:val="21"/>
                      <w:highlight w:val="none"/>
                    </w:rPr>
                    <w:t>59</w:t>
                  </w:r>
                </w:p>
              </w:tc>
              <w:tc>
                <w:tcPr>
                  <w:tcW w:w="710" w:type="dxa"/>
                  <w:tcBorders>
                    <w:tl2br w:val="nil"/>
                    <w:tr2bl w:val="nil"/>
                  </w:tcBorders>
                  <w:vAlign w:val="center"/>
                </w:tcPr>
                <w:p w14:paraId="50A556C3">
                  <w:pPr>
                    <w:pStyle w:val="31"/>
                    <w:rPr>
                      <w:color w:val="auto"/>
                      <w:sz w:val="21"/>
                      <w:highlight w:val="none"/>
                    </w:rPr>
                  </w:pPr>
                  <w:r>
                    <w:rPr>
                      <w:color w:val="auto"/>
                      <w:sz w:val="21"/>
                      <w:highlight w:val="none"/>
                    </w:rPr>
                    <w:t>53</w:t>
                  </w:r>
                </w:p>
              </w:tc>
              <w:tc>
                <w:tcPr>
                  <w:tcW w:w="715" w:type="dxa"/>
                  <w:tcBorders>
                    <w:tl2br w:val="nil"/>
                    <w:tr2bl w:val="nil"/>
                  </w:tcBorders>
                  <w:vAlign w:val="center"/>
                </w:tcPr>
                <w:p w14:paraId="353F5F20">
                  <w:pPr>
                    <w:pStyle w:val="31"/>
                    <w:rPr>
                      <w:color w:val="auto"/>
                      <w:sz w:val="21"/>
                      <w:highlight w:val="none"/>
                    </w:rPr>
                  </w:pPr>
                  <w:r>
                    <w:rPr>
                      <w:color w:val="auto"/>
                      <w:sz w:val="21"/>
                      <w:highlight w:val="none"/>
                    </w:rPr>
                    <w:t>47</w:t>
                  </w:r>
                </w:p>
              </w:tc>
              <w:tc>
                <w:tcPr>
                  <w:tcW w:w="997" w:type="dxa"/>
                  <w:vMerge w:val="restart"/>
                  <w:tcBorders>
                    <w:tl2br w:val="nil"/>
                    <w:tr2bl w:val="nil"/>
                  </w:tcBorders>
                  <w:vAlign w:val="center"/>
                </w:tcPr>
                <w:p w14:paraId="5B95883C">
                  <w:pPr>
                    <w:pStyle w:val="31"/>
                    <w:rPr>
                      <w:color w:val="auto"/>
                      <w:sz w:val="21"/>
                      <w:highlight w:val="none"/>
                    </w:rPr>
                  </w:pPr>
                  <w:r>
                    <w:rPr>
                      <w:color w:val="auto"/>
                      <w:sz w:val="21"/>
                      <w:highlight w:val="none"/>
                    </w:rPr>
                    <w:t>土石方</w:t>
                  </w:r>
                </w:p>
              </w:tc>
            </w:tr>
            <w:tr w14:paraId="21AB3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655" w:type="dxa"/>
                  <w:tcBorders>
                    <w:tl2br w:val="nil"/>
                    <w:tr2bl w:val="nil"/>
                  </w:tcBorders>
                  <w:vAlign w:val="center"/>
                </w:tcPr>
                <w:p w14:paraId="506E9C29">
                  <w:pPr>
                    <w:pStyle w:val="31"/>
                    <w:numPr>
                      <w:ilvl w:val="0"/>
                      <w:numId w:val="28"/>
                    </w:numPr>
                    <w:rPr>
                      <w:color w:val="auto"/>
                      <w:sz w:val="21"/>
                      <w:highlight w:val="none"/>
                    </w:rPr>
                  </w:pPr>
                </w:p>
              </w:tc>
              <w:tc>
                <w:tcPr>
                  <w:tcW w:w="1090" w:type="dxa"/>
                  <w:tcBorders>
                    <w:tl2br w:val="nil"/>
                    <w:tr2bl w:val="nil"/>
                  </w:tcBorders>
                  <w:vAlign w:val="center"/>
                </w:tcPr>
                <w:p w14:paraId="5D8C204C">
                  <w:pPr>
                    <w:pStyle w:val="31"/>
                    <w:rPr>
                      <w:color w:val="auto"/>
                      <w:sz w:val="21"/>
                      <w:highlight w:val="none"/>
                    </w:rPr>
                  </w:pPr>
                  <w:r>
                    <w:rPr>
                      <w:color w:val="auto"/>
                      <w:sz w:val="21"/>
                      <w:highlight w:val="none"/>
                    </w:rPr>
                    <w:t>推土机</w:t>
                  </w:r>
                </w:p>
              </w:tc>
              <w:tc>
                <w:tcPr>
                  <w:tcW w:w="710" w:type="dxa"/>
                  <w:tcBorders>
                    <w:tl2br w:val="nil"/>
                    <w:tr2bl w:val="nil"/>
                  </w:tcBorders>
                  <w:vAlign w:val="center"/>
                </w:tcPr>
                <w:p w14:paraId="14C9C4BF">
                  <w:pPr>
                    <w:pStyle w:val="31"/>
                    <w:rPr>
                      <w:color w:val="auto"/>
                      <w:sz w:val="21"/>
                      <w:highlight w:val="none"/>
                    </w:rPr>
                  </w:pPr>
                  <w:r>
                    <w:rPr>
                      <w:color w:val="auto"/>
                      <w:sz w:val="21"/>
                      <w:highlight w:val="none"/>
                    </w:rPr>
                    <w:t>72</w:t>
                  </w:r>
                </w:p>
              </w:tc>
              <w:tc>
                <w:tcPr>
                  <w:tcW w:w="710" w:type="dxa"/>
                  <w:tcBorders>
                    <w:tl2br w:val="nil"/>
                    <w:tr2bl w:val="nil"/>
                  </w:tcBorders>
                  <w:vAlign w:val="center"/>
                </w:tcPr>
                <w:p w14:paraId="05EE2C91">
                  <w:pPr>
                    <w:pStyle w:val="31"/>
                    <w:rPr>
                      <w:color w:val="auto"/>
                      <w:sz w:val="21"/>
                      <w:highlight w:val="none"/>
                    </w:rPr>
                  </w:pPr>
                  <w:r>
                    <w:rPr>
                      <w:color w:val="auto"/>
                      <w:sz w:val="21"/>
                      <w:highlight w:val="none"/>
                    </w:rPr>
                    <w:t>66</w:t>
                  </w:r>
                </w:p>
              </w:tc>
              <w:tc>
                <w:tcPr>
                  <w:tcW w:w="710" w:type="dxa"/>
                  <w:tcBorders>
                    <w:tl2br w:val="nil"/>
                    <w:tr2bl w:val="nil"/>
                  </w:tcBorders>
                  <w:vAlign w:val="center"/>
                </w:tcPr>
                <w:p w14:paraId="3C38A31B">
                  <w:pPr>
                    <w:pStyle w:val="31"/>
                    <w:rPr>
                      <w:color w:val="auto"/>
                      <w:sz w:val="21"/>
                      <w:highlight w:val="none"/>
                    </w:rPr>
                  </w:pPr>
                  <w:r>
                    <w:rPr>
                      <w:color w:val="auto"/>
                      <w:sz w:val="21"/>
                      <w:highlight w:val="none"/>
                    </w:rPr>
                    <w:t>60</w:t>
                  </w:r>
                </w:p>
              </w:tc>
              <w:tc>
                <w:tcPr>
                  <w:tcW w:w="710" w:type="dxa"/>
                  <w:tcBorders>
                    <w:tl2br w:val="nil"/>
                    <w:tr2bl w:val="nil"/>
                  </w:tcBorders>
                  <w:vAlign w:val="center"/>
                </w:tcPr>
                <w:p w14:paraId="6657476C">
                  <w:pPr>
                    <w:pStyle w:val="31"/>
                    <w:rPr>
                      <w:color w:val="auto"/>
                      <w:sz w:val="21"/>
                      <w:highlight w:val="none"/>
                    </w:rPr>
                  </w:pPr>
                  <w:r>
                    <w:rPr>
                      <w:color w:val="auto"/>
                      <w:sz w:val="21"/>
                      <w:highlight w:val="none"/>
                    </w:rPr>
                    <w:t>56</w:t>
                  </w:r>
                </w:p>
              </w:tc>
              <w:tc>
                <w:tcPr>
                  <w:tcW w:w="710" w:type="dxa"/>
                  <w:tcBorders>
                    <w:tl2br w:val="nil"/>
                    <w:tr2bl w:val="nil"/>
                  </w:tcBorders>
                  <w:vAlign w:val="center"/>
                </w:tcPr>
                <w:p w14:paraId="120DF87E">
                  <w:pPr>
                    <w:pStyle w:val="31"/>
                    <w:rPr>
                      <w:color w:val="auto"/>
                      <w:sz w:val="21"/>
                      <w:highlight w:val="none"/>
                    </w:rPr>
                  </w:pPr>
                  <w:r>
                    <w:rPr>
                      <w:color w:val="auto"/>
                      <w:sz w:val="21"/>
                      <w:highlight w:val="none"/>
                    </w:rPr>
                    <w:t>54</w:t>
                  </w:r>
                </w:p>
              </w:tc>
              <w:tc>
                <w:tcPr>
                  <w:tcW w:w="710" w:type="dxa"/>
                  <w:tcBorders>
                    <w:tl2br w:val="nil"/>
                    <w:tr2bl w:val="nil"/>
                  </w:tcBorders>
                  <w:vAlign w:val="center"/>
                </w:tcPr>
                <w:p w14:paraId="6CA2B43A">
                  <w:pPr>
                    <w:pStyle w:val="31"/>
                    <w:rPr>
                      <w:color w:val="auto"/>
                      <w:sz w:val="21"/>
                      <w:highlight w:val="none"/>
                    </w:rPr>
                  </w:pPr>
                  <w:r>
                    <w:rPr>
                      <w:color w:val="auto"/>
                      <w:sz w:val="21"/>
                      <w:highlight w:val="none"/>
                    </w:rPr>
                    <w:t>52</w:t>
                  </w:r>
                </w:p>
              </w:tc>
              <w:tc>
                <w:tcPr>
                  <w:tcW w:w="710" w:type="dxa"/>
                  <w:tcBorders>
                    <w:tl2br w:val="nil"/>
                    <w:tr2bl w:val="nil"/>
                  </w:tcBorders>
                  <w:vAlign w:val="center"/>
                </w:tcPr>
                <w:p w14:paraId="5DE4F4B8">
                  <w:pPr>
                    <w:pStyle w:val="31"/>
                    <w:rPr>
                      <w:color w:val="auto"/>
                      <w:sz w:val="21"/>
                      <w:highlight w:val="none"/>
                    </w:rPr>
                  </w:pPr>
                  <w:r>
                    <w:rPr>
                      <w:color w:val="auto"/>
                      <w:sz w:val="21"/>
                      <w:highlight w:val="none"/>
                    </w:rPr>
                    <w:t>46</w:t>
                  </w:r>
                </w:p>
              </w:tc>
              <w:tc>
                <w:tcPr>
                  <w:tcW w:w="715" w:type="dxa"/>
                  <w:tcBorders>
                    <w:tl2br w:val="nil"/>
                    <w:tr2bl w:val="nil"/>
                  </w:tcBorders>
                  <w:vAlign w:val="center"/>
                </w:tcPr>
                <w:p w14:paraId="1B0BA8B2">
                  <w:pPr>
                    <w:pStyle w:val="31"/>
                    <w:rPr>
                      <w:color w:val="auto"/>
                      <w:sz w:val="21"/>
                      <w:highlight w:val="none"/>
                    </w:rPr>
                  </w:pPr>
                  <w:r>
                    <w:rPr>
                      <w:color w:val="auto"/>
                      <w:sz w:val="21"/>
                      <w:highlight w:val="none"/>
                    </w:rPr>
                    <w:t>40</w:t>
                  </w:r>
                </w:p>
              </w:tc>
              <w:tc>
                <w:tcPr>
                  <w:tcW w:w="997" w:type="dxa"/>
                  <w:vMerge w:val="continue"/>
                  <w:tcBorders>
                    <w:tl2br w:val="nil"/>
                    <w:tr2bl w:val="nil"/>
                  </w:tcBorders>
                  <w:vAlign w:val="center"/>
                </w:tcPr>
                <w:p w14:paraId="36A437ED">
                  <w:pPr>
                    <w:pStyle w:val="31"/>
                    <w:rPr>
                      <w:color w:val="auto"/>
                      <w:sz w:val="21"/>
                      <w:highlight w:val="none"/>
                    </w:rPr>
                  </w:pPr>
                </w:p>
              </w:tc>
            </w:tr>
            <w:tr w14:paraId="40613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5" w:type="dxa"/>
                  <w:tcBorders>
                    <w:tl2br w:val="nil"/>
                    <w:tr2bl w:val="nil"/>
                  </w:tcBorders>
                  <w:vAlign w:val="center"/>
                </w:tcPr>
                <w:p w14:paraId="68DCDA16">
                  <w:pPr>
                    <w:pStyle w:val="31"/>
                    <w:numPr>
                      <w:ilvl w:val="0"/>
                      <w:numId w:val="28"/>
                    </w:numPr>
                    <w:rPr>
                      <w:color w:val="auto"/>
                      <w:sz w:val="21"/>
                      <w:highlight w:val="none"/>
                    </w:rPr>
                  </w:pPr>
                </w:p>
              </w:tc>
              <w:tc>
                <w:tcPr>
                  <w:tcW w:w="1090" w:type="dxa"/>
                  <w:tcBorders>
                    <w:tl2br w:val="nil"/>
                    <w:tr2bl w:val="nil"/>
                  </w:tcBorders>
                  <w:vAlign w:val="center"/>
                </w:tcPr>
                <w:p w14:paraId="08067634">
                  <w:pPr>
                    <w:pStyle w:val="31"/>
                    <w:spacing w:before="0" w:after="0"/>
                    <w:rPr>
                      <w:color w:val="auto"/>
                      <w:sz w:val="21"/>
                      <w:highlight w:val="none"/>
                    </w:rPr>
                  </w:pPr>
                  <w:r>
                    <w:rPr>
                      <w:color w:val="auto"/>
                      <w:sz w:val="21"/>
                      <w:highlight w:val="none"/>
                    </w:rPr>
                    <w:t>低频环保</w:t>
                  </w:r>
                  <w:r>
                    <w:rPr>
                      <w:rFonts w:hint="eastAsia"/>
                      <w:color w:val="auto"/>
                      <w:sz w:val="21"/>
                      <w:highlight w:val="none"/>
                    </w:rPr>
                    <w:t>型</w:t>
                  </w:r>
                  <w:r>
                    <w:rPr>
                      <w:color w:val="auto"/>
                      <w:sz w:val="21"/>
                      <w:highlight w:val="none"/>
                    </w:rPr>
                    <w:t>振捣器</w:t>
                  </w:r>
                </w:p>
              </w:tc>
              <w:tc>
                <w:tcPr>
                  <w:tcW w:w="710" w:type="dxa"/>
                  <w:tcBorders>
                    <w:tl2br w:val="nil"/>
                    <w:tr2bl w:val="nil"/>
                  </w:tcBorders>
                  <w:vAlign w:val="center"/>
                </w:tcPr>
                <w:p w14:paraId="21F112F7">
                  <w:pPr>
                    <w:pStyle w:val="31"/>
                    <w:spacing w:before="0" w:after="0"/>
                    <w:rPr>
                      <w:color w:val="auto"/>
                      <w:sz w:val="21"/>
                      <w:highlight w:val="none"/>
                    </w:rPr>
                  </w:pPr>
                  <w:r>
                    <w:rPr>
                      <w:color w:val="auto"/>
                      <w:sz w:val="21"/>
                      <w:highlight w:val="none"/>
                    </w:rPr>
                    <w:t>66</w:t>
                  </w:r>
                </w:p>
              </w:tc>
              <w:tc>
                <w:tcPr>
                  <w:tcW w:w="710" w:type="dxa"/>
                  <w:tcBorders>
                    <w:tl2br w:val="nil"/>
                    <w:tr2bl w:val="nil"/>
                  </w:tcBorders>
                  <w:vAlign w:val="center"/>
                </w:tcPr>
                <w:p w14:paraId="5C903473">
                  <w:pPr>
                    <w:pStyle w:val="31"/>
                    <w:spacing w:before="0" w:after="0"/>
                    <w:rPr>
                      <w:color w:val="auto"/>
                      <w:sz w:val="21"/>
                      <w:highlight w:val="none"/>
                    </w:rPr>
                  </w:pPr>
                  <w:r>
                    <w:rPr>
                      <w:color w:val="auto"/>
                      <w:sz w:val="21"/>
                      <w:highlight w:val="none"/>
                    </w:rPr>
                    <w:t>60</w:t>
                  </w:r>
                </w:p>
              </w:tc>
              <w:tc>
                <w:tcPr>
                  <w:tcW w:w="710" w:type="dxa"/>
                  <w:tcBorders>
                    <w:tl2br w:val="nil"/>
                    <w:tr2bl w:val="nil"/>
                  </w:tcBorders>
                  <w:vAlign w:val="center"/>
                </w:tcPr>
                <w:p w14:paraId="4839F30A">
                  <w:pPr>
                    <w:pStyle w:val="31"/>
                    <w:spacing w:before="0" w:after="0"/>
                    <w:rPr>
                      <w:color w:val="auto"/>
                      <w:sz w:val="21"/>
                      <w:highlight w:val="none"/>
                    </w:rPr>
                  </w:pPr>
                  <w:r>
                    <w:rPr>
                      <w:color w:val="auto"/>
                      <w:sz w:val="21"/>
                      <w:highlight w:val="none"/>
                    </w:rPr>
                    <w:t>54</w:t>
                  </w:r>
                </w:p>
              </w:tc>
              <w:tc>
                <w:tcPr>
                  <w:tcW w:w="710" w:type="dxa"/>
                  <w:tcBorders>
                    <w:tl2br w:val="nil"/>
                    <w:tr2bl w:val="nil"/>
                  </w:tcBorders>
                  <w:vAlign w:val="center"/>
                </w:tcPr>
                <w:p w14:paraId="2860F32E">
                  <w:pPr>
                    <w:pStyle w:val="31"/>
                    <w:spacing w:before="0" w:after="0"/>
                    <w:rPr>
                      <w:color w:val="auto"/>
                      <w:sz w:val="21"/>
                      <w:highlight w:val="none"/>
                    </w:rPr>
                  </w:pPr>
                  <w:r>
                    <w:rPr>
                      <w:color w:val="auto"/>
                      <w:sz w:val="21"/>
                      <w:highlight w:val="none"/>
                    </w:rPr>
                    <w:t>50</w:t>
                  </w:r>
                </w:p>
              </w:tc>
              <w:tc>
                <w:tcPr>
                  <w:tcW w:w="710" w:type="dxa"/>
                  <w:tcBorders>
                    <w:tl2br w:val="nil"/>
                    <w:tr2bl w:val="nil"/>
                  </w:tcBorders>
                  <w:vAlign w:val="center"/>
                </w:tcPr>
                <w:p w14:paraId="351DEBFE">
                  <w:pPr>
                    <w:pStyle w:val="31"/>
                    <w:spacing w:before="0" w:after="0"/>
                    <w:rPr>
                      <w:color w:val="auto"/>
                      <w:sz w:val="21"/>
                      <w:highlight w:val="none"/>
                    </w:rPr>
                  </w:pPr>
                  <w:r>
                    <w:rPr>
                      <w:color w:val="auto"/>
                      <w:sz w:val="21"/>
                      <w:highlight w:val="none"/>
                    </w:rPr>
                    <w:t>48</w:t>
                  </w:r>
                </w:p>
              </w:tc>
              <w:tc>
                <w:tcPr>
                  <w:tcW w:w="710" w:type="dxa"/>
                  <w:tcBorders>
                    <w:tl2br w:val="nil"/>
                    <w:tr2bl w:val="nil"/>
                  </w:tcBorders>
                  <w:vAlign w:val="center"/>
                </w:tcPr>
                <w:p w14:paraId="5F8724B9">
                  <w:pPr>
                    <w:pStyle w:val="31"/>
                    <w:spacing w:before="0" w:after="0"/>
                    <w:rPr>
                      <w:color w:val="auto"/>
                      <w:sz w:val="21"/>
                      <w:highlight w:val="none"/>
                    </w:rPr>
                  </w:pPr>
                  <w:r>
                    <w:rPr>
                      <w:color w:val="auto"/>
                      <w:sz w:val="21"/>
                      <w:highlight w:val="none"/>
                    </w:rPr>
                    <w:t>46</w:t>
                  </w:r>
                </w:p>
              </w:tc>
              <w:tc>
                <w:tcPr>
                  <w:tcW w:w="710" w:type="dxa"/>
                  <w:tcBorders>
                    <w:tl2br w:val="nil"/>
                    <w:tr2bl w:val="nil"/>
                  </w:tcBorders>
                  <w:vAlign w:val="center"/>
                </w:tcPr>
                <w:p w14:paraId="4CD1AC38">
                  <w:pPr>
                    <w:pStyle w:val="31"/>
                    <w:spacing w:before="0" w:after="0"/>
                    <w:rPr>
                      <w:color w:val="auto"/>
                      <w:sz w:val="21"/>
                      <w:highlight w:val="none"/>
                    </w:rPr>
                  </w:pPr>
                  <w:r>
                    <w:rPr>
                      <w:color w:val="auto"/>
                      <w:sz w:val="21"/>
                      <w:highlight w:val="none"/>
                    </w:rPr>
                    <w:t>40</w:t>
                  </w:r>
                </w:p>
              </w:tc>
              <w:tc>
                <w:tcPr>
                  <w:tcW w:w="715" w:type="dxa"/>
                  <w:tcBorders>
                    <w:tl2br w:val="nil"/>
                    <w:tr2bl w:val="nil"/>
                  </w:tcBorders>
                  <w:vAlign w:val="center"/>
                </w:tcPr>
                <w:p w14:paraId="72B9E442">
                  <w:pPr>
                    <w:pStyle w:val="31"/>
                    <w:spacing w:before="0" w:after="0"/>
                    <w:rPr>
                      <w:color w:val="auto"/>
                      <w:sz w:val="21"/>
                      <w:highlight w:val="none"/>
                    </w:rPr>
                  </w:pPr>
                </w:p>
              </w:tc>
              <w:tc>
                <w:tcPr>
                  <w:tcW w:w="997" w:type="dxa"/>
                  <w:tcBorders>
                    <w:tl2br w:val="nil"/>
                    <w:tr2bl w:val="nil"/>
                  </w:tcBorders>
                  <w:vAlign w:val="center"/>
                </w:tcPr>
                <w:p w14:paraId="1C6D4179">
                  <w:pPr>
                    <w:pStyle w:val="31"/>
                    <w:spacing w:before="0" w:after="0"/>
                    <w:rPr>
                      <w:color w:val="auto"/>
                      <w:sz w:val="21"/>
                      <w:highlight w:val="none"/>
                    </w:rPr>
                  </w:pPr>
                  <w:r>
                    <w:rPr>
                      <w:color w:val="auto"/>
                      <w:sz w:val="21"/>
                      <w:highlight w:val="none"/>
                    </w:rPr>
                    <w:t>结构</w:t>
                  </w:r>
                </w:p>
              </w:tc>
            </w:tr>
            <w:tr w14:paraId="5D4C3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655" w:type="dxa"/>
                  <w:tcBorders>
                    <w:tl2br w:val="nil"/>
                    <w:tr2bl w:val="nil"/>
                  </w:tcBorders>
                  <w:vAlign w:val="center"/>
                </w:tcPr>
                <w:p w14:paraId="039276D5">
                  <w:pPr>
                    <w:pStyle w:val="31"/>
                    <w:numPr>
                      <w:ilvl w:val="0"/>
                      <w:numId w:val="28"/>
                    </w:numPr>
                    <w:spacing w:before="0" w:after="0"/>
                    <w:rPr>
                      <w:color w:val="auto"/>
                      <w:sz w:val="21"/>
                      <w:highlight w:val="none"/>
                    </w:rPr>
                  </w:pPr>
                </w:p>
              </w:tc>
              <w:tc>
                <w:tcPr>
                  <w:tcW w:w="1090" w:type="dxa"/>
                  <w:tcBorders>
                    <w:tl2br w:val="nil"/>
                    <w:tr2bl w:val="nil"/>
                  </w:tcBorders>
                  <w:vAlign w:val="center"/>
                </w:tcPr>
                <w:p w14:paraId="0743F6F2">
                  <w:pPr>
                    <w:pStyle w:val="31"/>
                    <w:spacing w:before="0" w:after="0"/>
                    <w:rPr>
                      <w:color w:val="auto"/>
                      <w:sz w:val="21"/>
                      <w:highlight w:val="none"/>
                    </w:rPr>
                  </w:pPr>
                  <w:r>
                    <w:rPr>
                      <w:rFonts w:hint="eastAsia"/>
                      <w:color w:val="auto"/>
                      <w:sz w:val="21"/>
                      <w:highlight w:val="none"/>
                    </w:rPr>
                    <w:t>运输车辆</w:t>
                  </w:r>
                </w:p>
              </w:tc>
              <w:tc>
                <w:tcPr>
                  <w:tcW w:w="710" w:type="dxa"/>
                  <w:tcBorders>
                    <w:tl2br w:val="nil"/>
                    <w:tr2bl w:val="nil"/>
                  </w:tcBorders>
                  <w:vAlign w:val="center"/>
                </w:tcPr>
                <w:p w14:paraId="50E48BB1">
                  <w:pPr>
                    <w:pStyle w:val="31"/>
                    <w:spacing w:before="0" w:after="0"/>
                    <w:rPr>
                      <w:color w:val="auto"/>
                      <w:sz w:val="21"/>
                      <w:highlight w:val="none"/>
                    </w:rPr>
                  </w:pPr>
                  <w:r>
                    <w:rPr>
                      <w:color w:val="auto"/>
                      <w:sz w:val="21"/>
                      <w:highlight w:val="none"/>
                    </w:rPr>
                    <w:t>66</w:t>
                  </w:r>
                </w:p>
              </w:tc>
              <w:tc>
                <w:tcPr>
                  <w:tcW w:w="710" w:type="dxa"/>
                  <w:tcBorders>
                    <w:tl2br w:val="nil"/>
                    <w:tr2bl w:val="nil"/>
                  </w:tcBorders>
                  <w:vAlign w:val="center"/>
                </w:tcPr>
                <w:p w14:paraId="56772F90">
                  <w:pPr>
                    <w:pStyle w:val="31"/>
                    <w:spacing w:before="0" w:after="0"/>
                    <w:rPr>
                      <w:color w:val="auto"/>
                      <w:sz w:val="21"/>
                      <w:highlight w:val="none"/>
                    </w:rPr>
                  </w:pPr>
                  <w:r>
                    <w:rPr>
                      <w:color w:val="auto"/>
                      <w:sz w:val="21"/>
                      <w:highlight w:val="none"/>
                    </w:rPr>
                    <w:t>60</w:t>
                  </w:r>
                </w:p>
              </w:tc>
              <w:tc>
                <w:tcPr>
                  <w:tcW w:w="710" w:type="dxa"/>
                  <w:tcBorders>
                    <w:tl2br w:val="nil"/>
                    <w:tr2bl w:val="nil"/>
                  </w:tcBorders>
                  <w:vAlign w:val="center"/>
                </w:tcPr>
                <w:p w14:paraId="5D8AE1F9">
                  <w:pPr>
                    <w:pStyle w:val="31"/>
                    <w:spacing w:before="0" w:after="0"/>
                    <w:rPr>
                      <w:color w:val="auto"/>
                      <w:sz w:val="21"/>
                      <w:highlight w:val="none"/>
                    </w:rPr>
                  </w:pPr>
                  <w:r>
                    <w:rPr>
                      <w:color w:val="auto"/>
                      <w:sz w:val="21"/>
                      <w:highlight w:val="none"/>
                    </w:rPr>
                    <w:t>54</w:t>
                  </w:r>
                </w:p>
              </w:tc>
              <w:tc>
                <w:tcPr>
                  <w:tcW w:w="710" w:type="dxa"/>
                  <w:tcBorders>
                    <w:tl2br w:val="nil"/>
                    <w:tr2bl w:val="nil"/>
                  </w:tcBorders>
                  <w:vAlign w:val="center"/>
                </w:tcPr>
                <w:p w14:paraId="3C15E2FB">
                  <w:pPr>
                    <w:pStyle w:val="31"/>
                    <w:spacing w:before="0" w:after="0"/>
                    <w:rPr>
                      <w:color w:val="auto"/>
                      <w:sz w:val="21"/>
                      <w:highlight w:val="none"/>
                    </w:rPr>
                  </w:pPr>
                  <w:r>
                    <w:rPr>
                      <w:color w:val="auto"/>
                      <w:sz w:val="21"/>
                      <w:highlight w:val="none"/>
                    </w:rPr>
                    <w:t>50</w:t>
                  </w:r>
                </w:p>
              </w:tc>
              <w:tc>
                <w:tcPr>
                  <w:tcW w:w="710" w:type="dxa"/>
                  <w:tcBorders>
                    <w:tl2br w:val="nil"/>
                    <w:tr2bl w:val="nil"/>
                  </w:tcBorders>
                  <w:vAlign w:val="center"/>
                </w:tcPr>
                <w:p w14:paraId="6C5397F2">
                  <w:pPr>
                    <w:pStyle w:val="31"/>
                    <w:spacing w:before="0" w:after="0"/>
                    <w:rPr>
                      <w:color w:val="auto"/>
                      <w:sz w:val="21"/>
                      <w:highlight w:val="none"/>
                    </w:rPr>
                  </w:pPr>
                  <w:r>
                    <w:rPr>
                      <w:color w:val="auto"/>
                      <w:sz w:val="21"/>
                      <w:highlight w:val="none"/>
                    </w:rPr>
                    <w:t>48</w:t>
                  </w:r>
                </w:p>
              </w:tc>
              <w:tc>
                <w:tcPr>
                  <w:tcW w:w="710" w:type="dxa"/>
                  <w:tcBorders>
                    <w:tl2br w:val="nil"/>
                    <w:tr2bl w:val="nil"/>
                  </w:tcBorders>
                  <w:vAlign w:val="center"/>
                </w:tcPr>
                <w:p w14:paraId="52467299">
                  <w:pPr>
                    <w:pStyle w:val="31"/>
                    <w:spacing w:before="0" w:after="0"/>
                    <w:rPr>
                      <w:color w:val="auto"/>
                      <w:sz w:val="21"/>
                      <w:highlight w:val="none"/>
                    </w:rPr>
                  </w:pPr>
                  <w:r>
                    <w:rPr>
                      <w:color w:val="auto"/>
                      <w:sz w:val="21"/>
                      <w:highlight w:val="none"/>
                    </w:rPr>
                    <w:t>46</w:t>
                  </w:r>
                </w:p>
              </w:tc>
              <w:tc>
                <w:tcPr>
                  <w:tcW w:w="710" w:type="dxa"/>
                  <w:tcBorders>
                    <w:tl2br w:val="nil"/>
                    <w:tr2bl w:val="nil"/>
                  </w:tcBorders>
                  <w:vAlign w:val="center"/>
                </w:tcPr>
                <w:p w14:paraId="67A5B6EB">
                  <w:pPr>
                    <w:pStyle w:val="31"/>
                    <w:spacing w:before="0" w:after="0"/>
                    <w:rPr>
                      <w:color w:val="auto"/>
                      <w:sz w:val="21"/>
                      <w:highlight w:val="none"/>
                    </w:rPr>
                  </w:pPr>
                  <w:r>
                    <w:rPr>
                      <w:color w:val="auto"/>
                      <w:sz w:val="21"/>
                      <w:highlight w:val="none"/>
                    </w:rPr>
                    <w:t>40</w:t>
                  </w:r>
                </w:p>
              </w:tc>
              <w:tc>
                <w:tcPr>
                  <w:tcW w:w="715" w:type="dxa"/>
                  <w:tcBorders>
                    <w:tl2br w:val="nil"/>
                    <w:tr2bl w:val="nil"/>
                  </w:tcBorders>
                  <w:vAlign w:val="center"/>
                </w:tcPr>
                <w:p w14:paraId="308B9383">
                  <w:pPr>
                    <w:pStyle w:val="31"/>
                    <w:spacing w:before="0" w:after="0"/>
                    <w:rPr>
                      <w:color w:val="auto"/>
                      <w:sz w:val="21"/>
                      <w:highlight w:val="none"/>
                    </w:rPr>
                  </w:pPr>
                </w:p>
              </w:tc>
              <w:tc>
                <w:tcPr>
                  <w:tcW w:w="997" w:type="dxa"/>
                  <w:tcBorders>
                    <w:tl2br w:val="nil"/>
                    <w:tr2bl w:val="nil"/>
                  </w:tcBorders>
                  <w:vAlign w:val="center"/>
                </w:tcPr>
                <w:p w14:paraId="352A06DD">
                  <w:pPr>
                    <w:pStyle w:val="31"/>
                    <w:spacing w:before="0" w:after="0"/>
                    <w:rPr>
                      <w:color w:val="auto"/>
                      <w:sz w:val="21"/>
                      <w:highlight w:val="none"/>
                    </w:rPr>
                  </w:pPr>
                  <w:r>
                    <w:rPr>
                      <w:color w:val="auto"/>
                      <w:sz w:val="21"/>
                      <w:highlight w:val="none"/>
                    </w:rPr>
                    <w:t>运料、装修</w:t>
                  </w:r>
                </w:p>
              </w:tc>
            </w:tr>
          </w:tbl>
          <w:p w14:paraId="16702896">
            <w:pPr>
              <w:spacing w:line="500" w:lineRule="exact"/>
              <w:ind w:firstLine="480"/>
              <w:rPr>
                <w:color w:val="auto"/>
                <w:highlight w:val="none"/>
              </w:rPr>
            </w:pPr>
            <w:r>
              <w:rPr>
                <w:color w:val="auto"/>
                <w:highlight w:val="none"/>
              </w:rPr>
              <w:t>根据</w:t>
            </w:r>
            <w:r>
              <w:rPr>
                <w:color w:val="auto"/>
                <w:highlight w:val="none"/>
                <w:lang w:val="zh-CN"/>
              </w:rPr>
              <w:t>《建筑施工场界环境噪声排放标准》（GB12523-2011）</w:t>
            </w:r>
            <w:r>
              <w:rPr>
                <w:color w:val="auto"/>
                <w:highlight w:val="none"/>
              </w:rPr>
              <w:t>中有关规定，由</w:t>
            </w:r>
            <w:r>
              <w:rPr>
                <w:rFonts w:hint="eastAsia"/>
                <w:color w:val="auto"/>
                <w:highlight w:val="none"/>
              </w:rPr>
              <w:t>上</w:t>
            </w:r>
            <w:r>
              <w:rPr>
                <w:color w:val="auto"/>
                <w:highlight w:val="none"/>
              </w:rPr>
              <w:t>表可以看出：</w:t>
            </w:r>
          </w:p>
          <w:p w14:paraId="78CA87A1">
            <w:pPr>
              <w:spacing w:line="500" w:lineRule="exact"/>
              <w:ind w:firstLine="480"/>
              <w:rPr>
                <w:color w:val="auto"/>
                <w:highlight w:val="none"/>
              </w:rPr>
            </w:pPr>
            <w:r>
              <w:rPr>
                <w:color w:val="auto"/>
                <w:highlight w:val="none"/>
              </w:rPr>
              <w:t>①土石方施工阶段：施工现场昼间20m处，夜间100m处即可达到《建筑施工场界环境噪声排放标准》（GB12523-2011）要求，即：昼间70 dB（A）、夜间55 dB（A）。</w:t>
            </w:r>
          </w:p>
          <w:p w14:paraId="745DBB7A">
            <w:pPr>
              <w:spacing w:line="500" w:lineRule="exact"/>
              <w:ind w:firstLine="480"/>
              <w:rPr>
                <w:color w:val="auto"/>
                <w:highlight w:val="none"/>
              </w:rPr>
            </w:pPr>
            <w:r>
              <w:rPr>
                <w:color w:val="auto"/>
                <w:highlight w:val="none"/>
              </w:rPr>
              <w:t>②结构</w:t>
            </w:r>
            <w:r>
              <w:rPr>
                <w:rFonts w:hint="eastAsia"/>
                <w:color w:val="auto"/>
                <w:highlight w:val="none"/>
              </w:rPr>
              <w:t>和装修</w:t>
            </w:r>
            <w:r>
              <w:rPr>
                <w:color w:val="auto"/>
                <w:highlight w:val="none"/>
              </w:rPr>
              <w:t>施工阶段：施工现场昼间5m处，夜间20m处可达到《建筑施工场界环境噪声排放标准》（GB12523-2011）要求，即昼间70dB（A）、夜间55 dB（A）。</w:t>
            </w:r>
          </w:p>
          <w:p w14:paraId="62C7DC99">
            <w:pPr>
              <w:spacing w:line="500" w:lineRule="exact"/>
              <w:ind w:firstLine="480"/>
              <w:rPr>
                <w:color w:val="auto"/>
                <w:highlight w:val="none"/>
              </w:rPr>
            </w:pPr>
            <w:r>
              <w:rPr>
                <w:color w:val="auto"/>
                <w:highlight w:val="none"/>
              </w:rPr>
              <w:t>噪声影响范围主要在100m以内，噪声为暂时性的，影响短暂、范围小，随着施工的结束而消除。</w:t>
            </w:r>
          </w:p>
          <w:p w14:paraId="23508015">
            <w:pPr>
              <w:spacing w:line="500" w:lineRule="exact"/>
              <w:ind w:firstLine="480"/>
              <w:rPr>
                <w:color w:val="auto"/>
                <w:highlight w:val="none"/>
              </w:rPr>
            </w:pPr>
            <w:r>
              <w:rPr>
                <w:rFonts w:hint="eastAsia"/>
                <w:color w:val="auto"/>
                <w:highlight w:val="none"/>
              </w:rPr>
              <w:t>本项目施工作业区距离项目四周场界最近的距离大约分别为东侧</w:t>
            </w:r>
            <w:r>
              <w:rPr>
                <w:rFonts w:hint="eastAsia"/>
                <w:color w:val="auto"/>
                <w:highlight w:val="none"/>
                <w:lang w:val="en-US" w:eastAsia="zh-CN"/>
              </w:rPr>
              <w:t>1</w:t>
            </w:r>
            <w:r>
              <w:rPr>
                <w:rFonts w:hint="eastAsia"/>
                <w:color w:val="auto"/>
                <w:highlight w:val="none"/>
              </w:rPr>
              <w:t>m、南侧</w:t>
            </w:r>
            <w:r>
              <w:rPr>
                <w:rFonts w:hint="eastAsia"/>
                <w:color w:val="auto"/>
                <w:highlight w:val="none"/>
                <w:lang w:val="en-US" w:eastAsia="zh-CN"/>
              </w:rPr>
              <w:t>1</w:t>
            </w:r>
            <w:r>
              <w:rPr>
                <w:rFonts w:hint="eastAsia"/>
                <w:color w:val="auto"/>
                <w:highlight w:val="none"/>
              </w:rPr>
              <w:t>m、西侧</w:t>
            </w:r>
            <w:r>
              <w:rPr>
                <w:rFonts w:hint="eastAsia"/>
                <w:color w:val="auto"/>
                <w:highlight w:val="none"/>
                <w:lang w:val="en-US" w:eastAsia="zh-CN"/>
              </w:rPr>
              <w:t>1</w:t>
            </w:r>
            <w:r>
              <w:rPr>
                <w:rFonts w:hint="eastAsia"/>
                <w:color w:val="auto"/>
                <w:highlight w:val="none"/>
              </w:rPr>
              <w:t>m、北侧1m</w:t>
            </w:r>
            <w:r>
              <w:rPr>
                <w:color w:val="auto"/>
                <w:highlight w:val="none"/>
              </w:rPr>
              <w:t>施工阶段</w:t>
            </w:r>
            <w:r>
              <w:rPr>
                <w:rFonts w:hint="eastAsia"/>
                <w:color w:val="auto"/>
                <w:highlight w:val="none"/>
              </w:rPr>
              <w:t>四周场界昼</w:t>
            </w:r>
            <w:r>
              <w:rPr>
                <w:rFonts w:hint="eastAsia"/>
                <w:color w:val="auto"/>
                <w:highlight w:val="none"/>
                <w:lang w:val="en-US" w:eastAsia="zh-CN"/>
              </w:rPr>
              <w:t>间</w:t>
            </w:r>
            <w:r>
              <w:rPr>
                <w:rFonts w:hint="eastAsia"/>
                <w:color w:val="auto"/>
                <w:highlight w:val="none"/>
              </w:rPr>
              <w:t>均不满足</w:t>
            </w:r>
            <w:r>
              <w:rPr>
                <w:color w:val="auto"/>
                <w:highlight w:val="none"/>
              </w:rPr>
              <w:t>《建筑施工场界环境噪声排放标准》（GB12523-2011）</w:t>
            </w:r>
            <w:r>
              <w:rPr>
                <w:rFonts w:hint="eastAsia"/>
                <w:color w:val="auto"/>
                <w:highlight w:val="none"/>
              </w:rPr>
              <w:t>要求</w:t>
            </w:r>
            <w:r>
              <w:rPr>
                <w:rFonts w:hint="eastAsia"/>
                <w:color w:val="auto"/>
                <w:highlight w:val="none"/>
                <w:lang w:eastAsia="zh-CN"/>
              </w:rPr>
              <w:t>，</w:t>
            </w:r>
            <w:r>
              <w:rPr>
                <w:rFonts w:hint="eastAsia"/>
                <w:color w:val="auto"/>
                <w:highlight w:val="none"/>
                <w:lang w:val="en-US" w:eastAsia="zh-CN"/>
              </w:rPr>
              <w:t>夜间不施工</w:t>
            </w:r>
            <w:r>
              <w:rPr>
                <w:rFonts w:hint="eastAsia"/>
                <w:color w:val="auto"/>
                <w:highlight w:val="none"/>
              </w:rPr>
              <w:t>。</w:t>
            </w:r>
          </w:p>
          <w:p w14:paraId="23E96C42">
            <w:pPr>
              <w:spacing w:line="500" w:lineRule="exact"/>
              <w:ind w:firstLine="480"/>
              <w:rPr>
                <w:color w:val="auto"/>
                <w:highlight w:val="none"/>
              </w:rPr>
            </w:pPr>
            <w:r>
              <w:rPr>
                <w:color w:val="auto"/>
                <w:highlight w:val="none"/>
              </w:rPr>
              <w:t>（2）施工机械噪声对周围</w:t>
            </w:r>
            <w:r>
              <w:rPr>
                <w:rFonts w:hint="eastAsia"/>
                <w:color w:val="auto"/>
                <w:highlight w:val="none"/>
              </w:rPr>
              <w:t>环境保护目标</w:t>
            </w:r>
            <w:r>
              <w:rPr>
                <w:color w:val="auto"/>
                <w:highlight w:val="none"/>
              </w:rPr>
              <w:t>的影响分析</w:t>
            </w:r>
          </w:p>
          <w:p w14:paraId="017F5F72">
            <w:pPr>
              <w:ind w:firstLine="480"/>
              <w:rPr>
                <w:color w:val="auto"/>
                <w:highlight w:val="none"/>
                <w:lang w:val="zh-CN"/>
              </w:rPr>
            </w:pPr>
            <w:r>
              <w:rPr>
                <w:color w:val="auto"/>
                <w:highlight w:val="none"/>
              </w:rPr>
              <w:t>根据现场踏勘可知，本项目</w:t>
            </w:r>
            <w:r>
              <w:rPr>
                <w:rFonts w:hint="eastAsia"/>
                <w:color w:val="auto"/>
                <w:highlight w:val="none"/>
              </w:rPr>
              <w:t>本项目</w:t>
            </w:r>
            <w:r>
              <w:rPr>
                <w:rFonts w:hint="eastAsia"/>
                <w:color w:val="auto"/>
                <w:highlight w:val="none"/>
                <w:lang w:val="en-US" w:eastAsia="zh-CN"/>
              </w:rPr>
              <w:t>100m范围内的声环境保护目标为</w:t>
            </w:r>
            <w:r>
              <w:rPr>
                <w:rFonts w:hint="eastAsia"/>
                <w:color w:val="auto"/>
                <w:sz w:val="24"/>
                <w:szCs w:val="24"/>
                <w:highlight w:val="none"/>
                <w:lang w:val="en-US" w:eastAsia="zh-CN"/>
              </w:rPr>
              <w:t>南侧56m处的国贸府</w:t>
            </w:r>
            <w:r>
              <w:rPr>
                <w:rFonts w:hint="eastAsia"/>
                <w:color w:val="auto"/>
                <w:highlight w:val="none"/>
              </w:rPr>
              <w:t>，因此，项目建设过程</w:t>
            </w:r>
            <w:r>
              <w:rPr>
                <w:rFonts w:hint="eastAsia"/>
                <w:color w:val="auto"/>
                <w:highlight w:val="none"/>
                <w:lang w:val="en-US" w:eastAsia="zh-CN"/>
              </w:rPr>
              <w:t>需严格落实本项目提出的噪声防护措施，减小施工过程对声环境保护目标的影响</w:t>
            </w:r>
            <w:r>
              <w:rPr>
                <w:rFonts w:hint="eastAsia"/>
                <w:color w:val="auto"/>
                <w:highlight w:val="none"/>
              </w:rPr>
              <w:t>。</w:t>
            </w:r>
          </w:p>
          <w:p w14:paraId="4DADA48C">
            <w:pPr>
              <w:spacing w:line="500" w:lineRule="exact"/>
              <w:ind w:firstLine="482"/>
              <w:rPr>
                <w:b/>
                <w:bCs/>
                <w:color w:val="auto"/>
                <w:highlight w:val="none"/>
              </w:rPr>
            </w:pPr>
            <w:r>
              <w:rPr>
                <w:b/>
                <w:bCs/>
                <w:color w:val="auto"/>
                <w:highlight w:val="none"/>
              </w:rPr>
              <w:t>3.3 施工期噪声防护措施</w:t>
            </w:r>
          </w:p>
          <w:p w14:paraId="0D3744F3">
            <w:pPr>
              <w:spacing w:line="500" w:lineRule="exact"/>
              <w:ind w:firstLine="480"/>
              <w:rPr>
                <w:color w:val="auto"/>
                <w:highlight w:val="none"/>
                <w:lang w:val="zh-CN"/>
              </w:rPr>
            </w:pPr>
            <w:r>
              <w:rPr>
                <w:color w:val="auto"/>
                <w:highlight w:val="none"/>
              </w:rPr>
              <w:t>噪声防护措施通常有两种：一是降低噪声源；二是控制传播途径。</w:t>
            </w:r>
            <w:r>
              <w:rPr>
                <w:rFonts w:hint="eastAsia"/>
                <w:color w:val="auto"/>
                <w:highlight w:val="none"/>
              </w:rPr>
              <w:t>为最大限度避免和减轻施工噪声对外环境的影响，本评价对施工噪声的控制提出以下要求和建议：</w:t>
            </w:r>
          </w:p>
          <w:p w14:paraId="3C9C5349">
            <w:pPr>
              <w:ind w:firstLine="480"/>
              <w:rPr>
                <w:color w:val="auto"/>
                <w:highlight w:val="none"/>
              </w:rPr>
            </w:pPr>
            <w:r>
              <w:rPr>
                <w:rFonts w:hint="eastAsia"/>
                <w:color w:val="auto"/>
                <w:highlight w:val="none"/>
              </w:rPr>
              <w:t>（1）</w:t>
            </w:r>
            <w:r>
              <w:rPr>
                <w:color w:val="auto"/>
                <w:highlight w:val="none"/>
                <w:lang w:val="zh-CN"/>
              </w:rPr>
              <w:t>选用符合国家标准的低噪声设备，</w:t>
            </w:r>
            <w:r>
              <w:rPr>
                <w:rFonts w:hint="eastAsia"/>
                <w:color w:val="auto"/>
                <w:highlight w:val="none"/>
              </w:rPr>
              <w:t>对各种机械设备加强检查、维护和保养，保持润滑，紧固各部件，严格按操作规程使用各类机械，以减少机械运行振动噪声。</w:t>
            </w:r>
          </w:p>
          <w:p w14:paraId="20E7B5C3">
            <w:pPr>
              <w:ind w:firstLine="480"/>
              <w:rPr>
                <w:color w:val="auto"/>
                <w:highlight w:val="none"/>
              </w:rPr>
            </w:pPr>
            <w:r>
              <w:rPr>
                <w:rFonts w:hint="eastAsia"/>
                <w:color w:val="auto"/>
                <w:highlight w:val="none"/>
              </w:rPr>
              <w:t>（2）合理安排施工进度，对施工设备进行合理布局，将高噪声施工设备分散安排，并设置不小于1.8m高的围挡，以减少施工噪声对环境保护目标的影响。</w:t>
            </w:r>
          </w:p>
          <w:p w14:paraId="3414307D">
            <w:pPr>
              <w:ind w:firstLine="480"/>
              <w:rPr>
                <w:color w:val="auto"/>
                <w:highlight w:val="none"/>
              </w:rPr>
            </w:pPr>
            <w:r>
              <w:rPr>
                <w:rFonts w:hint="eastAsia"/>
                <w:color w:val="auto"/>
                <w:highlight w:val="none"/>
              </w:rPr>
              <w:t>（3）合理安排施工时间，中午和夜间禁止施工。</w:t>
            </w:r>
          </w:p>
          <w:p w14:paraId="41A40B9D">
            <w:pPr>
              <w:ind w:firstLine="480"/>
              <w:rPr>
                <w:color w:val="auto"/>
                <w:highlight w:val="none"/>
              </w:rPr>
            </w:pPr>
            <w:r>
              <w:rPr>
                <w:rFonts w:hint="eastAsia"/>
                <w:color w:val="auto"/>
                <w:highlight w:val="none"/>
              </w:rPr>
              <w:t>（4）各运输建筑材料及建筑垃圾的车辆要选择合适的时间、路线进行运输，运输车辆行驶路线尽量避开居民点和环境保护目标，车辆出入现场时应低速、禁鸣。</w:t>
            </w:r>
          </w:p>
          <w:p w14:paraId="30B20EDC">
            <w:pPr>
              <w:spacing w:line="500" w:lineRule="exact"/>
              <w:ind w:firstLine="480"/>
              <w:rPr>
                <w:color w:val="auto"/>
                <w:highlight w:val="none"/>
              </w:rPr>
            </w:pPr>
            <w:r>
              <w:rPr>
                <w:rFonts w:hint="eastAsia"/>
                <w:color w:val="auto"/>
                <w:highlight w:val="none"/>
              </w:rPr>
              <w:t>（5）</w:t>
            </w:r>
            <w:r>
              <w:rPr>
                <w:color w:val="auto"/>
                <w:highlight w:val="none"/>
                <w:lang w:val="zh-CN"/>
              </w:rPr>
              <w:t>加强施工管理，</w:t>
            </w:r>
            <w:r>
              <w:rPr>
                <w:rFonts w:hint="eastAsia"/>
                <w:color w:val="auto"/>
                <w:highlight w:val="none"/>
              </w:rPr>
              <w:t>文明施工，建立健全控制人为噪声的管理制度，增强施工人员的环保意识，提高防止噪声扰民的自觉性，减少人为噪声污染；在施工现场以及办公区，禁止大声喧哗吵闹或敲击工具等；作业中搬运物件，须轻拿轻放，钢铁件堆放不发出大的声响，严禁抛掷物件。</w:t>
            </w:r>
          </w:p>
          <w:p w14:paraId="1584D1F8">
            <w:pPr>
              <w:spacing w:line="500" w:lineRule="exact"/>
              <w:ind w:firstLine="480"/>
              <w:rPr>
                <w:color w:val="auto"/>
                <w:highlight w:val="none"/>
              </w:rPr>
            </w:pPr>
            <w:r>
              <w:rPr>
                <w:color w:val="auto"/>
                <w:highlight w:val="none"/>
              </w:rPr>
              <w:t>经上述措施，可有效控制噪声对周围环境的影响。并且施工期噪声的影响是暂时的、局部的，采取一定的降噪措施、妥善安排作业计划、做到文明施工，其影响程度将大大减轻并随着施工期的结束而消失。</w:t>
            </w:r>
          </w:p>
          <w:p w14:paraId="3F59883B">
            <w:pPr>
              <w:spacing w:line="500" w:lineRule="exact"/>
              <w:ind w:firstLine="0" w:firstLineChars="0"/>
              <w:rPr>
                <w:b/>
                <w:bCs/>
                <w:color w:val="auto"/>
                <w:highlight w:val="none"/>
              </w:rPr>
            </w:pPr>
            <w:r>
              <w:rPr>
                <w:b/>
                <w:bCs/>
                <w:color w:val="auto"/>
                <w:highlight w:val="none"/>
              </w:rPr>
              <w:t>4</w:t>
            </w:r>
            <w:r>
              <w:rPr>
                <w:rFonts w:hint="eastAsia"/>
                <w:b/>
                <w:bCs/>
                <w:color w:val="auto"/>
                <w:highlight w:val="none"/>
              </w:rPr>
              <w:t>、</w:t>
            </w:r>
            <w:r>
              <w:rPr>
                <w:b/>
                <w:bCs/>
                <w:color w:val="auto"/>
                <w:highlight w:val="none"/>
              </w:rPr>
              <w:t>施工期固体废物影响分析</w:t>
            </w:r>
          </w:p>
          <w:p w14:paraId="16AA88AB">
            <w:pPr>
              <w:spacing w:line="500" w:lineRule="exact"/>
              <w:ind w:firstLine="480"/>
              <w:rPr>
                <w:color w:val="auto"/>
                <w:highlight w:val="none"/>
              </w:rPr>
            </w:pPr>
            <w:r>
              <w:rPr>
                <w:color w:val="auto"/>
                <w:highlight w:val="none"/>
              </w:rPr>
              <w:t>施工期产生的固体废物主要为施工过程中产生的建筑垃圾和施工人员的生活垃圾，这些垃圾成分较为简单，数量很大，应集中处理，及时清运，根据不同的成分采用不同的处理方式：</w:t>
            </w:r>
          </w:p>
          <w:p w14:paraId="66785822">
            <w:pPr>
              <w:spacing w:line="500" w:lineRule="exact"/>
              <w:ind w:firstLine="480"/>
              <w:rPr>
                <w:color w:val="auto"/>
                <w:highlight w:val="none"/>
              </w:rPr>
            </w:pPr>
            <w:r>
              <w:rPr>
                <w:color w:val="auto"/>
                <w:highlight w:val="none"/>
              </w:rPr>
              <w:t>（1）清场废物处置：应及时清运。表层土可集中堆存，用作绿化用土，不适于土地利用的表土可供附近填筑低凹地，或作其他用土。</w:t>
            </w:r>
          </w:p>
          <w:p w14:paraId="4D580ED7">
            <w:pPr>
              <w:spacing w:line="500" w:lineRule="exact"/>
              <w:ind w:firstLine="480"/>
              <w:rPr>
                <w:color w:val="auto"/>
                <w:highlight w:val="none"/>
              </w:rPr>
            </w:pPr>
            <w:r>
              <w:rPr>
                <w:color w:val="auto"/>
                <w:highlight w:val="none"/>
              </w:rPr>
              <w:t>（2）施工弃土处置：地基开挖的废土除部分回填外，应统一规划处置，对弃土应设立堆土场，进行集中处置。</w:t>
            </w:r>
          </w:p>
          <w:p w14:paraId="029DDF37">
            <w:pPr>
              <w:spacing w:line="500" w:lineRule="exact"/>
              <w:ind w:firstLine="480"/>
              <w:rPr>
                <w:color w:val="auto"/>
                <w:highlight w:val="none"/>
              </w:rPr>
            </w:pPr>
            <w:r>
              <w:rPr>
                <w:color w:val="auto"/>
                <w:highlight w:val="none"/>
              </w:rPr>
              <w:t>（3）施工生产废料处理：首先应考虑废料的回收利用。对钢筋、钢板等下角料可分类回收利用；对建筑垃圾，如混凝土废料、含砖、石、砂的杂土应集中堆放，定时清运到城市建设监管部门指定的地点。</w:t>
            </w:r>
          </w:p>
          <w:p w14:paraId="5905D720">
            <w:pPr>
              <w:widowControl/>
              <w:tabs>
                <w:tab w:val="left" w:pos="360"/>
              </w:tabs>
              <w:spacing w:line="500" w:lineRule="exact"/>
              <w:ind w:firstLine="480"/>
              <w:rPr>
                <w:color w:val="auto"/>
                <w:highlight w:val="none"/>
              </w:rPr>
            </w:pPr>
            <w:r>
              <w:rPr>
                <w:color w:val="auto"/>
                <w:highlight w:val="none"/>
              </w:rPr>
              <w:t>（4）施工生活垃圾处置：在施工人员集中地设置垃圾筒，指派专人定期将垃圾定时清运至城市垃圾处理场。</w:t>
            </w:r>
          </w:p>
          <w:p w14:paraId="775E7127">
            <w:pPr>
              <w:spacing w:line="500" w:lineRule="exact"/>
              <w:ind w:firstLine="0" w:firstLineChars="0"/>
              <w:rPr>
                <w:b/>
                <w:bCs/>
                <w:color w:val="auto"/>
                <w:highlight w:val="none"/>
              </w:rPr>
            </w:pPr>
            <w:r>
              <w:rPr>
                <w:rFonts w:hint="eastAsia"/>
                <w:b/>
                <w:bCs/>
                <w:color w:val="auto"/>
                <w:highlight w:val="none"/>
              </w:rPr>
              <w:t>5、</w:t>
            </w:r>
            <w:r>
              <w:rPr>
                <w:b/>
                <w:bCs/>
                <w:color w:val="auto"/>
                <w:highlight w:val="none"/>
              </w:rPr>
              <w:t>施工期</w:t>
            </w:r>
            <w:r>
              <w:rPr>
                <w:rFonts w:hint="eastAsia"/>
                <w:b/>
                <w:bCs/>
                <w:color w:val="auto"/>
                <w:highlight w:val="none"/>
              </w:rPr>
              <w:t>生态</w:t>
            </w:r>
            <w:r>
              <w:rPr>
                <w:b/>
                <w:bCs/>
                <w:color w:val="auto"/>
                <w:highlight w:val="none"/>
              </w:rPr>
              <w:t>影响分析</w:t>
            </w:r>
          </w:p>
          <w:p w14:paraId="6B61C866">
            <w:pPr>
              <w:ind w:firstLine="480"/>
              <w:rPr>
                <w:color w:val="auto"/>
                <w:szCs w:val="22"/>
                <w:highlight w:val="none"/>
              </w:rPr>
            </w:pPr>
            <w:r>
              <w:rPr>
                <w:color w:val="auto"/>
                <w:szCs w:val="22"/>
                <w:highlight w:val="none"/>
              </w:rPr>
              <w:t>本项目施工过程中将进行少量的土石方填挖，同时有一定量的施工机械及人员活动。施工期对区域生态环境的影响主要表现在土壤扰动后，随着地表植被的破坏，可能造成土壤的侵蚀及水土流失。项目建设过程中应精心规划用地，合理安排施工，尽量减少施工开挖面积。加强施工人员生态保护教育，施工过程中尽量减少植被破坏，各种施工活动应严格控制在施工区域内，以免造成植被不必要的破坏。</w:t>
            </w:r>
            <w:r>
              <w:rPr>
                <w:rFonts w:hint="eastAsia"/>
                <w:color w:val="auto"/>
                <w:szCs w:val="22"/>
                <w:highlight w:val="none"/>
              </w:rPr>
              <w:t>项目在施工现场设置防溢流围挡，开挖作业面采取覆盖措施，可避免水土流失。项目施工期的生态影响均控制在项目占地范围内，不会对场界外生态环境产生影响。</w:t>
            </w:r>
          </w:p>
          <w:p w14:paraId="7AB03214">
            <w:pPr>
              <w:bidi w:val="0"/>
              <w:rPr>
                <w:rFonts w:hint="default"/>
                <w:color w:val="auto"/>
                <w:highlight w:val="none"/>
                <w:lang w:val="en-US" w:eastAsia="zh-CN"/>
              </w:rPr>
            </w:pPr>
          </w:p>
          <w:p w14:paraId="51154652">
            <w:pPr>
              <w:bidi w:val="0"/>
              <w:rPr>
                <w:rFonts w:hint="default"/>
                <w:color w:val="auto"/>
                <w:highlight w:val="none"/>
                <w:lang w:val="en-US" w:eastAsia="zh-CN"/>
              </w:rPr>
            </w:pPr>
          </w:p>
          <w:p w14:paraId="1323CD1C">
            <w:pPr>
              <w:bidi w:val="0"/>
              <w:rPr>
                <w:rFonts w:hint="default"/>
                <w:color w:val="auto"/>
                <w:highlight w:val="none"/>
                <w:lang w:val="en-US" w:eastAsia="zh-CN"/>
              </w:rPr>
            </w:pPr>
          </w:p>
          <w:p w14:paraId="72CD8553">
            <w:pPr>
              <w:bidi w:val="0"/>
              <w:rPr>
                <w:rFonts w:hint="default"/>
                <w:color w:val="auto"/>
                <w:highlight w:val="none"/>
                <w:lang w:val="en-US" w:eastAsia="zh-CN"/>
              </w:rPr>
            </w:pPr>
          </w:p>
          <w:p w14:paraId="6F44D100">
            <w:pPr>
              <w:bidi w:val="0"/>
              <w:rPr>
                <w:rFonts w:hint="default"/>
                <w:color w:val="auto"/>
                <w:highlight w:val="none"/>
                <w:lang w:val="en-US" w:eastAsia="zh-CN"/>
              </w:rPr>
            </w:pPr>
          </w:p>
          <w:p w14:paraId="56F7C1BF">
            <w:pPr>
              <w:bidi w:val="0"/>
              <w:rPr>
                <w:rFonts w:hint="default"/>
                <w:color w:val="auto"/>
                <w:highlight w:val="none"/>
                <w:lang w:val="en-US" w:eastAsia="zh-CN"/>
              </w:rPr>
            </w:pPr>
          </w:p>
          <w:p w14:paraId="2B8A96C0">
            <w:pPr>
              <w:bidi w:val="0"/>
              <w:rPr>
                <w:rFonts w:hint="default"/>
                <w:color w:val="auto"/>
                <w:highlight w:val="none"/>
                <w:lang w:val="en-US" w:eastAsia="zh-CN"/>
              </w:rPr>
            </w:pPr>
          </w:p>
          <w:p w14:paraId="0367523D">
            <w:pPr>
              <w:bidi w:val="0"/>
              <w:rPr>
                <w:rFonts w:hint="default"/>
                <w:color w:val="auto"/>
                <w:highlight w:val="none"/>
                <w:lang w:val="en-US" w:eastAsia="zh-CN"/>
              </w:rPr>
            </w:pPr>
          </w:p>
          <w:p w14:paraId="12489DB6">
            <w:pPr>
              <w:bidi w:val="0"/>
              <w:ind w:left="0" w:leftChars="0" w:firstLine="0" w:firstLineChars="0"/>
              <w:rPr>
                <w:rFonts w:hint="eastAsia"/>
                <w:color w:val="auto"/>
                <w:highlight w:val="none"/>
                <w:lang w:val="en-US" w:eastAsia="zh-CN"/>
              </w:rPr>
            </w:pPr>
          </w:p>
        </w:tc>
      </w:tr>
    </w:tbl>
    <w:p w14:paraId="20E9412D">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14173"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61"/>
        <w:gridCol w:w="13312"/>
      </w:tblGrid>
      <w:tr w14:paraId="7EC5AC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61" w:type="dxa"/>
            <w:tcBorders>
              <w:tl2br w:val="nil"/>
              <w:tr2bl w:val="nil"/>
            </w:tcBorders>
            <w:shd w:val="clear" w:color="auto" w:fill="FFFFFF"/>
            <w:noWrap w:val="0"/>
            <w:tcMar>
              <w:left w:w="28" w:type="dxa"/>
              <w:right w:w="28" w:type="dxa"/>
            </w:tcMar>
            <w:vAlign w:val="center"/>
          </w:tcPr>
          <w:p w14:paraId="6C7C1D4A">
            <w:pPr>
              <w:pStyle w:val="31"/>
              <w:bidi w:val="0"/>
              <w:rPr>
                <w:rFonts w:hint="eastAsia"/>
                <w:color w:val="auto"/>
                <w:sz w:val="24"/>
                <w:szCs w:val="24"/>
                <w:highlight w:val="none"/>
              </w:rPr>
            </w:pPr>
            <w:r>
              <w:rPr>
                <w:rFonts w:hint="eastAsia"/>
                <w:color w:val="auto"/>
                <w:sz w:val="24"/>
                <w:szCs w:val="24"/>
                <w:highlight w:val="none"/>
              </w:rPr>
              <w:t>运营</w:t>
            </w:r>
          </w:p>
          <w:p w14:paraId="652EE89F">
            <w:pPr>
              <w:pStyle w:val="31"/>
              <w:bidi w:val="0"/>
              <w:rPr>
                <w:rFonts w:hint="eastAsia"/>
                <w:color w:val="auto"/>
                <w:sz w:val="24"/>
                <w:szCs w:val="24"/>
                <w:highlight w:val="none"/>
              </w:rPr>
            </w:pPr>
            <w:r>
              <w:rPr>
                <w:rFonts w:hint="eastAsia"/>
                <w:color w:val="auto"/>
                <w:sz w:val="24"/>
                <w:szCs w:val="24"/>
                <w:highlight w:val="none"/>
              </w:rPr>
              <w:t>期环</w:t>
            </w:r>
          </w:p>
          <w:p w14:paraId="15D5EE83">
            <w:pPr>
              <w:pStyle w:val="31"/>
              <w:bidi w:val="0"/>
              <w:rPr>
                <w:rFonts w:hint="eastAsia"/>
                <w:color w:val="auto"/>
                <w:sz w:val="24"/>
                <w:szCs w:val="24"/>
                <w:highlight w:val="none"/>
              </w:rPr>
            </w:pPr>
            <w:r>
              <w:rPr>
                <w:rFonts w:hint="eastAsia"/>
                <w:color w:val="auto"/>
                <w:sz w:val="24"/>
                <w:szCs w:val="24"/>
                <w:highlight w:val="none"/>
              </w:rPr>
              <w:t>境影</w:t>
            </w:r>
          </w:p>
          <w:p w14:paraId="3789B93E">
            <w:pPr>
              <w:pStyle w:val="31"/>
              <w:bidi w:val="0"/>
              <w:rPr>
                <w:rFonts w:hint="eastAsia"/>
                <w:color w:val="auto"/>
                <w:sz w:val="24"/>
                <w:szCs w:val="24"/>
                <w:highlight w:val="none"/>
              </w:rPr>
            </w:pPr>
            <w:r>
              <w:rPr>
                <w:rFonts w:hint="eastAsia"/>
                <w:color w:val="auto"/>
                <w:sz w:val="24"/>
                <w:szCs w:val="24"/>
                <w:highlight w:val="none"/>
              </w:rPr>
              <w:t>响和</w:t>
            </w:r>
          </w:p>
          <w:p w14:paraId="27370668">
            <w:pPr>
              <w:pStyle w:val="31"/>
              <w:bidi w:val="0"/>
              <w:rPr>
                <w:rFonts w:hint="eastAsia"/>
                <w:color w:val="auto"/>
                <w:sz w:val="24"/>
                <w:szCs w:val="24"/>
                <w:highlight w:val="none"/>
              </w:rPr>
            </w:pPr>
            <w:r>
              <w:rPr>
                <w:rFonts w:hint="eastAsia"/>
                <w:color w:val="auto"/>
                <w:sz w:val="24"/>
                <w:szCs w:val="24"/>
                <w:highlight w:val="none"/>
              </w:rPr>
              <w:t>保护</w:t>
            </w:r>
          </w:p>
          <w:p w14:paraId="2667F6F7">
            <w:pPr>
              <w:pStyle w:val="31"/>
              <w:bidi w:val="0"/>
              <w:rPr>
                <w:rFonts w:hint="eastAsia"/>
                <w:color w:val="auto"/>
                <w:sz w:val="24"/>
                <w:szCs w:val="24"/>
                <w:highlight w:val="none"/>
              </w:rPr>
            </w:pPr>
            <w:r>
              <w:rPr>
                <w:rFonts w:hint="eastAsia"/>
                <w:color w:val="auto"/>
                <w:sz w:val="24"/>
                <w:szCs w:val="24"/>
                <w:highlight w:val="none"/>
              </w:rPr>
              <w:t>措施</w:t>
            </w:r>
          </w:p>
        </w:tc>
        <w:tc>
          <w:tcPr>
            <w:tcW w:w="13312" w:type="dxa"/>
            <w:tcBorders>
              <w:tl2br w:val="nil"/>
              <w:tr2bl w:val="nil"/>
            </w:tcBorders>
            <w:shd w:val="clear" w:color="auto" w:fill="FFFFFF"/>
            <w:noWrap w:val="0"/>
            <w:vAlign w:val="top"/>
          </w:tcPr>
          <w:p w14:paraId="5A0D6C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default"/>
                <w:b/>
                <w:bCs/>
                <w:color w:val="auto"/>
                <w:highlight w:val="none"/>
                <w:lang w:val="en-US" w:eastAsia="zh-CN"/>
              </w:rPr>
            </w:pPr>
            <w:r>
              <w:rPr>
                <w:rFonts w:hint="default"/>
                <w:b/>
                <w:bCs/>
                <w:color w:val="auto"/>
                <w:highlight w:val="none"/>
              </w:rPr>
              <w:t>1</w:t>
            </w:r>
            <w:r>
              <w:rPr>
                <w:rFonts w:hint="eastAsia"/>
                <w:b/>
                <w:bCs/>
                <w:color w:val="auto"/>
                <w:highlight w:val="none"/>
                <w:lang w:eastAsia="zh-CN"/>
              </w:rPr>
              <w:t>、</w:t>
            </w:r>
            <w:r>
              <w:rPr>
                <w:rFonts w:hint="eastAsia"/>
                <w:b/>
                <w:bCs/>
                <w:color w:val="auto"/>
                <w:highlight w:val="none"/>
                <w:lang w:val="en-US" w:eastAsia="zh-CN"/>
              </w:rPr>
              <w:t>废气</w:t>
            </w:r>
          </w:p>
          <w:p w14:paraId="34EC2BE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right="0" w:firstLine="482" w:firstLineChars="200"/>
              <w:textAlignment w:val="auto"/>
              <w:rPr>
                <w:rFonts w:hint="default"/>
                <w:b/>
                <w:bCs/>
                <w:color w:val="auto"/>
                <w:highlight w:val="none"/>
              </w:rPr>
            </w:pPr>
            <w:r>
              <w:rPr>
                <w:rFonts w:hint="eastAsia"/>
                <w:b/>
                <w:bCs/>
                <w:color w:val="auto"/>
                <w:highlight w:val="none"/>
                <w:lang w:val="en-US" w:eastAsia="zh-CN"/>
              </w:rPr>
              <w:t>1.1</w:t>
            </w:r>
            <w:r>
              <w:rPr>
                <w:rFonts w:hint="eastAsia"/>
                <w:b/>
                <w:bCs/>
                <w:color w:val="auto"/>
                <w:highlight w:val="none"/>
                <w:lang w:eastAsia="zh-CN"/>
              </w:rPr>
              <w:t>废气源强及治理措施</w:t>
            </w:r>
          </w:p>
          <w:p w14:paraId="2F1754FB">
            <w:pPr>
              <w:pStyle w:val="33"/>
              <w:bidi w:val="0"/>
              <w:rPr>
                <w:rFonts w:hint="eastAsia"/>
                <w:color w:val="auto"/>
                <w:sz w:val="21"/>
                <w:szCs w:val="21"/>
                <w:highlight w:val="none"/>
                <w:lang w:val="en-US" w:eastAsia="zh-CN"/>
              </w:rPr>
            </w:pPr>
            <w:r>
              <w:rPr>
                <w:rFonts w:hint="eastAsia"/>
                <w:color w:val="auto"/>
                <w:sz w:val="21"/>
                <w:szCs w:val="21"/>
                <w:highlight w:val="none"/>
                <w:lang w:eastAsia="zh-CN"/>
              </w:rPr>
              <w:t>表</w:t>
            </w:r>
            <w:r>
              <w:rPr>
                <w:rFonts w:hint="eastAsia"/>
                <w:color w:val="auto"/>
                <w:sz w:val="21"/>
                <w:szCs w:val="21"/>
                <w:highlight w:val="none"/>
                <w:lang w:val="en-US" w:eastAsia="zh-CN"/>
              </w:rPr>
              <w:t>37  废气源强、治理措施一览表</w:t>
            </w:r>
          </w:p>
          <w:tbl>
            <w:tblPr>
              <w:tblStyle w:val="24"/>
              <w:tblW w:w="130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9"/>
              <w:gridCol w:w="823"/>
              <w:gridCol w:w="823"/>
              <w:gridCol w:w="738"/>
              <w:gridCol w:w="739"/>
              <w:gridCol w:w="673"/>
              <w:gridCol w:w="895"/>
              <w:gridCol w:w="716"/>
              <w:gridCol w:w="2206"/>
              <w:gridCol w:w="654"/>
              <w:gridCol w:w="781"/>
              <w:gridCol w:w="716"/>
              <w:gridCol w:w="781"/>
              <w:gridCol w:w="717"/>
              <w:gridCol w:w="798"/>
            </w:tblGrid>
            <w:tr w14:paraId="050295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93" w:hRule="atLeast"/>
                <w:jc w:val="center"/>
              </w:trPr>
              <w:tc>
                <w:tcPr>
                  <w:tcW w:w="979" w:type="dxa"/>
                  <w:vMerge w:val="restart"/>
                  <w:tcBorders>
                    <w:tl2br w:val="nil"/>
                    <w:tr2bl w:val="nil"/>
                  </w:tcBorders>
                  <w:noWrap w:val="0"/>
                  <w:vAlign w:val="center"/>
                </w:tcPr>
                <w:p w14:paraId="53EF609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eastAsia" w:ascii="Times New Roman" w:hAnsi="Times New Roman" w:eastAsia="宋体" w:cs="Times New Roman"/>
                      <w:bCs/>
                      <w:caps w:val="0"/>
                      <w:color w:val="auto"/>
                      <w:spacing w:val="0"/>
                      <w:position w:val="0"/>
                      <w:sz w:val="21"/>
                      <w:szCs w:val="21"/>
                      <w:highlight w:val="none"/>
                      <w:lang w:eastAsia="zh-CN"/>
                    </w:rPr>
                    <w:t>产排污环节</w:t>
                  </w:r>
                </w:p>
              </w:tc>
              <w:tc>
                <w:tcPr>
                  <w:tcW w:w="823" w:type="dxa"/>
                  <w:vMerge w:val="restart"/>
                  <w:tcBorders>
                    <w:tl2br w:val="nil"/>
                    <w:tr2bl w:val="nil"/>
                  </w:tcBorders>
                  <w:noWrap w:val="0"/>
                  <w:vAlign w:val="center"/>
                </w:tcPr>
                <w:p w14:paraId="2FCB070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污染物</w:t>
                  </w:r>
                  <w:r>
                    <w:rPr>
                      <w:rFonts w:hint="eastAsia" w:ascii="Times New Roman" w:hAnsi="Times New Roman" w:eastAsia="宋体" w:cs="Times New Roman"/>
                      <w:bCs/>
                      <w:caps w:val="0"/>
                      <w:color w:val="auto"/>
                      <w:spacing w:val="0"/>
                      <w:position w:val="0"/>
                      <w:sz w:val="21"/>
                      <w:szCs w:val="21"/>
                      <w:highlight w:val="none"/>
                      <w:lang w:eastAsia="zh-CN"/>
                    </w:rPr>
                    <w:t>种类</w:t>
                  </w:r>
                </w:p>
              </w:tc>
              <w:tc>
                <w:tcPr>
                  <w:tcW w:w="2300" w:type="dxa"/>
                  <w:gridSpan w:val="3"/>
                  <w:tcBorders>
                    <w:tl2br w:val="nil"/>
                    <w:tr2bl w:val="nil"/>
                  </w:tcBorders>
                  <w:noWrap w:val="0"/>
                  <w:vAlign w:val="center"/>
                </w:tcPr>
                <w:p w14:paraId="418257E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eastAsia="zh-CN"/>
                    </w:rPr>
                  </w:pPr>
                  <w:r>
                    <w:rPr>
                      <w:rFonts w:hint="default" w:ascii="Times New Roman" w:hAnsi="Times New Roman" w:cs="Times New Roman"/>
                      <w:bCs/>
                      <w:caps w:val="0"/>
                      <w:color w:val="auto"/>
                      <w:spacing w:val="0"/>
                      <w:position w:val="0"/>
                      <w:sz w:val="21"/>
                      <w:szCs w:val="21"/>
                      <w:highlight w:val="none"/>
                      <w:lang w:eastAsia="zh-CN"/>
                    </w:rPr>
                    <w:t>产生情况</w:t>
                  </w:r>
                </w:p>
              </w:tc>
              <w:tc>
                <w:tcPr>
                  <w:tcW w:w="673" w:type="dxa"/>
                  <w:vMerge w:val="restart"/>
                  <w:tcBorders>
                    <w:tl2br w:val="nil"/>
                    <w:tr2bl w:val="nil"/>
                  </w:tcBorders>
                  <w:noWrap w:val="0"/>
                  <w:vAlign w:val="center"/>
                </w:tcPr>
                <w:p w14:paraId="2C67BC9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cs="Times New Roman"/>
                      <w:bCs/>
                      <w:caps w:val="0"/>
                      <w:color w:val="auto"/>
                      <w:spacing w:val="0"/>
                      <w:position w:val="0"/>
                      <w:sz w:val="21"/>
                      <w:szCs w:val="21"/>
                      <w:highlight w:val="none"/>
                      <w:lang w:val="en-US" w:eastAsia="zh-CN"/>
                    </w:rPr>
                    <w:t>排放形式</w:t>
                  </w:r>
                </w:p>
              </w:tc>
              <w:tc>
                <w:tcPr>
                  <w:tcW w:w="5252" w:type="dxa"/>
                  <w:gridSpan w:val="5"/>
                  <w:tcBorders>
                    <w:tl2br w:val="nil"/>
                    <w:tr2bl w:val="nil"/>
                  </w:tcBorders>
                  <w:noWrap w:val="0"/>
                  <w:vAlign w:val="center"/>
                </w:tcPr>
                <w:p w14:paraId="4778DF3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治理措施</w:t>
                  </w:r>
                </w:p>
              </w:tc>
              <w:tc>
                <w:tcPr>
                  <w:tcW w:w="3012" w:type="dxa"/>
                  <w:gridSpan w:val="4"/>
                  <w:tcBorders>
                    <w:tl2br w:val="nil"/>
                    <w:tr2bl w:val="nil"/>
                  </w:tcBorders>
                  <w:noWrap w:val="0"/>
                  <w:vAlign w:val="center"/>
                </w:tcPr>
                <w:p w14:paraId="38D1327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排放</w:t>
                  </w:r>
                  <w:r>
                    <w:rPr>
                      <w:rFonts w:hint="default" w:ascii="Times New Roman" w:hAnsi="Times New Roman" w:cs="Times New Roman"/>
                      <w:bCs/>
                      <w:caps w:val="0"/>
                      <w:color w:val="auto"/>
                      <w:spacing w:val="0"/>
                      <w:position w:val="0"/>
                      <w:sz w:val="21"/>
                      <w:szCs w:val="21"/>
                      <w:highlight w:val="none"/>
                      <w:lang w:eastAsia="zh-CN"/>
                    </w:rPr>
                    <w:t>情况</w:t>
                  </w:r>
                </w:p>
              </w:tc>
            </w:tr>
            <w:tr w14:paraId="6D1CB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1291" w:hRule="atLeast"/>
                <w:jc w:val="center"/>
              </w:trPr>
              <w:tc>
                <w:tcPr>
                  <w:tcW w:w="979" w:type="dxa"/>
                  <w:vMerge w:val="continue"/>
                  <w:tcBorders>
                    <w:tl2br w:val="nil"/>
                    <w:tr2bl w:val="nil"/>
                  </w:tcBorders>
                  <w:noWrap w:val="0"/>
                  <w:vAlign w:val="center"/>
                </w:tcPr>
                <w:p w14:paraId="7ADAFDE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p>
              </w:tc>
              <w:tc>
                <w:tcPr>
                  <w:tcW w:w="823" w:type="dxa"/>
                  <w:vMerge w:val="continue"/>
                  <w:tcBorders>
                    <w:tl2br w:val="nil"/>
                    <w:tr2bl w:val="nil"/>
                  </w:tcBorders>
                  <w:noWrap w:val="0"/>
                  <w:vAlign w:val="center"/>
                </w:tcPr>
                <w:p w14:paraId="3ED60A8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p>
              </w:tc>
              <w:tc>
                <w:tcPr>
                  <w:tcW w:w="823" w:type="dxa"/>
                  <w:tcBorders>
                    <w:tl2br w:val="nil"/>
                    <w:tr2bl w:val="nil"/>
                  </w:tcBorders>
                  <w:noWrap w:val="0"/>
                  <w:vAlign w:val="center"/>
                </w:tcPr>
                <w:p w14:paraId="32A5911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核算方法</w:t>
                  </w:r>
                </w:p>
              </w:tc>
              <w:tc>
                <w:tcPr>
                  <w:tcW w:w="738" w:type="dxa"/>
                  <w:tcBorders>
                    <w:tl2br w:val="nil"/>
                    <w:tr2bl w:val="nil"/>
                  </w:tcBorders>
                  <w:noWrap w:val="0"/>
                  <w:vAlign w:val="center"/>
                </w:tcPr>
                <w:p w14:paraId="7D9D592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default" w:ascii="Times New Roman" w:hAnsi="Times New Roman" w:eastAsia="宋体" w:cs="Times New Roman"/>
                      <w:bCs/>
                      <w:caps w:val="0"/>
                      <w:color w:val="auto"/>
                      <w:spacing w:val="0"/>
                      <w:position w:val="0"/>
                      <w:sz w:val="21"/>
                      <w:szCs w:val="21"/>
                      <w:highlight w:val="none"/>
                    </w:rPr>
                    <w:t>产生量</w:t>
                  </w:r>
                  <w:r>
                    <w:rPr>
                      <w:rFonts w:hint="eastAsia"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cs="Times New Roman"/>
                      <w:bCs/>
                      <w:caps w:val="0"/>
                      <w:color w:val="auto"/>
                      <w:spacing w:val="0"/>
                      <w:position w:val="0"/>
                      <w:sz w:val="21"/>
                      <w:szCs w:val="21"/>
                      <w:highlight w:val="none"/>
                      <w:lang w:val="en-US" w:eastAsia="zh-CN"/>
                    </w:rPr>
                    <w:t>)</w:t>
                  </w:r>
                </w:p>
              </w:tc>
              <w:tc>
                <w:tcPr>
                  <w:tcW w:w="739" w:type="dxa"/>
                  <w:tcBorders>
                    <w:tl2br w:val="nil"/>
                    <w:tr2bl w:val="nil"/>
                  </w:tcBorders>
                  <w:noWrap w:val="0"/>
                  <w:vAlign w:val="center"/>
                </w:tcPr>
                <w:p w14:paraId="092E6F8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最大</w:t>
                  </w:r>
                  <w:r>
                    <w:rPr>
                      <w:rFonts w:hint="eastAsia" w:ascii="Times New Roman" w:hAnsi="Times New Roman" w:eastAsia="宋体" w:cs="Times New Roman"/>
                      <w:bCs/>
                      <w:caps w:val="0"/>
                      <w:color w:val="auto"/>
                      <w:spacing w:val="0"/>
                      <w:position w:val="0"/>
                      <w:sz w:val="21"/>
                      <w:szCs w:val="21"/>
                      <w:highlight w:val="none"/>
                      <w:lang w:eastAsia="zh-CN"/>
                    </w:rPr>
                    <w:t>产生浓度</w:t>
                  </w:r>
                  <w:r>
                    <w:rPr>
                      <w:rFonts w:hint="eastAsia" w:ascii="Times New Roman" w:hAnsi="Times New Roman" w:eastAsia="宋体" w:cs="Times New Roman"/>
                      <w:bCs/>
                      <w:caps w:val="0"/>
                      <w:color w:val="auto"/>
                      <w:spacing w:val="0"/>
                      <w:position w:val="0"/>
                      <w:sz w:val="21"/>
                      <w:szCs w:val="21"/>
                      <w:highlight w:val="none"/>
                      <w:lang w:val="en-US" w:eastAsia="zh-CN"/>
                    </w:rPr>
                    <w:t>(mg/m</w:t>
                  </w:r>
                  <w:r>
                    <w:rPr>
                      <w:rFonts w:hint="eastAsia" w:ascii="Times New Roman" w:hAnsi="Times New Roman" w:eastAsia="宋体" w:cs="Times New Roman"/>
                      <w:bCs/>
                      <w:caps w:val="0"/>
                      <w:color w:val="auto"/>
                      <w:spacing w:val="0"/>
                      <w:position w:val="0"/>
                      <w:sz w:val="21"/>
                      <w:szCs w:val="21"/>
                      <w:highlight w:val="none"/>
                      <w:vertAlign w:val="superscript"/>
                      <w:lang w:val="en-US" w:eastAsia="zh-CN"/>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673" w:type="dxa"/>
                  <w:vMerge w:val="continue"/>
                  <w:tcBorders>
                    <w:tl2br w:val="nil"/>
                    <w:tr2bl w:val="nil"/>
                  </w:tcBorders>
                  <w:noWrap w:val="0"/>
                  <w:vAlign w:val="center"/>
                </w:tcPr>
                <w:p w14:paraId="5844270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p>
              </w:tc>
              <w:tc>
                <w:tcPr>
                  <w:tcW w:w="895" w:type="dxa"/>
                  <w:tcBorders>
                    <w:tl2br w:val="nil"/>
                    <w:tr2bl w:val="nil"/>
                  </w:tcBorders>
                  <w:noWrap w:val="0"/>
                  <w:vAlign w:val="center"/>
                </w:tcPr>
                <w:p w14:paraId="6A25A1A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处理能力(</w:t>
                  </w:r>
                  <w:r>
                    <w:rPr>
                      <w:rFonts w:hint="default" w:ascii="Times New Roman" w:hAnsi="Times New Roman" w:eastAsia="宋体" w:cs="Times New Roman"/>
                      <w:caps w:val="0"/>
                      <w:color w:val="auto"/>
                      <w:spacing w:val="0"/>
                      <w:position w:val="0"/>
                      <w:sz w:val="21"/>
                      <w:szCs w:val="21"/>
                      <w:highlight w:val="none"/>
                    </w:rPr>
                    <w:t>m</w:t>
                  </w:r>
                  <w:r>
                    <w:rPr>
                      <w:rFonts w:hint="default" w:ascii="Times New Roman" w:hAnsi="Times New Roman" w:eastAsia="宋体" w:cs="Times New Roman"/>
                      <w:caps w:val="0"/>
                      <w:color w:val="auto"/>
                      <w:spacing w:val="0"/>
                      <w:position w:val="0"/>
                      <w:sz w:val="21"/>
                      <w:szCs w:val="21"/>
                      <w:highlight w:val="none"/>
                      <w:vertAlign w:val="superscript"/>
                    </w:rPr>
                    <w:t>3</w:t>
                  </w:r>
                  <w:r>
                    <w:rPr>
                      <w:rFonts w:hint="default" w:ascii="Times New Roman" w:hAnsi="Times New Roman" w:eastAsia="宋体" w:cs="Times New Roman"/>
                      <w:caps w:val="0"/>
                      <w:color w:val="auto"/>
                      <w:spacing w:val="0"/>
                      <w:position w:val="0"/>
                      <w:sz w:val="21"/>
                      <w:szCs w:val="21"/>
                      <w:highlight w:val="none"/>
                    </w:rPr>
                    <w:t>/h</w:t>
                  </w: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716" w:type="dxa"/>
                  <w:tcBorders>
                    <w:tl2br w:val="nil"/>
                    <w:tr2bl w:val="nil"/>
                  </w:tcBorders>
                  <w:noWrap w:val="0"/>
                  <w:vAlign w:val="center"/>
                </w:tcPr>
                <w:p w14:paraId="764B85A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eastAsia" w:ascii="Times New Roman" w:hAnsi="Times New Roman" w:eastAsia="宋体" w:cs="Times New Roman"/>
                      <w:bCs/>
                      <w:caps w:val="0"/>
                      <w:color w:val="auto"/>
                      <w:spacing w:val="0"/>
                      <w:position w:val="0"/>
                      <w:sz w:val="21"/>
                      <w:szCs w:val="21"/>
                      <w:highlight w:val="none"/>
                      <w:lang w:eastAsia="zh-CN"/>
                    </w:rPr>
                    <w:t>收集效率</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2206" w:type="dxa"/>
                  <w:tcBorders>
                    <w:tl2br w:val="nil"/>
                    <w:tr2bl w:val="nil"/>
                  </w:tcBorders>
                  <w:noWrap w:val="0"/>
                  <w:vAlign w:val="center"/>
                </w:tcPr>
                <w:p w14:paraId="005CB9C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工艺</w:t>
                  </w:r>
                </w:p>
              </w:tc>
              <w:tc>
                <w:tcPr>
                  <w:tcW w:w="654" w:type="dxa"/>
                  <w:tcBorders>
                    <w:tl2br w:val="nil"/>
                    <w:tr2bl w:val="nil"/>
                  </w:tcBorders>
                  <w:noWrap w:val="0"/>
                  <w:vAlign w:val="center"/>
                </w:tcPr>
                <w:p w14:paraId="23F0D71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cs="Times New Roman"/>
                      <w:bCs/>
                      <w:caps w:val="0"/>
                      <w:color w:val="auto"/>
                      <w:spacing w:val="0"/>
                      <w:position w:val="0"/>
                      <w:sz w:val="21"/>
                      <w:szCs w:val="21"/>
                      <w:highlight w:val="none"/>
                      <w:lang w:eastAsia="zh-CN"/>
                    </w:rPr>
                  </w:pPr>
                  <w:r>
                    <w:rPr>
                      <w:rFonts w:hint="eastAsia" w:ascii="Times New Roman" w:hAnsi="Times New Roman" w:cs="Times New Roman"/>
                      <w:bCs/>
                      <w:caps w:val="0"/>
                      <w:color w:val="auto"/>
                      <w:spacing w:val="0"/>
                      <w:position w:val="0"/>
                      <w:sz w:val="21"/>
                      <w:szCs w:val="21"/>
                      <w:highlight w:val="none"/>
                      <w:lang w:eastAsia="zh-CN"/>
                    </w:rPr>
                    <w:t>去除率</w:t>
                  </w:r>
                  <w:r>
                    <w:rPr>
                      <w:rFonts w:hint="eastAsia" w:ascii="Times New Roman" w:hAnsi="Times New Roman"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14:paraId="79C5D72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是否为可行性技术</w:t>
                  </w:r>
                </w:p>
              </w:tc>
              <w:tc>
                <w:tcPr>
                  <w:tcW w:w="716" w:type="dxa"/>
                  <w:tcBorders>
                    <w:tl2br w:val="nil"/>
                    <w:tr2bl w:val="nil"/>
                  </w:tcBorders>
                  <w:noWrap w:val="0"/>
                  <w:vAlign w:val="center"/>
                </w:tcPr>
                <w:p w14:paraId="34DE8FF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eastAsia" w:cs="Times New Roman"/>
                      <w:bCs/>
                      <w:caps w:val="0"/>
                      <w:color w:val="auto"/>
                      <w:spacing w:val="0"/>
                      <w:position w:val="0"/>
                      <w:sz w:val="21"/>
                      <w:szCs w:val="21"/>
                      <w:highlight w:val="none"/>
                      <w:lang w:val="en-US" w:eastAsia="zh-CN"/>
                    </w:rPr>
                    <w:t>最大</w:t>
                  </w:r>
                  <w:r>
                    <w:rPr>
                      <w:rFonts w:hint="default" w:ascii="Times New Roman" w:hAnsi="Times New Roman" w:eastAsia="宋体" w:cs="Times New Roman"/>
                      <w:bCs/>
                      <w:caps w:val="0"/>
                      <w:color w:val="auto"/>
                      <w:spacing w:val="0"/>
                      <w:position w:val="0"/>
                      <w:sz w:val="21"/>
                      <w:szCs w:val="21"/>
                      <w:highlight w:val="none"/>
                    </w:rPr>
                    <w:t>排放浓度</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eastAsia="宋体" w:cs="Times New Roman"/>
                      <w:bCs/>
                      <w:caps w:val="0"/>
                      <w:color w:val="auto"/>
                      <w:spacing w:val="0"/>
                      <w:position w:val="0"/>
                      <w:sz w:val="21"/>
                      <w:szCs w:val="21"/>
                      <w:highlight w:val="none"/>
                    </w:rPr>
                    <w:t>mg/m</w:t>
                  </w:r>
                  <w:r>
                    <w:rPr>
                      <w:rFonts w:hint="default" w:ascii="Times New Roman" w:hAnsi="Times New Roman" w:eastAsia="宋体" w:cs="Times New Roman"/>
                      <w:bCs/>
                      <w:caps w:val="0"/>
                      <w:color w:val="auto"/>
                      <w:spacing w:val="0"/>
                      <w:position w:val="0"/>
                      <w:sz w:val="21"/>
                      <w:szCs w:val="21"/>
                      <w:highlight w:val="none"/>
                      <w:vertAlign w:val="superscript"/>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14:paraId="3852E3B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最大</w:t>
                  </w:r>
                  <w:r>
                    <w:rPr>
                      <w:rFonts w:hint="eastAsia" w:ascii="Times New Roman" w:hAnsi="Times New Roman" w:eastAsia="宋体" w:cs="Times New Roman"/>
                      <w:bCs/>
                      <w:caps w:val="0"/>
                      <w:color w:val="auto"/>
                      <w:spacing w:val="0"/>
                      <w:position w:val="0"/>
                      <w:sz w:val="21"/>
                      <w:szCs w:val="21"/>
                      <w:highlight w:val="none"/>
                      <w:lang w:eastAsia="zh-CN"/>
                    </w:rPr>
                    <w:t>排放速率</w:t>
                  </w:r>
                  <w:r>
                    <w:rPr>
                      <w:rFonts w:hint="eastAsia" w:ascii="Times New Roman" w:hAnsi="Times New Roman" w:eastAsia="宋体" w:cs="Times New Roman"/>
                      <w:bCs/>
                      <w:caps w:val="0"/>
                      <w:color w:val="auto"/>
                      <w:spacing w:val="0"/>
                      <w:position w:val="0"/>
                      <w:sz w:val="21"/>
                      <w:szCs w:val="21"/>
                      <w:highlight w:val="none"/>
                      <w:lang w:val="en-US" w:eastAsia="zh-CN"/>
                    </w:rPr>
                    <w:t>(kg/h)</w:t>
                  </w:r>
                </w:p>
              </w:tc>
              <w:tc>
                <w:tcPr>
                  <w:tcW w:w="717" w:type="dxa"/>
                  <w:tcBorders>
                    <w:tl2br w:val="nil"/>
                    <w:tr2bl w:val="nil"/>
                  </w:tcBorders>
                  <w:noWrap w:val="0"/>
                  <w:vAlign w:val="center"/>
                </w:tcPr>
                <w:p w14:paraId="0309A9B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rPr>
                  </w:pPr>
                  <w:r>
                    <w:rPr>
                      <w:rFonts w:hint="eastAsia" w:ascii="Times New Roman" w:hAnsi="Times New Roman" w:eastAsia="宋体" w:cs="Times New Roman"/>
                      <w:bCs/>
                      <w:caps w:val="0"/>
                      <w:color w:val="auto"/>
                      <w:spacing w:val="0"/>
                      <w:position w:val="0"/>
                      <w:sz w:val="21"/>
                      <w:szCs w:val="21"/>
                      <w:highlight w:val="none"/>
                      <w:lang w:eastAsia="zh-CN"/>
                    </w:rPr>
                    <w:t>有组织</w:t>
                  </w:r>
                  <w:r>
                    <w:rPr>
                      <w:rFonts w:hint="default" w:ascii="Times New Roman" w:hAnsi="Times New Roman" w:eastAsia="宋体" w:cs="Times New Roman"/>
                      <w:bCs/>
                      <w:caps w:val="0"/>
                      <w:color w:val="auto"/>
                      <w:spacing w:val="0"/>
                      <w:position w:val="0"/>
                      <w:sz w:val="21"/>
                      <w:szCs w:val="21"/>
                      <w:highlight w:val="none"/>
                    </w:rPr>
                    <w:t>排放量</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ascii="Times New Roman" w:hAnsi="Times New Roman" w:cs="Times New Roman"/>
                      <w:caps w:val="0"/>
                      <w:color w:val="auto"/>
                      <w:spacing w:val="0"/>
                      <w:position w:val="0"/>
                      <w:sz w:val="21"/>
                      <w:szCs w:val="21"/>
                      <w:highlight w:val="none"/>
                      <w:lang w:val="en-US" w:eastAsia="zh-CN"/>
                    </w:rPr>
                    <w:t>)</w:t>
                  </w:r>
                </w:p>
              </w:tc>
              <w:tc>
                <w:tcPr>
                  <w:tcW w:w="798" w:type="dxa"/>
                  <w:tcBorders>
                    <w:tl2br w:val="nil"/>
                    <w:tr2bl w:val="nil"/>
                  </w:tcBorders>
                  <w:noWrap w:val="0"/>
                  <w:vAlign w:val="center"/>
                </w:tcPr>
                <w:p w14:paraId="008A06C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无组织排放量</w:t>
                  </w:r>
                  <w:r>
                    <w:rPr>
                      <w:rFonts w:hint="eastAsia" w:ascii="Times New Roman" w:hAnsi="Times New Roman" w:eastAsia="宋体" w:cs="Times New Roman"/>
                      <w:bCs/>
                      <w:caps w:val="0"/>
                      <w:color w:val="auto"/>
                      <w:spacing w:val="0"/>
                      <w:position w:val="0"/>
                      <w:sz w:val="21"/>
                      <w:szCs w:val="21"/>
                      <w:highlight w:val="none"/>
                      <w:lang w:val="en-US" w:eastAsia="zh-CN"/>
                    </w:rPr>
                    <w:t>(t/a)</w:t>
                  </w:r>
                </w:p>
              </w:tc>
            </w:tr>
            <w:tr w14:paraId="08440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53" w:hRule="atLeast"/>
                <w:jc w:val="center"/>
              </w:trPr>
              <w:tc>
                <w:tcPr>
                  <w:tcW w:w="979" w:type="dxa"/>
                  <w:tcBorders>
                    <w:tl2br w:val="nil"/>
                    <w:tr2bl w:val="nil"/>
                  </w:tcBorders>
                  <w:noWrap w:val="0"/>
                  <w:vAlign w:val="center"/>
                </w:tcPr>
                <w:p w14:paraId="50829D5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打磨过程</w:t>
                  </w:r>
                </w:p>
              </w:tc>
              <w:tc>
                <w:tcPr>
                  <w:tcW w:w="823" w:type="dxa"/>
                  <w:tcBorders>
                    <w:tl2br w:val="nil"/>
                    <w:tr2bl w:val="nil"/>
                  </w:tcBorders>
                  <w:noWrap w:val="0"/>
                  <w:vAlign w:val="center"/>
                </w:tcPr>
                <w:p w14:paraId="62E27E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823" w:type="dxa"/>
                  <w:tcBorders>
                    <w:tl2br w:val="nil"/>
                    <w:tr2bl w:val="nil"/>
                  </w:tcBorders>
                  <w:noWrap w:val="0"/>
                  <w:vAlign w:val="center"/>
                </w:tcPr>
                <w:p w14:paraId="79045FD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产污系数法</w:t>
                  </w:r>
                </w:p>
              </w:tc>
              <w:tc>
                <w:tcPr>
                  <w:tcW w:w="738" w:type="dxa"/>
                  <w:tcBorders>
                    <w:tl2br w:val="nil"/>
                    <w:tr2bl w:val="nil"/>
                  </w:tcBorders>
                  <w:noWrap w:val="0"/>
                  <w:vAlign w:val="center"/>
                </w:tcPr>
                <w:p w14:paraId="094241C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0.876</w:t>
                  </w:r>
                </w:p>
              </w:tc>
              <w:tc>
                <w:tcPr>
                  <w:tcW w:w="739" w:type="dxa"/>
                  <w:tcBorders>
                    <w:tl2br w:val="nil"/>
                    <w:tr2bl w:val="nil"/>
                  </w:tcBorders>
                  <w:noWrap w:val="0"/>
                  <w:vAlign w:val="center"/>
                </w:tcPr>
                <w:p w14:paraId="099DB0B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52</w:t>
                  </w:r>
                </w:p>
              </w:tc>
              <w:tc>
                <w:tcPr>
                  <w:tcW w:w="673" w:type="dxa"/>
                  <w:tcBorders>
                    <w:tl2br w:val="nil"/>
                    <w:tr2bl w:val="nil"/>
                  </w:tcBorders>
                  <w:noWrap w:val="0"/>
                  <w:vAlign w:val="center"/>
                </w:tcPr>
                <w:p w14:paraId="18A6D54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有组织</w:t>
                  </w:r>
                </w:p>
              </w:tc>
              <w:tc>
                <w:tcPr>
                  <w:tcW w:w="895" w:type="dxa"/>
                  <w:tcBorders>
                    <w:tl2br w:val="nil"/>
                    <w:tr2bl w:val="nil"/>
                  </w:tcBorders>
                  <w:noWrap w:val="0"/>
                  <w:vAlign w:val="center"/>
                </w:tcPr>
                <w:p w14:paraId="3195210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8000</w:t>
                  </w:r>
                </w:p>
              </w:tc>
              <w:tc>
                <w:tcPr>
                  <w:tcW w:w="716" w:type="dxa"/>
                  <w:tcBorders>
                    <w:tl2br w:val="nil"/>
                    <w:tr2bl w:val="nil"/>
                  </w:tcBorders>
                  <w:noWrap w:val="0"/>
                  <w:vAlign w:val="center"/>
                </w:tcPr>
                <w:p w14:paraId="6397C4B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95</w:t>
                  </w:r>
                </w:p>
              </w:tc>
              <w:tc>
                <w:tcPr>
                  <w:tcW w:w="2206" w:type="dxa"/>
                  <w:tcBorders>
                    <w:tl2br w:val="nil"/>
                    <w:tr2bl w:val="nil"/>
                  </w:tcBorders>
                  <w:noWrap w:val="0"/>
                  <w:vAlign w:val="center"/>
                </w:tcPr>
                <w:p w14:paraId="24EA6AC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default" w:cs="Times New Roman"/>
                      <w:bCs/>
                      <w:caps w:val="0"/>
                      <w:color w:val="auto"/>
                      <w:spacing w:val="0"/>
                      <w:position w:val="0"/>
                      <w:sz w:val="21"/>
                      <w:szCs w:val="21"/>
                      <w:highlight w:val="none"/>
                      <w:lang w:val="en-US" w:eastAsia="zh-CN"/>
                    </w:rPr>
                    <w:t>打磨过程在封闭打磨房内进行，打磨房连接管道，采用风量为8000m</w:t>
                  </w:r>
                  <w:r>
                    <w:rPr>
                      <w:rFonts w:hint="default" w:cs="Times New Roman"/>
                      <w:bCs/>
                      <w:caps w:val="0"/>
                      <w:color w:val="auto"/>
                      <w:spacing w:val="0"/>
                      <w:position w:val="0"/>
                      <w:sz w:val="21"/>
                      <w:szCs w:val="21"/>
                      <w:highlight w:val="none"/>
                      <w:vertAlign w:val="superscript"/>
                      <w:lang w:val="en-US" w:eastAsia="zh-CN"/>
                    </w:rPr>
                    <w:t>3</w:t>
                  </w:r>
                  <w:r>
                    <w:rPr>
                      <w:rFonts w:hint="default" w:cs="Times New Roman"/>
                      <w:bCs/>
                      <w:caps w:val="0"/>
                      <w:color w:val="auto"/>
                      <w:spacing w:val="0"/>
                      <w:position w:val="0"/>
                      <w:sz w:val="21"/>
                      <w:szCs w:val="21"/>
                      <w:highlight w:val="none"/>
                      <w:lang w:val="en-US" w:eastAsia="zh-CN"/>
                    </w:rPr>
                    <w:t>/h的风机将打磨过程产生的废气引入1套脉冲布袋除尘器（TA001）处理，处理后通过1根27m高排气筒（DA001）排放至大气中</w:t>
                  </w:r>
                </w:p>
              </w:tc>
              <w:tc>
                <w:tcPr>
                  <w:tcW w:w="654" w:type="dxa"/>
                  <w:tcBorders>
                    <w:tl2br w:val="nil"/>
                    <w:tr2bl w:val="nil"/>
                  </w:tcBorders>
                  <w:noWrap w:val="0"/>
                  <w:vAlign w:val="center"/>
                </w:tcPr>
                <w:p w14:paraId="319F416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90</w:t>
                  </w:r>
                </w:p>
              </w:tc>
              <w:tc>
                <w:tcPr>
                  <w:tcW w:w="781" w:type="dxa"/>
                  <w:tcBorders>
                    <w:tl2br w:val="nil"/>
                    <w:tr2bl w:val="nil"/>
                  </w:tcBorders>
                  <w:noWrap w:val="0"/>
                  <w:vAlign w:val="center"/>
                </w:tcPr>
                <w:p w14:paraId="3387207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w:t>
                  </w:r>
                </w:p>
              </w:tc>
              <w:tc>
                <w:tcPr>
                  <w:tcW w:w="716" w:type="dxa"/>
                  <w:tcBorders>
                    <w:tl2br w:val="nil"/>
                    <w:tr2bl w:val="nil"/>
                  </w:tcBorders>
                  <w:noWrap w:val="0"/>
                  <w:vAlign w:val="center"/>
                </w:tcPr>
                <w:p w14:paraId="4527361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5.3</w:t>
                  </w:r>
                </w:p>
              </w:tc>
              <w:tc>
                <w:tcPr>
                  <w:tcW w:w="781" w:type="dxa"/>
                  <w:tcBorders>
                    <w:tl2br w:val="nil"/>
                    <w:tr2bl w:val="nil"/>
                  </w:tcBorders>
                  <w:noWrap w:val="0"/>
                  <w:vAlign w:val="center"/>
                </w:tcPr>
                <w:p w14:paraId="3CEF778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0.042</w:t>
                  </w:r>
                </w:p>
              </w:tc>
              <w:tc>
                <w:tcPr>
                  <w:tcW w:w="717" w:type="dxa"/>
                  <w:tcBorders>
                    <w:tl2br w:val="nil"/>
                    <w:tr2bl w:val="nil"/>
                  </w:tcBorders>
                  <w:noWrap w:val="0"/>
                  <w:vAlign w:val="center"/>
                </w:tcPr>
                <w:p w14:paraId="518AB69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0.083</w:t>
                  </w:r>
                </w:p>
              </w:tc>
              <w:tc>
                <w:tcPr>
                  <w:tcW w:w="798" w:type="dxa"/>
                  <w:tcBorders>
                    <w:tl2br w:val="nil"/>
                    <w:tr2bl w:val="nil"/>
                  </w:tcBorders>
                  <w:noWrap w:val="0"/>
                  <w:vAlign w:val="center"/>
                </w:tcPr>
                <w:p w14:paraId="3F35040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0.044</w:t>
                  </w:r>
                </w:p>
              </w:tc>
            </w:tr>
            <w:tr w14:paraId="4C527A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04" w:hRule="atLeast"/>
                <w:jc w:val="center"/>
              </w:trPr>
              <w:tc>
                <w:tcPr>
                  <w:tcW w:w="979" w:type="dxa"/>
                  <w:vMerge w:val="restart"/>
                  <w:tcBorders>
                    <w:tl2br w:val="nil"/>
                    <w:tr2bl w:val="nil"/>
                  </w:tcBorders>
                  <w:noWrap w:val="0"/>
                  <w:vAlign w:val="center"/>
                </w:tcPr>
                <w:p w14:paraId="38E2542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default" w:eastAsia="宋体"/>
                      <w:color w:val="auto"/>
                      <w:sz w:val="21"/>
                      <w:szCs w:val="21"/>
                      <w:highlight w:val="none"/>
                      <w:lang w:val="en-US" w:eastAsia="zh-CN"/>
                    </w:rPr>
                    <w:t>调漆、喷漆、烘干/晾干、刮腻子、腻子打磨、除油、漆料及危废储存过程</w:t>
                  </w:r>
                </w:p>
              </w:tc>
              <w:tc>
                <w:tcPr>
                  <w:tcW w:w="823" w:type="dxa"/>
                  <w:tcBorders>
                    <w:tl2br w:val="nil"/>
                    <w:tr2bl w:val="nil"/>
                  </w:tcBorders>
                  <w:noWrap w:val="0"/>
                  <w:vAlign w:val="center"/>
                </w:tcPr>
                <w:p w14:paraId="31431D4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823" w:type="dxa"/>
                  <w:tcBorders>
                    <w:tl2br w:val="nil"/>
                    <w:tr2bl w:val="nil"/>
                  </w:tcBorders>
                  <w:noWrap w:val="0"/>
                  <w:vAlign w:val="center"/>
                </w:tcPr>
                <w:p w14:paraId="6A4C180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产污系数法、类比法</w:t>
                  </w:r>
                </w:p>
              </w:tc>
              <w:tc>
                <w:tcPr>
                  <w:tcW w:w="738" w:type="dxa"/>
                  <w:tcBorders>
                    <w:tl2br w:val="nil"/>
                    <w:tr2bl w:val="nil"/>
                  </w:tcBorders>
                  <w:noWrap w:val="0"/>
                  <w:vAlign w:val="center"/>
                </w:tcPr>
                <w:p w14:paraId="76D71FC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w:t>
                  </w:r>
                  <w:r>
                    <w:rPr>
                      <w:rFonts w:hint="eastAsia" w:cs="Times New Roman"/>
                      <w:color w:val="auto"/>
                      <w:sz w:val="21"/>
                      <w:szCs w:val="21"/>
                      <w:highlight w:val="none"/>
                      <w:lang w:val="en-US" w:eastAsia="zh-CN"/>
                    </w:rPr>
                    <w:t>32</w:t>
                  </w:r>
                </w:p>
              </w:tc>
              <w:tc>
                <w:tcPr>
                  <w:tcW w:w="739" w:type="dxa"/>
                  <w:tcBorders>
                    <w:tl2br w:val="nil"/>
                    <w:tr2bl w:val="nil"/>
                  </w:tcBorders>
                  <w:noWrap w:val="0"/>
                  <w:vAlign w:val="center"/>
                </w:tcPr>
                <w:p w14:paraId="30612E2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262</w:t>
                  </w:r>
                </w:p>
              </w:tc>
              <w:tc>
                <w:tcPr>
                  <w:tcW w:w="673" w:type="dxa"/>
                  <w:vMerge w:val="restart"/>
                  <w:tcBorders>
                    <w:tl2br w:val="nil"/>
                    <w:tr2bl w:val="nil"/>
                  </w:tcBorders>
                  <w:noWrap w:val="0"/>
                  <w:vAlign w:val="center"/>
                </w:tcPr>
                <w:p w14:paraId="351CC5E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895" w:type="dxa"/>
                  <w:vMerge w:val="restart"/>
                  <w:tcBorders>
                    <w:tl2br w:val="nil"/>
                    <w:tr2bl w:val="nil"/>
                  </w:tcBorders>
                  <w:noWrap w:val="0"/>
                  <w:vAlign w:val="center"/>
                </w:tcPr>
                <w:p w14:paraId="5AF4E79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aps w:val="0"/>
                      <w:color w:val="auto"/>
                      <w:spacing w:val="0"/>
                      <w:position w:val="0"/>
                      <w:sz w:val="21"/>
                      <w:szCs w:val="21"/>
                      <w:highlight w:val="none"/>
                      <w:lang w:val="en-US" w:eastAsia="zh-CN"/>
                    </w:rPr>
                    <w:t>30000</w:t>
                  </w:r>
                </w:p>
              </w:tc>
              <w:tc>
                <w:tcPr>
                  <w:tcW w:w="716" w:type="dxa"/>
                  <w:vMerge w:val="restart"/>
                  <w:tcBorders>
                    <w:tl2br w:val="nil"/>
                    <w:tr2bl w:val="nil"/>
                  </w:tcBorders>
                  <w:noWrap w:val="0"/>
                  <w:vAlign w:val="center"/>
                </w:tcPr>
                <w:p w14:paraId="37CF53C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aps w:val="0"/>
                      <w:color w:val="auto"/>
                      <w:spacing w:val="0"/>
                      <w:position w:val="0"/>
                      <w:sz w:val="21"/>
                      <w:szCs w:val="21"/>
                      <w:highlight w:val="none"/>
                      <w:lang w:val="en-US" w:eastAsia="zh-CN"/>
                    </w:rPr>
                    <w:t>95</w:t>
                  </w:r>
                </w:p>
              </w:tc>
              <w:tc>
                <w:tcPr>
                  <w:tcW w:w="2206" w:type="dxa"/>
                  <w:vMerge w:val="restart"/>
                  <w:tcBorders>
                    <w:tl2br w:val="nil"/>
                    <w:tr2bl w:val="nil"/>
                  </w:tcBorders>
                  <w:noWrap w:val="0"/>
                  <w:vAlign w:val="center"/>
                </w:tcPr>
                <w:p w14:paraId="11364B4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调漆、喷漆、刮腻子、腻子打磨、除油过程在喷漆房内进行，调漆、喷漆、腻子打磨、除油过程喷漆房封闭，喷漆房采取上进风，侧抽风，烘干/晾干过程在烘干房进行，烘干/晾干过程烘干房封闭，漆料储存于油漆库中，油漆库、危废间连接管道，采用</w:t>
                  </w:r>
                  <w:r>
                    <w:rPr>
                      <w:rFonts w:hint="eastAsia" w:ascii="Times New Roman" w:hAnsi="Times New Roman" w:cs="Times New Roman"/>
                      <w:color w:val="auto"/>
                      <w:sz w:val="21"/>
                      <w:szCs w:val="21"/>
                      <w:highlight w:val="none"/>
                      <w:lang w:val="en-US" w:eastAsia="zh-CN"/>
                    </w:rPr>
                    <w:t>风量为30000m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/h的</w:t>
                  </w:r>
                  <w:r>
                    <w:rPr>
                      <w:rFonts w:hint="default" w:ascii="Times New Roman" w:hAnsi="Times New Roman" w:cs="Times New Roman"/>
                      <w:color w:val="auto"/>
                      <w:sz w:val="21"/>
                      <w:szCs w:val="21"/>
                      <w:highlight w:val="none"/>
                      <w:lang w:val="en-US" w:eastAsia="zh-CN"/>
                    </w:rPr>
                    <w:t>风机将调漆、喷漆、刮腻子、腻子打磨、除油过程产生的颗粒物（含漆雾）、有机废气引入干式喷漆柜（纸盒）中去除大部分漆雾，然后与烘干/晾干、漆料及危废储存过程产生的废气一起进入过滤棉箱过滤+沸石转轮+催化燃烧装置进行处理，处理后通过1根15m高排气筒（DA002）排放至大气中</w:t>
                  </w:r>
                </w:p>
              </w:tc>
              <w:tc>
                <w:tcPr>
                  <w:tcW w:w="654" w:type="dxa"/>
                  <w:tcBorders>
                    <w:tl2br w:val="nil"/>
                    <w:tr2bl w:val="nil"/>
                  </w:tcBorders>
                  <w:noWrap w:val="0"/>
                  <w:vAlign w:val="center"/>
                </w:tcPr>
                <w:p w14:paraId="3065865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99.</w:t>
                  </w:r>
                  <w:r>
                    <w:rPr>
                      <w:rFonts w:hint="eastAsia" w:cs="Times New Roman"/>
                      <w:color w:val="auto"/>
                      <w:sz w:val="21"/>
                      <w:szCs w:val="21"/>
                      <w:highlight w:val="none"/>
                      <w:lang w:val="en-US" w:eastAsia="zh-CN"/>
                    </w:rPr>
                    <w:t>7</w:t>
                  </w:r>
                  <w:r>
                    <w:rPr>
                      <w:rFonts w:hint="eastAsia" w:ascii="Times New Roman" w:hAnsi="Times New Roman" w:cs="Times New Roman"/>
                      <w:color w:val="auto"/>
                      <w:sz w:val="21"/>
                      <w:szCs w:val="21"/>
                      <w:highlight w:val="none"/>
                      <w:lang w:val="en-US" w:eastAsia="zh-CN"/>
                    </w:rPr>
                    <w:t>5</w:t>
                  </w:r>
                </w:p>
              </w:tc>
              <w:tc>
                <w:tcPr>
                  <w:tcW w:w="781" w:type="dxa"/>
                  <w:vMerge w:val="restart"/>
                  <w:tcBorders>
                    <w:tl2br w:val="nil"/>
                    <w:tr2bl w:val="nil"/>
                  </w:tcBorders>
                  <w:noWrap w:val="0"/>
                  <w:vAlign w:val="center"/>
                </w:tcPr>
                <w:p w14:paraId="13027A6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是</w:t>
                  </w:r>
                </w:p>
              </w:tc>
              <w:tc>
                <w:tcPr>
                  <w:tcW w:w="716" w:type="dxa"/>
                  <w:tcBorders>
                    <w:tl2br w:val="nil"/>
                    <w:tr2bl w:val="nil"/>
                  </w:tcBorders>
                  <w:noWrap w:val="0"/>
                  <w:vAlign w:val="center"/>
                </w:tcPr>
                <w:p w14:paraId="3112C72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0.7</w:t>
                  </w:r>
                </w:p>
              </w:tc>
              <w:tc>
                <w:tcPr>
                  <w:tcW w:w="781" w:type="dxa"/>
                  <w:tcBorders>
                    <w:tl2br w:val="nil"/>
                    <w:tr2bl w:val="nil"/>
                  </w:tcBorders>
                  <w:noWrap w:val="0"/>
                  <w:vAlign w:val="center"/>
                </w:tcPr>
                <w:p w14:paraId="1D9CBC2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0.021</w:t>
                  </w:r>
                </w:p>
              </w:tc>
              <w:tc>
                <w:tcPr>
                  <w:tcW w:w="717" w:type="dxa"/>
                  <w:tcBorders>
                    <w:tl2br w:val="nil"/>
                    <w:tr2bl w:val="nil"/>
                  </w:tcBorders>
                  <w:noWrap w:val="0"/>
                  <w:vAlign w:val="center"/>
                </w:tcPr>
                <w:p w14:paraId="0A5747A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w:t>
                  </w:r>
                  <w:r>
                    <w:rPr>
                      <w:rFonts w:hint="eastAsia" w:cs="Times New Roman"/>
                      <w:color w:val="auto"/>
                      <w:sz w:val="21"/>
                      <w:szCs w:val="21"/>
                      <w:highlight w:val="none"/>
                      <w:lang w:val="en-US" w:eastAsia="zh-CN"/>
                    </w:rPr>
                    <w:t>4</w:t>
                  </w:r>
                </w:p>
              </w:tc>
              <w:tc>
                <w:tcPr>
                  <w:tcW w:w="798" w:type="dxa"/>
                  <w:tcBorders>
                    <w:tl2br w:val="nil"/>
                    <w:tr2bl w:val="nil"/>
                  </w:tcBorders>
                  <w:noWrap w:val="0"/>
                  <w:vAlign w:val="center"/>
                </w:tcPr>
                <w:p w14:paraId="28F9AF5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0.08</w:t>
                  </w:r>
                  <w:r>
                    <w:rPr>
                      <w:rFonts w:hint="eastAsia" w:cs="Times New Roman"/>
                      <w:color w:val="auto"/>
                      <w:sz w:val="21"/>
                      <w:szCs w:val="21"/>
                      <w:highlight w:val="none"/>
                      <w:lang w:val="en-US" w:eastAsia="zh-CN"/>
                    </w:rPr>
                    <w:t>6</w:t>
                  </w:r>
                </w:p>
              </w:tc>
            </w:tr>
            <w:tr w14:paraId="7AFD7F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6" w:hRule="atLeast"/>
                <w:jc w:val="center"/>
              </w:trPr>
              <w:tc>
                <w:tcPr>
                  <w:tcW w:w="979" w:type="dxa"/>
                  <w:vMerge w:val="continue"/>
                  <w:tcBorders>
                    <w:tl2br w:val="nil"/>
                    <w:tr2bl w:val="nil"/>
                  </w:tcBorders>
                  <w:noWrap w:val="0"/>
                  <w:vAlign w:val="center"/>
                </w:tcPr>
                <w:p w14:paraId="0A07211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color w:val="auto"/>
                      <w:sz w:val="21"/>
                      <w:szCs w:val="21"/>
                    </w:rPr>
                  </w:pPr>
                </w:p>
              </w:tc>
              <w:tc>
                <w:tcPr>
                  <w:tcW w:w="823" w:type="dxa"/>
                  <w:tcBorders>
                    <w:tl2br w:val="nil"/>
                    <w:tr2bl w:val="nil"/>
                  </w:tcBorders>
                  <w:noWrap w:val="0"/>
                  <w:vAlign w:val="center"/>
                </w:tcPr>
                <w:p w14:paraId="6132DDD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非甲烷总烃</w:t>
                  </w:r>
                </w:p>
              </w:tc>
              <w:tc>
                <w:tcPr>
                  <w:tcW w:w="823" w:type="dxa"/>
                  <w:tcBorders>
                    <w:tl2br w:val="nil"/>
                    <w:tr2bl w:val="nil"/>
                  </w:tcBorders>
                  <w:noWrap w:val="0"/>
                  <w:vAlign w:val="center"/>
                </w:tcPr>
                <w:p w14:paraId="37018CB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物料衡算法、类比法、产污系数法</w:t>
                  </w:r>
                </w:p>
              </w:tc>
              <w:tc>
                <w:tcPr>
                  <w:tcW w:w="738" w:type="dxa"/>
                  <w:tcBorders>
                    <w:tl2br w:val="nil"/>
                    <w:tr2bl w:val="nil"/>
                  </w:tcBorders>
                  <w:noWrap w:val="0"/>
                  <w:vAlign w:val="center"/>
                </w:tcPr>
                <w:p w14:paraId="7F0B6DD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1.824</w:t>
                  </w:r>
                </w:p>
              </w:tc>
              <w:tc>
                <w:tcPr>
                  <w:tcW w:w="739" w:type="dxa"/>
                  <w:tcBorders>
                    <w:tl2br w:val="nil"/>
                    <w:tr2bl w:val="nil"/>
                  </w:tcBorders>
                  <w:noWrap w:val="0"/>
                  <w:vAlign w:val="center"/>
                </w:tcPr>
                <w:p w14:paraId="466935D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28.9</w:t>
                  </w:r>
                </w:p>
              </w:tc>
              <w:tc>
                <w:tcPr>
                  <w:tcW w:w="673" w:type="dxa"/>
                  <w:vMerge w:val="continue"/>
                  <w:tcBorders>
                    <w:tl2br w:val="nil"/>
                    <w:tr2bl w:val="nil"/>
                  </w:tcBorders>
                  <w:noWrap w:val="0"/>
                  <w:vAlign w:val="center"/>
                </w:tcPr>
                <w:p w14:paraId="718DE7C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color w:val="auto"/>
                      <w:sz w:val="21"/>
                      <w:szCs w:val="21"/>
                    </w:rPr>
                  </w:pPr>
                </w:p>
              </w:tc>
              <w:tc>
                <w:tcPr>
                  <w:tcW w:w="895" w:type="dxa"/>
                  <w:vMerge w:val="continue"/>
                  <w:tcBorders>
                    <w:tl2br w:val="nil"/>
                    <w:tr2bl w:val="nil"/>
                  </w:tcBorders>
                  <w:noWrap w:val="0"/>
                  <w:vAlign w:val="center"/>
                </w:tcPr>
                <w:p w14:paraId="04925D9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color w:val="auto"/>
                      <w:sz w:val="21"/>
                      <w:szCs w:val="21"/>
                    </w:rPr>
                  </w:pPr>
                </w:p>
              </w:tc>
              <w:tc>
                <w:tcPr>
                  <w:tcW w:w="716" w:type="dxa"/>
                  <w:vMerge w:val="continue"/>
                  <w:tcBorders>
                    <w:tl2br w:val="nil"/>
                    <w:tr2bl w:val="nil"/>
                  </w:tcBorders>
                  <w:noWrap w:val="0"/>
                  <w:vAlign w:val="center"/>
                </w:tcPr>
                <w:p w14:paraId="04FB57C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color w:val="auto"/>
                      <w:sz w:val="21"/>
                      <w:szCs w:val="21"/>
                    </w:rPr>
                  </w:pPr>
                </w:p>
              </w:tc>
              <w:tc>
                <w:tcPr>
                  <w:tcW w:w="2206" w:type="dxa"/>
                  <w:vMerge w:val="continue"/>
                  <w:tcBorders>
                    <w:tl2br w:val="nil"/>
                    <w:tr2bl w:val="nil"/>
                  </w:tcBorders>
                  <w:noWrap w:val="0"/>
                  <w:vAlign w:val="center"/>
                </w:tcPr>
                <w:p w14:paraId="74D966F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color w:val="auto"/>
                      <w:sz w:val="21"/>
                      <w:szCs w:val="21"/>
                    </w:rPr>
                  </w:pPr>
                </w:p>
              </w:tc>
              <w:tc>
                <w:tcPr>
                  <w:tcW w:w="654" w:type="dxa"/>
                  <w:tcBorders>
                    <w:tl2br w:val="nil"/>
                    <w:tr2bl w:val="nil"/>
                  </w:tcBorders>
                  <w:noWrap w:val="0"/>
                  <w:vAlign w:val="center"/>
                </w:tcPr>
                <w:p w14:paraId="70512C2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90</w:t>
                  </w:r>
                </w:p>
              </w:tc>
              <w:tc>
                <w:tcPr>
                  <w:tcW w:w="781" w:type="dxa"/>
                  <w:vMerge w:val="continue"/>
                  <w:tcBorders>
                    <w:tl2br w:val="nil"/>
                    <w:tr2bl w:val="nil"/>
                  </w:tcBorders>
                  <w:noWrap w:val="0"/>
                  <w:vAlign w:val="center"/>
                </w:tcPr>
                <w:p w14:paraId="59EDCCF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color w:val="auto"/>
                      <w:sz w:val="21"/>
                      <w:szCs w:val="21"/>
                    </w:rPr>
                  </w:pPr>
                </w:p>
              </w:tc>
              <w:tc>
                <w:tcPr>
                  <w:tcW w:w="716" w:type="dxa"/>
                  <w:tcBorders>
                    <w:tl2br w:val="nil"/>
                    <w:tr2bl w:val="nil"/>
                  </w:tcBorders>
                  <w:noWrap w:val="0"/>
                  <w:vAlign w:val="center"/>
                </w:tcPr>
                <w:p w14:paraId="5FDF6A1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9</w:t>
                  </w:r>
                </w:p>
              </w:tc>
              <w:tc>
                <w:tcPr>
                  <w:tcW w:w="781" w:type="dxa"/>
                  <w:tcBorders>
                    <w:tl2br w:val="nil"/>
                    <w:tr2bl w:val="nil"/>
                  </w:tcBorders>
                  <w:noWrap w:val="0"/>
                  <w:vAlign w:val="center"/>
                </w:tcPr>
                <w:p w14:paraId="2569E64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0.08</w:t>
                  </w:r>
                  <w:r>
                    <w:rPr>
                      <w:rFonts w:hint="eastAsia" w:cs="Times New Roman"/>
                      <w:color w:val="auto"/>
                      <w:sz w:val="21"/>
                      <w:szCs w:val="21"/>
                      <w:highlight w:val="none"/>
                      <w:lang w:val="en-US" w:eastAsia="zh-CN"/>
                    </w:rPr>
                    <w:t>7</w:t>
                  </w:r>
                </w:p>
              </w:tc>
              <w:tc>
                <w:tcPr>
                  <w:tcW w:w="717" w:type="dxa"/>
                  <w:tcBorders>
                    <w:tl2br w:val="nil"/>
                    <w:tr2bl w:val="nil"/>
                  </w:tcBorders>
                  <w:noWrap w:val="0"/>
                  <w:vAlign w:val="center"/>
                </w:tcPr>
                <w:p w14:paraId="0A66854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0.17</w:t>
                  </w:r>
                  <w:r>
                    <w:rPr>
                      <w:rFonts w:hint="eastAsia" w:cs="Times New Roman"/>
                      <w:color w:val="auto"/>
                      <w:sz w:val="21"/>
                      <w:szCs w:val="21"/>
                      <w:highlight w:val="none"/>
                      <w:lang w:val="en-US" w:eastAsia="zh-CN"/>
                    </w:rPr>
                    <w:t>3</w:t>
                  </w:r>
                </w:p>
              </w:tc>
              <w:tc>
                <w:tcPr>
                  <w:tcW w:w="798" w:type="dxa"/>
                  <w:tcBorders>
                    <w:tl2br w:val="nil"/>
                    <w:tr2bl w:val="nil"/>
                  </w:tcBorders>
                  <w:noWrap w:val="0"/>
                  <w:vAlign w:val="center"/>
                </w:tcPr>
                <w:p w14:paraId="5CE1BF9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91</w:t>
                  </w:r>
                </w:p>
              </w:tc>
            </w:tr>
            <w:tr w14:paraId="20BB99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6" w:hRule="atLeast"/>
                <w:jc w:val="center"/>
              </w:trPr>
              <w:tc>
                <w:tcPr>
                  <w:tcW w:w="979" w:type="dxa"/>
                  <w:vMerge w:val="continue"/>
                  <w:tcBorders>
                    <w:tl2br w:val="nil"/>
                    <w:tr2bl w:val="nil"/>
                  </w:tcBorders>
                  <w:noWrap w:val="0"/>
                  <w:vAlign w:val="center"/>
                </w:tcPr>
                <w:p w14:paraId="34CE275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823" w:type="dxa"/>
                  <w:tcBorders>
                    <w:tl2br w:val="nil"/>
                    <w:tr2bl w:val="nil"/>
                  </w:tcBorders>
                  <w:noWrap w:val="0"/>
                  <w:vAlign w:val="center"/>
                </w:tcPr>
                <w:p w14:paraId="64E9111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甲苯与二甲苯合计</w:t>
                  </w:r>
                </w:p>
              </w:tc>
              <w:tc>
                <w:tcPr>
                  <w:tcW w:w="823" w:type="dxa"/>
                  <w:tcBorders>
                    <w:tl2br w:val="nil"/>
                    <w:tr2bl w:val="nil"/>
                  </w:tcBorders>
                  <w:noWrap w:val="0"/>
                  <w:vAlign w:val="center"/>
                </w:tcPr>
                <w:p w14:paraId="40E91AE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lang w:val="en-US" w:eastAsia="zh-CN"/>
                    </w:rPr>
                    <w:t>物料衡算法、类比法、产污系数法</w:t>
                  </w:r>
                </w:p>
              </w:tc>
              <w:tc>
                <w:tcPr>
                  <w:tcW w:w="738" w:type="dxa"/>
                  <w:tcBorders>
                    <w:tl2br w:val="nil"/>
                    <w:tr2bl w:val="nil"/>
                  </w:tcBorders>
                  <w:noWrap w:val="0"/>
                  <w:vAlign w:val="center"/>
                </w:tcPr>
                <w:p w14:paraId="728CC8E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r>
                    <w:rPr>
                      <w:rFonts w:hint="eastAsia" w:cs="Times New Roman"/>
                      <w:color w:val="auto"/>
                      <w:sz w:val="21"/>
                      <w:szCs w:val="21"/>
                      <w:highlight w:val="none"/>
                      <w:lang w:val="en-US" w:eastAsia="zh-CN"/>
                    </w:rPr>
                    <w:t>19</w:t>
                  </w:r>
                </w:p>
              </w:tc>
              <w:tc>
                <w:tcPr>
                  <w:tcW w:w="739" w:type="dxa"/>
                  <w:tcBorders>
                    <w:tl2br w:val="nil"/>
                    <w:tr2bl w:val="nil"/>
                  </w:tcBorders>
                  <w:noWrap w:val="0"/>
                  <w:vAlign w:val="center"/>
                </w:tcPr>
                <w:p w14:paraId="553E561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w:t>
                  </w:r>
                  <w:r>
                    <w:rPr>
                      <w:rFonts w:hint="eastAsia" w:cs="Times New Roman"/>
                      <w:color w:val="auto"/>
                      <w:sz w:val="21"/>
                      <w:szCs w:val="21"/>
                      <w:highlight w:val="none"/>
                      <w:lang w:val="en-US" w:eastAsia="zh-CN"/>
                    </w:rPr>
                    <w:t>3</w:t>
                  </w:r>
                </w:p>
              </w:tc>
              <w:tc>
                <w:tcPr>
                  <w:tcW w:w="673" w:type="dxa"/>
                  <w:vMerge w:val="continue"/>
                  <w:tcBorders>
                    <w:tl2br w:val="nil"/>
                    <w:tr2bl w:val="nil"/>
                  </w:tcBorders>
                  <w:noWrap w:val="0"/>
                  <w:vAlign w:val="center"/>
                </w:tcPr>
                <w:p w14:paraId="5FD48F8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895" w:type="dxa"/>
                  <w:vMerge w:val="continue"/>
                  <w:tcBorders>
                    <w:tl2br w:val="nil"/>
                    <w:tr2bl w:val="nil"/>
                  </w:tcBorders>
                  <w:noWrap w:val="0"/>
                  <w:vAlign w:val="center"/>
                </w:tcPr>
                <w:p w14:paraId="6D3634E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16" w:type="dxa"/>
                  <w:vMerge w:val="continue"/>
                  <w:tcBorders>
                    <w:tl2br w:val="nil"/>
                    <w:tr2bl w:val="nil"/>
                  </w:tcBorders>
                  <w:noWrap w:val="0"/>
                  <w:vAlign w:val="center"/>
                </w:tcPr>
                <w:p w14:paraId="549EF72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2206" w:type="dxa"/>
                  <w:vMerge w:val="continue"/>
                  <w:tcBorders>
                    <w:tl2br w:val="nil"/>
                    <w:tr2bl w:val="nil"/>
                  </w:tcBorders>
                  <w:noWrap w:val="0"/>
                  <w:vAlign w:val="center"/>
                </w:tcPr>
                <w:p w14:paraId="1B631D2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54" w:type="dxa"/>
                  <w:tcBorders>
                    <w:tl2br w:val="nil"/>
                    <w:tr2bl w:val="nil"/>
                  </w:tcBorders>
                  <w:noWrap w:val="0"/>
                  <w:vAlign w:val="center"/>
                </w:tcPr>
                <w:p w14:paraId="374E619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781" w:type="dxa"/>
                  <w:vMerge w:val="continue"/>
                  <w:tcBorders>
                    <w:tl2br w:val="nil"/>
                    <w:tr2bl w:val="nil"/>
                  </w:tcBorders>
                  <w:noWrap w:val="0"/>
                  <w:vAlign w:val="center"/>
                </w:tcPr>
                <w:p w14:paraId="5EEDCA3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16" w:type="dxa"/>
                  <w:tcBorders>
                    <w:tl2br w:val="nil"/>
                    <w:tr2bl w:val="nil"/>
                  </w:tcBorders>
                  <w:noWrap w:val="0"/>
                  <w:vAlign w:val="center"/>
                </w:tcPr>
                <w:p w14:paraId="407FE20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w:t>
                  </w:r>
                </w:p>
              </w:tc>
              <w:tc>
                <w:tcPr>
                  <w:tcW w:w="781" w:type="dxa"/>
                  <w:tcBorders>
                    <w:tl2br w:val="nil"/>
                    <w:tr2bl w:val="nil"/>
                  </w:tcBorders>
                  <w:noWrap w:val="0"/>
                  <w:vAlign w:val="center"/>
                </w:tcPr>
                <w:p w14:paraId="49E991F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0.058</w:t>
                  </w:r>
                </w:p>
              </w:tc>
              <w:tc>
                <w:tcPr>
                  <w:tcW w:w="717" w:type="dxa"/>
                  <w:tcBorders>
                    <w:tl2br w:val="nil"/>
                    <w:tr2bl w:val="nil"/>
                  </w:tcBorders>
                  <w:noWrap w:val="0"/>
                  <w:vAlign w:val="center"/>
                </w:tcPr>
                <w:p w14:paraId="690B0C7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116</w:t>
                  </w:r>
                </w:p>
              </w:tc>
              <w:tc>
                <w:tcPr>
                  <w:tcW w:w="798" w:type="dxa"/>
                  <w:tcBorders>
                    <w:tl2br w:val="nil"/>
                    <w:tr2bl w:val="nil"/>
                  </w:tcBorders>
                  <w:noWrap w:val="0"/>
                  <w:vAlign w:val="center"/>
                </w:tcPr>
                <w:p w14:paraId="229F6F1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61</w:t>
                  </w:r>
                </w:p>
              </w:tc>
            </w:tr>
            <w:tr w14:paraId="5F2CB4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979" w:type="dxa"/>
                  <w:vMerge w:val="restart"/>
                  <w:tcBorders>
                    <w:tl2br w:val="nil"/>
                    <w:tr2bl w:val="nil"/>
                  </w:tcBorders>
                  <w:noWrap w:val="0"/>
                  <w:vAlign w:val="center"/>
                </w:tcPr>
                <w:p w14:paraId="7DE0E77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食堂</w:t>
                  </w:r>
                </w:p>
              </w:tc>
              <w:tc>
                <w:tcPr>
                  <w:tcW w:w="823" w:type="dxa"/>
                  <w:tcBorders>
                    <w:tl2br w:val="nil"/>
                    <w:tr2bl w:val="nil"/>
                  </w:tcBorders>
                  <w:noWrap w:val="0"/>
                  <w:vAlign w:val="center"/>
                </w:tcPr>
                <w:p w14:paraId="574D7A2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油烟</w:t>
                  </w:r>
                </w:p>
              </w:tc>
              <w:tc>
                <w:tcPr>
                  <w:tcW w:w="823" w:type="dxa"/>
                  <w:tcBorders>
                    <w:tl2br w:val="nil"/>
                    <w:tr2bl w:val="nil"/>
                  </w:tcBorders>
                  <w:noWrap w:val="0"/>
                  <w:vAlign w:val="center"/>
                </w:tcPr>
                <w:p w14:paraId="5E167A5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产污系数法</w:t>
                  </w:r>
                </w:p>
              </w:tc>
              <w:tc>
                <w:tcPr>
                  <w:tcW w:w="738" w:type="dxa"/>
                  <w:tcBorders>
                    <w:tl2br w:val="nil"/>
                    <w:tr2bl w:val="nil"/>
                  </w:tcBorders>
                  <w:noWrap w:val="0"/>
                  <w:vAlign w:val="center"/>
                </w:tcPr>
                <w:p w14:paraId="67CA9A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0.063</w:t>
                  </w:r>
                </w:p>
              </w:tc>
              <w:tc>
                <w:tcPr>
                  <w:tcW w:w="739" w:type="dxa"/>
                  <w:tcBorders>
                    <w:tl2br w:val="nil"/>
                    <w:tr2bl w:val="nil"/>
                  </w:tcBorders>
                  <w:noWrap w:val="0"/>
                  <w:vAlign w:val="center"/>
                </w:tcPr>
                <w:p w14:paraId="16F9CED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6.5</w:t>
                  </w:r>
                </w:p>
              </w:tc>
              <w:tc>
                <w:tcPr>
                  <w:tcW w:w="673" w:type="dxa"/>
                  <w:tcBorders>
                    <w:tl2br w:val="nil"/>
                    <w:tr2bl w:val="nil"/>
                  </w:tcBorders>
                  <w:noWrap w:val="0"/>
                  <w:vAlign w:val="center"/>
                </w:tcPr>
                <w:p w14:paraId="086A9A5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w:t>
                  </w:r>
                </w:p>
              </w:tc>
              <w:tc>
                <w:tcPr>
                  <w:tcW w:w="895" w:type="dxa"/>
                  <w:tcBorders>
                    <w:tl2br w:val="nil"/>
                    <w:tr2bl w:val="nil"/>
                  </w:tcBorders>
                  <w:noWrap w:val="0"/>
                  <w:vAlign w:val="center"/>
                </w:tcPr>
                <w:p w14:paraId="33D1224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w:t>
                  </w:r>
                </w:p>
              </w:tc>
              <w:tc>
                <w:tcPr>
                  <w:tcW w:w="716" w:type="dxa"/>
                  <w:tcBorders>
                    <w:tl2br w:val="nil"/>
                    <w:tr2bl w:val="nil"/>
                  </w:tcBorders>
                  <w:noWrap w:val="0"/>
                  <w:vAlign w:val="center"/>
                </w:tcPr>
                <w:p w14:paraId="4276930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w:t>
                  </w:r>
                </w:p>
              </w:tc>
              <w:tc>
                <w:tcPr>
                  <w:tcW w:w="2206" w:type="dxa"/>
                  <w:vMerge w:val="restart"/>
                  <w:tcBorders>
                    <w:tl2br w:val="nil"/>
                    <w:tr2bl w:val="nil"/>
                  </w:tcBorders>
                  <w:noWrap w:val="0"/>
                  <w:vAlign w:val="center"/>
                </w:tcPr>
                <w:p w14:paraId="14B48FC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经油烟净化器处理后经专用烟道排放</w:t>
                  </w:r>
                </w:p>
              </w:tc>
              <w:tc>
                <w:tcPr>
                  <w:tcW w:w="654" w:type="dxa"/>
                  <w:tcBorders>
                    <w:tl2br w:val="nil"/>
                    <w:tr2bl w:val="nil"/>
                  </w:tcBorders>
                  <w:noWrap w:val="0"/>
                  <w:vAlign w:val="center"/>
                </w:tcPr>
                <w:p w14:paraId="5EB5AD7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cs="Times New Roman"/>
                      <w:bCs/>
                      <w:caps w:val="0"/>
                      <w:color w:val="auto"/>
                      <w:spacing w:val="0"/>
                      <w:position w:val="0"/>
                      <w:sz w:val="21"/>
                      <w:szCs w:val="21"/>
                      <w:highlight w:val="none"/>
                      <w:lang w:val="en-US" w:eastAsia="zh-CN"/>
                    </w:rPr>
                    <w:t>75</w:t>
                  </w:r>
                </w:p>
              </w:tc>
              <w:tc>
                <w:tcPr>
                  <w:tcW w:w="781" w:type="dxa"/>
                  <w:vMerge w:val="restart"/>
                  <w:tcBorders>
                    <w:tl2br w:val="nil"/>
                    <w:tr2bl w:val="nil"/>
                  </w:tcBorders>
                  <w:noWrap w:val="0"/>
                  <w:vAlign w:val="center"/>
                </w:tcPr>
                <w:p w14:paraId="2FDEB2E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cs="Times New Roman"/>
                      <w:color w:val="auto"/>
                      <w:sz w:val="21"/>
                      <w:szCs w:val="21"/>
                      <w:highlight w:val="none"/>
                      <w:lang w:val="en-US" w:eastAsia="zh-CN"/>
                    </w:rPr>
                    <w:t>是</w:t>
                  </w:r>
                </w:p>
              </w:tc>
              <w:tc>
                <w:tcPr>
                  <w:tcW w:w="716" w:type="dxa"/>
                  <w:tcBorders>
                    <w:tl2br w:val="nil"/>
                    <w:tr2bl w:val="nil"/>
                  </w:tcBorders>
                  <w:noWrap w:val="0"/>
                  <w:vAlign w:val="center"/>
                </w:tcPr>
                <w:p w14:paraId="7FCA5CB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0.8</w:t>
                  </w:r>
                </w:p>
              </w:tc>
              <w:tc>
                <w:tcPr>
                  <w:tcW w:w="781" w:type="dxa"/>
                  <w:tcBorders>
                    <w:tl2br w:val="nil"/>
                    <w:tr2bl w:val="nil"/>
                  </w:tcBorders>
                  <w:noWrap w:val="0"/>
                  <w:vAlign w:val="center"/>
                </w:tcPr>
                <w:p w14:paraId="7E12B6A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717" w:type="dxa"/>
                  <w:tcBorders>
                    <w:tl2br w:val="nil"/>
                    <w:tr2bl w:val="nil"/>
                  </w:tcBorders>
                  <w:noWrap w:val="0"/>
                  <w:vAlign w:val="center"/>
                </w:tcPr>
                <w:p w14:paraId="6D478A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798" w:type="dxa"/>
                  <w:tcBorders>
                    <w:tl2br w:val="nil"/>
                    <w:tr2bl w:val="nil"/>
                  </w:tcBorders>
                  <w:noWrap w:val="0"/>
                  <w:vAlign w:val="center"/>
                </w:tcPr>
                <w:p w14:paraId="44F82C0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w:t>
                  </w:r>
                </w:p>
              </w:tc>
            </w:tr>
            <w:tr w14:paraId="07D188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979" w:type="dxa"/>
                  <w:vMerge w:val="continue"/>
                  <w:tcBorders>
                    <w:tl2br w:val="nil"/>
                    <w:tr2bl w:val="nil"/>
                  </w:tcBorders>
                  <w:noWrap w:val="0"/>
                  <w:vAlign w:val="center"/>
                </w:tcPr>
                <w:p w14:paraId="0472E51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auto"/>
                      <w:sz w:val="21"/>
                      <w:szCs w:val="21"/>
                      <w:highlight w:val="none"/>
                      <w:lang w:val="en-US" w:eastAsia="zh-CN"/>
                    </w:rPr>
                  </w:pPr>
                </w:p>
              </w:tc>
              <w:tc>
                <w:tcPr>
                  <w:tcW w:w="823" w:type="dxa"/>
                  <w:tcBorders>
                    <w:tl2br w:val="nil"/>
                    <w:tr2bl w:val="nil"/>
                  </w:tcBorders>
                  <w:noWrap w:val="0"/>
                  <w:vAlign w:val="center"/>
                </w:tcPr>
                <w:p w14:paraId="5ECF214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823" w:type="dxa"/>
                  <w:tcBorders>
                    <w:tl2br w:val="nil"/>
                    <w:tr2bl w:val="nil"/>
                  </w:tcBorders>
                  <w:noWrap w:val="0"/>
                  <w:vAlign w:val="center"/>
                </w:tcPr>
                <w:p w14:paraId="7D12A39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类比法</w:t>
                  </w:r>
                </w:p>
              </w:tc>
              <w:tc>
                <w:tcPr>
                  <w:tcW w:w="738" w:type="dxa"/>
                  <w:tcBorders>
                    <w:tl2br w:val="nil"/>
                    <w:tr2bl w:val="nil"/>
                  </w:tcBorders>
                  <w:noWrap w:val="0"/>
                  <w:vAlign w:val="center"/>
                </w:tcPr>
                <w:p w14:paraId="167ABFD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0.169</w:t>
                  </w:r>
                </w:p>
              </w:tc>
              <w:tc>
                <w:tcPr>
                  <w:tcW w:w="739" w:type="dxa"/>
                  <w:tcBorders>
                    <w:tl2br w:val="nil"/>
                    <w:tr2bl w:val="nil"/>
                  </w:tcBorders>
                  <w:noWrap w:val="0"/>
                  <w:vAlign w:val="center"/>
                </w:tcPr>
                <w:p w14:paraId="3C6FED4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15</w:t>
                  </w:r>
                </w:p>
              </w:tc>
              <w:tc>
                <w:tcPr>
                  <w:tcW w:w="673" w:type="dxa"/>
                  <w:tcBorders>
                    <w:tl2br w:val="nil"/>
                    <w:tr2bl w:val="nil"/>
                  </w:tcBorders>
                  <w:noWrap w:val="0"/>
                  <w:vAlign w:val="center"/>
                </w:tcPr>
                <w:p w14:paraId="0B37BF5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w:t>
                  </w:r>
                </w:p>
              </w:tc>
              <w:tc>
                <w:tcPr>
                  <w:tcW w:w="895" w:type="dxa"/>
                  <w:tcBorders>
                    <w:tl2br w:val="nil"/>
                    <w:tr2bl w:val="nil"/>
                  </w:tcBorders>
                  <w:noWrap w:val="0"/>
                  <w:vAlign w:val="center"/>
                </w:tcPr>
                <w:p w14:paraId="2E3C53B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w:t>
                  </w:r>
                </w:p>
              </w:tc>
              <w:tc>
                <w:tcPr>
                  <w:tcW w:w="716" w:type="dxa"/>
                  <w:tcBorders>
                    <w:tl2br w:val="nil"/>
                    <w:tr2bl w:val="nil"/>
                  </w:tcBorders>
                  <w:noWrap w:val="0"/>
                  <w:vAlign w:val="center"/>
                </w:tcPr>
                <w:p w14:paraId="29948FF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w:t>
                  </w:r>
                </w:p>
              </w:tc>
              <w:tc>
                <w:tcPr>
                  <w:tcW w:w="2206" w:type="dxa"/>
                  <w:vMerge w:val="continue"/>
                  <w:tcBorders>
                    <w:tl2br w:val="nil"/>
                    <w:tr2bl w:val="nil"/>
                  </w:tcBorders>
                  <w:noWrap w:val="0"/>
                  <w:vAlign w:val="center"/>
                </w:tcPr>
                <w:p w14:paraId="370A856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54" w:type="dxa"/>
                  <w:tcBorders>
                    <w:tl2br w:val="nil"/>
                    <w:tr2bl w:val="nil"/>
                  </w:tcBorders>
                  <w:noWrap w:val="0"/>
                  <w:vAlign w:val="center"/>
                </w:tcPr>
                <w:p w14:paraId="555FD77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50</w:t>
                  </w:r>
                </w:p>
              </w:tc>
              <w:tc>
                <w:tcPr>
                  <w:tcW w:w="781" w:type="dxa"/>
                  <w:vMerge w:val="continue"/>
                  <w:tcBorders>
                    <w:tl2br w:val="nil"/>
                    <w:tr2bl w:val="nil"/>
                  </w:tcBorders>
                  <w:noWrap w:val="0"/>
                  <w:vAlign w:val="center"/>
                </w:tcPr>
                <w:p w14:paraId="2649DBC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16" w:type="dxa"/>
                  <w:tcBorders>
                    <w:tl2br w:val="nil"/>
                    <w:tr2bl w:val="nil"/>
                  </w:tcBorders>
                  <w:noWrap w:val="0"/>
                  <w:vAlign w:val="center"/>
                </w:tcPr>
                <w:p w14:paraId="411C73C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7.5</w:t>
                  </w:r>
                </w:p>
              </w:tc>
              <w:tc>
                <w:tcPr>
                  <w:tcW w:w="781" w:type="dxa"/>
                  <w:tcBorders>
                    <w:tl2br w:val="nil"/>
                    <w:tr2bl w:val="nil"/>
                  </w:tcBorders>
                  <w:noWrap w:val="0"/>
                  <w:vAlign w:val="center"/>
                </w:tcPr>
                <w:p w14:paraId="15846F9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0.075</w:t>
                  </w:r>
                </w:p>
              </w:tc>
              <w:tc>
                <w:tcPr>
                  <w:tcW w:w="717" w:type="dxa"/>
                  <w:tcBorders>
                    <w:tl2br w:val="nil"/>
                    <w:tr2bl w:val="nil"/>
                  </w:tcBorders>
                  <w:noWrap w:val="0"/>
                  <w:vAlign w:val="center"/>
                </w:tcPr>
                <w:p w14:paraId="6C00753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0.085</w:t>
                  </w:r>
                </w:p>
              </w:tc>
              <w:tc>
                <w:tcPr>
                  <w:tcW w:w="798" w:type="dxa"/>
                  <w:tcBorders>
                    <w:tl2br w:val="nil"/>
                    <w:tr2bl w:val="nil"/>
                  </w:tcBorders>
                  <w:noWrap w:val="0"/>
                  <w:vAlign w:val="center"/>
                </w:tcPr>
                <w:p w14:paraId="3A2B483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w:t>
                  </w:r>
                </w:p>
              </w:tc>
            </w:tr>
          </w:tbl>
          <w:p w14:paraId="4B1BF2E5">
            <w:pPr>
              <w:bidi w:val="0"/>
              <w:rPr>
                <w:rFonts w:hint="eastAsia"/>
                <w:color w:val="auto"/>
                <w:highlight w:val="none"/>
              </w:rPr>
            </w:pPr>
          </w:p>
          <w:p w14:paraId="712C54BD">
            <w:pPr>
              <w:bidi w:val="0"/>
              <w:rPr>
                <w:rFonts w:hint="eastAsia"/>
                <w:color w:val="auto"/>
                <w:highlight w:val="none"/>
              </w:rPr>
            </w:pPr>
          </w:p>
          <w:p w14:paraId="1C8A6713">
            <w:pPr>
              <w:bidi w:val="0"/>
              <w:rPr>
                <w:rFonts w:hint="eastAsia"/>
                <w:color w:val="auto"/>
                <w:highlight w:val="none"/>
              </w:rPr>
            </w:pPr>
          </w:p>
          <w:p w14:paraId="22505DC2">
            <w:pPr>
              <w:bidi w:val="0"/>
              <w:rPr>
                <w:rFonts w:hint="eastAsia"/>
                <w:color w:val="auto"/>
                <w:highlight w:val="none"/>
              </w:rPr>
            </w:pPr>
          </w:p>
          <w:p w14:paraId="392A02B6">
            <w:pPr>
              <w:bidi w:val="0"/>
              <w:rPr>
                <w:rFonts w:hint="eastAsia"/>
                <w:color w:val="auto"/>
                <w:highlight w:val="none"/>
              </w:rPr>
            </w:pPr>
          </w:p>
          <w:p w14:paraId="3FD3BFCF">
            <w:pPr>
              <w:bidi w:val="0"/>
              <w:rPr>
                <w:rFonts w:hint="eastAsia"/>
                <w:color w:val="auto"/>
                <w:highlight w:val="none"/>
              </w:rPr>
            </w:pPr>
          </w:p>
          <w:p w14:paraId="4412C407">
            <w:pPr>
              <w:bidi w:val="0"/>
              <w:ind w:left="0" w:leftChars="0" w:firstLine="0" w:firstLineChars="0"/>
              <w:rPr>
                <w:rFonts w:hint="eastAsia"/>
                <w:color w:val="auto"/>
                <w:highlight w:val="none"/>
              </w:rPr>
            </w:pPr>
          </w:p>
        </w:tc>
      </w:tr>
    </w:tbl>
    <w:p w14:paraId="3E9591BE">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934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59"/>
        <w:gridCol w:w="8588"/>
      </w:tblGrid>
      <w:tr w14:paraId="70A0F1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2398" w:hRule="atLeast"/>
          <w:jc w:val="center"/>
        </w:trPr>
        <w:tc>
          <w:tcPr>
            <w:tcW w:w="759" w:type="dxa"/>
            <w:tcBorders>
              <w:tl2br w:val="nil"/>
              <w:tr2bl w:val="nil"/>
            </w:tcBorders>
            <w:shd w:val="clear" w:color="auto" w:fill="FFFFFF"/>
            <w:noWrap w:val="0"/>
            <w:tcMar>
              <w:left w:w="28" w:type="dxa"/>
              <w:right w:w="28" w:type="dxa"/>
            </w:tcMar>
            <w:vAlign w:val="center"/>
          </w:tcPr>
          <w:p w14:paraId="18E44BB3">
            <w:pPr>
              <w:pStyle w:val="31"/>
              <w:bidi w:val="0"/>
              <w:ind w:firstLine="0" w:firstLineChars="0"/>
              <w:rPr>
                <w:rFonts w:hint="eastAsia"/>
                <w:color w:val="auto"/>
                <w:highlight w:val="none"/>
              </w:rPr>
            </w:pPr>
          </w:p>
        </w:tc>
        <w:tc>
          <w:tcPr>
            <w:tcW w:w="8588" w:type="dxa"/>
            <w:tcBorders>
              <w:tl2br w:val="nil"/>
              <w:tr2bl w:val="nil"/>
            </w:tcBorders>
            <w:shd w:val="clear" w:color="auto" w:fill="FFFFFF"/>
            <w:noWrap w:val="0"/>
            <w:vAlign w:val="top"/>
          </w:tcPr>
          <w:p w14:paraId="172C8D64">
            <w:pPr>
              <w:bidi w:val="0"/>
              <w:rPr>
                <w:rFonts w:hint="default" w:eastAsia="宋体"/>
                <w:color w:val="auto"/>
                <w:highlight w:val="none"/>
                <w:lang w:val="en-US" w:eastAsia="zh-CN"/>
              </w:rPr>
            </w:pPr>
            <w:r>
              <w:rPr>
                <w:rFonts w:hint="eastAsia"/>
                <w:color w:val="auto"/>
                <w:highlight w:val="none"/>
                <w:lang w:val="en-US" w:eastAsia="zh-CN"/>
              </w:rPr>
              <w:t>项目排放口基本情况见下表。</w:t>
            </w:r>
          </w:p>
          <w:p w14:paraId="1F3FC94E">
            <w:pPr>
              <w:pStyle w:val="33"/>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38  项目</w:t>
            </w:r>
            <w:r>
              <w:rPr>
                <w:rFonts w:hint="default"/>
                <w:color w:val="auto"/>
                <w:sz w:val="21"/>
                <w:szCs w:val="21"/>
                <w:highlight w:val="none"/>
                <w:lang w:eastAsia="zh-CN"/>
              </w:rPr>
              <w:t>排放口基本情况一</w:t>
            </w:r>
            <w:r>
              <w:rPr>
                <w:rFonts w:hint="default"/>
                <w:color w:val="auto"/>
                <w:sz w:val="21"/>
                <w:szCs w:val="21"/>
                <w:highlight w:val="none"/>
              </w:rPr>
              <w:t>览表</w:t>
            </w:r>
          </w:p>
          <w:tbl>
            <w:tblPr>
              <w:tblStyle w:val="24"/>
              <w:tblW w:w="83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10"/>
              <w:gridCol w:w="656"/>
              <w:gridCol w:w="715"/>
              <w:gridCol w:w="715"/>
              <w:gridCol w:w="826"/>
              <w:gridCol w:w="1194"/>
              <w:gridCol w:w="1133"/>
              <w:gridCol w:w="1141"/>
            </w:tblGrid>
            <w:tr w14:paraId="7668EC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48" w:hRule="atLeast"/>
                <w:jc w:val="center"/>
              </w:trPr>
              <w:tc>
                <w:tcPr>
                  <w:tcW w:w="1197" w:type="pct"/>
                  <w:vMerge w:val="restart"/>
                  <w:tcBorders>
                    <w:tl2br w:val="nil"/>
                    <w:tr2bl w:val="nil"/>
                  </w:tcBorders>
                  <w:noWrap w:val="0"/>
                  <w:vAlign w:val="center"/>
                </w:tcPr>
                <w:p w14:paraId="513B95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eastAsia="zh-CN"/>
                    </w:rPr>
                    <w:t>排</w:t>
                  </w:r>
                  <w:r>
                    <w:rPr>
                      <w:rFonts w:hint="eastAsia" w:ascii="Times New Roman" w:hAnsi="Times New Roman" w:eastAsia="宋体" w:cs="Times New Roman"/>
                      <w:bCs/>
                      <w:caps w:val="0"/>
                      <w:color w:val="auto"/>
                      <w:spacing w:val="0"/>
                      <w:position w:val="0"/>
                      <w:sz w:val="21"/>
                      <w:szCs w:val="21"/>
                      <w:highlight w:val="none"/>
                      <w:lang w:val="en-US" w:eastAsia="zh-CN"/>
                    </w:rPr>
                    <w:t>放口名称</w:t>
                  </w:r>
                </w:p>
              </w:tc>
              <w:tc>
                <w:tcPr>
                  <w:tcW w:w="391" w:type="pct"/>
                  <w:vMerge w:val="restart"/>
                  <w:tcBorders>
                    <w:tl2br w:val="nil"/>
                    <w:tr2bl w:val="nil"/>
                  </w:tcBorders>
                  <w:noWrap w:val="0"/>
                  <w:vAlign w:val="center"/>
                </w:tcPr>
                <w:p w14:paraId="34D753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高度</w:t>
                  </w:r>
                </w:p>
              </w:tc>
              <w:tc>
                <w:tcPr>
                  <w:tcW w:w="426" w:type="pct"/>
                  <w:vMerge w:val="restart"/>
                  <w:tcBorders>
                    <w:tl2br w:val="nil"/>
                    <w:tr2bl w:val="nil"/>
                  </w:tcBorders>
                  <w:noWrap w:val="0"/>
                  <w:vAlign w:val="center"/>
                </w:tcPr>
                <w:p w14:paraId="327CD0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内径</w:t>
                  </w:r>
                </w:p>
              </w:tc>
              <w:tc>
                <w:tcPr>
                  <w:tcW w:w="426" w:type="pct"/>
                  <w:vMerge w:val="restart"/>
                  <w:tcBorders>
                    <w:tl2br w:val="nil"/>
                    <w:tr2bl w:val="nil"/>
                  </w:tcBorders>
                  <w:noWrap w:val="0"/>
                  <w:vAlign w:val="center"/>
                </w:tcPr>
                <w:p w14:paraId="3BC90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温度</w:t>
                  </w:r>
                </w:p>
              </w:tc>
              <w:tc>
                <w:tcPr>
                  <w:tcW w:w="492" w:type="pct"/>
                  <w:vMerge w:val="restart"/>
                  <w:tcBorders>
                    <w:tl2br w:val="nil"/>
                    <w:tr2bl w:val="nil"/>
                  </w:tcBorders>
                  <w:noWrap w:val="0"/>
                  <w:vAlign w:val="center"/>
                </w:tcPr>
                <w:p w14:paraId="62DD7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编号</w:t>
                  </w:r>
                </w:p>
              </w:tc>
              <w:tc>
                <w:tcPr>
                  <w:tcW w:w="711" w:type="pct"/>
                  <w:vMerge w:val="restart"/>
                  <w:tcBorders>
                    <w:tl2br w:val="nil"/>
                    <w:tr2bl w:val="nil"/>
                  </w:tcBorders>
                  <w:noWrap w:val="0"/>
                  <w:vAlign w:val="center"/>
                </w:tcPr>
                <w:p w14:paraId="6B3B6C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类型</w:t>
                  </w:r>
                </w:p>
              </w:tc>
              <w:tc>
                <w:tcPr>
                  <w:tcW w:w="1354" w:type="pct"/>
                  <w:gridSpan w:val="2"/>
                  <w:tcBorders>
                    <w:tl2br w:val="nil"/>
                    <w:tr2bl w:val="nil"/>
                  </w:tcBorders>
                  <w:noWrap w:val="0"/>
                  <w:vAlign w:val="center"/>
                </w:tcPr>
                <w:p w14:paraId="340CF3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lang w:eastAsia="zh-CN"/>
                    </w:rPr>
                    <w:t>地理坐标</w:t>
                  </w:r>
                </w:p>
              </w:tc>
            </w:tr>
            <w:tr w14:paraId="6E8E6A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1197" w:type="pct"/>
                  <w:vMerge w:val="continue"/>
                  <w:tcBorders>
                    <w:tl2br w:val="nil"/>
                    <w:tr2bl w:val="nil"/>
                  </w:tcBorders>
                  <w:noWrap w:val="0"/>
                  <w:vAlign w:val="center"/>
                </w:tcPr>
                <w:p w14:paraId="34DBF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91" w:type="pct"/>
                  <w:vMerge w:val="continue"/>
                  <w:tcBorders>
                    <w:tl2br w:val="nil"/>
                    <w:tr2bl w:val="nil"/>
                  </w:tcBorders>
                  <w:noWrap w:val="0"/>
                  <w:vAlign w:val="center"/>
                </w:tcPr>
                <w:p w14:paraId="383F82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6" w:type="pct"/>
                  <w:vMerge w:val="continue"/>
                  <w:tcBorders>
                    <w:tl2br w:val="nil"/>
                    <w:tr2bl w:val="nil"/>
                  </w:tcBorders>
                  <w:noWrap w:val="0"/>
                  <w:vAlign w:val="center"/>
                </w:tcPr>
                <w:p w14:paraId="44EAF5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6" w:type="pct"/>
                  <w:vMerge w:val="continue"/>
                  <w:tcBorders>
                    <w:tl2br w:val="nil"/>
                    <w:tr2bl w:val="nil"/>
                  </w:tcBorders>
                  <w:noWrap w:val="0"/>
                  <w:vAlign w:val="center"/>
                </w:tcPr>
                <w:p w14:paraId="3ADFAF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92" w:type="pct"/>
                  <w:vMerge w:val="continue"/>
                  <w:tcBorders>
                    <w:tl2br w:val="nil"/>
                    <w:tr2bl w:val="nil"/>
                  </w:tcBorders>
                  <w:noWrap w:val="0"/>
                  <w:vAlign w:val="center"/>
                </w:tcPr>
                <w:p w14:paraId="43CFB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11" w:type="pct"/>
                  <w:vMerge w:val="continue"/>
                  <w:tcBorders>
                    <w:tl2br w:val="nil"/>
                    <w:tr2bl w:val="nil"/>
                  </w:tcBorders>
                  <w:noWrap w:val="0"/>
                  <w:vAlign w:val="center"/>
                </w:tcPr>
                <w:p w14:paraId="1895AA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75" w:type="pct"/>
                  <w:tcBorders>
                    <w:tl2br w:val="nil"/>
                    <w:tr2bl w:val="nil"/>
                  </w:tcBorders>
                  <w:noWrap w:val="0"/>
                  <w:vAlign w:val="center"/>
                </w:tcPr>
                <w:p w14:paraId="560EAB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东经</w:t>
                  </w:r>
                </w:p>
              </w:tc>
              <w:tc>
                <w:tcPr>
                  <w:tcW w:w="678" w:type="pct"/>
                  <w:tcBorders>
                    <w:tl2br w:val="nil"/>
                    <w:tr2bl w:val="nil"/>
                  </w:tcBorders>
                  <w:noWrap w:val="0"/>
                  <w:vAlign w:val="center"/>
                </w:tcPr>
                <w:p w14:paraId="541D7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北纬</w:t>
                  </w:r>
                </w:p>
              </w:tc>
            </w:tr>
            <w:tr w14:paraId="1986AA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1197" w:type="pct"/>
                  <w:tcBorders>
                    <w:tl2br w:val="nil"/>
                    <w:tr2bl w:val="nil"/>
                  </w:tcBorders>
                  <w:noWrap w:val="0"/>
                  <w:vAlign w:val="center"/>
                </w:tcPr>
                <w:p w14:paraId="6D3FCB4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打磨废气排放口</w:t>
                  </w:r>
                </w:p>
              </w:tc>
              <w:tc>
                <w:tcPr>
                  <w:tcW w:w="391" w:type="pct"/>
                  <w:tcBorders>
                    <w:tl2br w:val="nil"/>
                    <w:tr2bl w:val="nil"/>
                  </w:tcBorders>
                  <w:noWrap w:val="0"/>
                  <w:vAlign w:val="center"/>
                </w:tcPr>
                <w:p w14:paraId="59CCE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27m</w:t>
                  </w:r>
                </w:p>
              </w:tc>
              <w:tc>
                <w:tcPr>
                  <w:tcW w:w="426" w:type="pct"/>
                  <w:tcBorders>
                    <w:tl2br w:val="nil"/>
                    <w:tr2bl w:val="nil"/>
                  </w:tcBorders>
                  <w:noWrap w:val="0"/>
                  <w:vAlign w:val="center"/>
                </w:tcPr>
                <w:p w14:paraId="1E74F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0.45</w:t>
                  </w:r>
                  <w:r>
                    <w:rPr>
                      <w:rFonts w:hint="eastAsia" w:cs="Times New Roman"/>
                      <w:bCs/>
                      <w:caps w:val="0"/>
                      <w:color w:val="auto"/>
                      <w:spacing w:val="0"/>
                      <w:position w:val="0"/>
                      <w:sz w:val="21"/>
                      <w:szCs w:val="21"/>
                      <w:highlight w:val="none"/>
                      <w:lang w:val="en-US" w:eastAsia="zh-CN"/>
                    </w:rPr>
                    <w:t>m</w:t>
                  </w:r>
                </w:p>
              </w:tc>
              <w:tc>
                <w:tcPr>
                  <w:tcW w:w="426" w:type="pct"/>
                  <w:tcBorders>
                    <w:tl2br w:val="nil"/>
                    <w:tr2bl w:val="nil"/>
                  </w:tcBorders>
                  <w:noWrap w:val="0"/>
                  <w:vAlign w:val="center"/>
                </w:tcPr>
                <w:p w14:paraId="1D93FD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default" w:ascii="Times New Roman" w:hAnsi="Times New Roman" w:cs="Times New Roman"/>
                      <w:bCs/>
                      <w:caps w:val="0"/>
                      <w:color w:val="auto"/>
                      <w:spacing w:val="0"/>
                      <w:position w:val="0"/>
                      <w:sz w:val="21"/>
                      <w:szCs w:val="21"/>
                      <w:highlight w:val="none"/>
                      <w:lang w:val="en-US" w:eastAsia="zh-CN"/>
                    </w:rPr>
                    <w:t>20℃</w:t>
                  </w:r>
                </w:p>
              </w:tc>
              <w:tc>
                <w:tcPr>
                  <w:tcW w:w="492" w:type="pct"/>
                  <w:tcBorders>
                    <w:tl2br w:val="nil"/>
                    <w:tr2bl w:val="nil"/>
                  </w:tcBorders>
                  <w:noWrap w:val="0"/>
                  <w:vAlign w:val="center"/>
                </w:tcPr>
                <w:p w14:paraId="3524ED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DA001</w:t>
                  </w:r>
                </w:p>
              </w:tc>
              <w:tc>
                <w:tcPr>
                  <w:tcW w:w="711" w:type="pct"/>
                  <w:tcBorders>
                    <w:tl2br w:val="nil"/>
                    <w:tr2bl w:val="nil"/>
                  </w:tcBorders>
                  <w:noWrap w:val="0"/>
                  <w:vAlign w:val="center"/>
                </w:tcPr>
                <w:p w14:paraId="220BC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一般排放口</w:t>
                  </w:r>
                </w:p>
              </w:tc>
              <w:tc>
                <w:tcPr>
                  <w:tcW w:w="675" w:type="pct"/>
                  <w:tcBorders>
                    <w:tl2br w:val="nil"/>
                    <w:tr2bl w:val="nil"/>
                  </w:tcBorders>
                  <w:noWrap w:val="0"/>
                  <w:vAlign w:val="center"/>
                </w:tcPr>
                <w:p w14:paraId="7D9F2B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118.149113°</w:t>
                  </w:r>
                </w:p>
              </w:tc>
              <w:tc>
                <w:tcPr>
                  <w:tcW w:w="678" w:type="pct"/>
                  <w:tcBorders>
                    <w:tl2br w:val="nil"/>
                    <w:tr2bl w:val="nil"/>
                  </w:tcBorders>
                  <w:noWrap w:val="0"/>
                  <w:vAlign w:val="center"/>
                </w:tcPr>
                <w:p w14:paraId="2BC3D1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39.685528°</w:t>
                  </w:r>
                </w:p>
              </w:tc>
            </w:tr>
            <w:tr w14:paraId="3E8E24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1197" w:type="pct"/>
                  <w:tcBorders>
                    <w:tl2br w:val="nil"/>
                    <w:tr2bl w:val="nil"/>
                  </w:tcBorders>
                  <w:noWrap w:val="0"/>
                  <w:vAlign w:val="center"/>
                </w:tcPr>
                <w:p w14:paraId="372294D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喷涂废气排放口</w:t>
                  </w:r>
                </w:p>
              </w:tc>
              <w:tc>
                <w:tcPr>
                  <w:tcW w:w="391" w:type="pct"/>
                  <w:tcBorders>
                    <w:tl2br w:val="nil"/>
                    <w:tr2bl w:val="nil"/>
                  </w:tcBorders>
                  <w:noWrap w:val="0"/>
                  <w:vAlign w:val="center"/>
                </w:tcPr>
                <w:p w14:paraId="1289B7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15m</w:t>
                  </w:r>
                </w:p>
              </w:tc>
              <w:tc>
                <w:tcPr>
                  <w:tcW w:w="426" w:type="pct"/>
                  <w:tcBorders>
                    <w:tl2br w:val="nil"/>
                    <w:tr2bl w:val="nil"/>
                  </w:tcBorders>
                  <w:noWrap w:val="0"/>
                  <w:vAlign w:val="center"/>
                </w:tcPr>
                <w:p w14:paraId="59B346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0.85</w:t>
                  </w:r>
                  <w:r>
                    <w:rPr>
                      <w:rFonts w:hint="eastAsia" w:cs="Times New Roman"/>
                      <w:bCs/>
                      <w:caps w:val="0"/>
                      <w:color w:val="auto"/>
                      <w:spacing w:val="0"/>
                      <w:position w:val="0"/>
                      <w:sz w:val="21"/>
                      <w:szCs w:val="21"/>
                      <w:highlight w:val="none"/>
                      <w:lang w:val="en-US" w:eastAsia="zh-CN"/>
                    </w:rPr>
                    <w:t>m</w:t>
                  </w:r>
                </w:p>
              </w:tc>
              <w:tc>
                <w:tcPr>
                  <w:tcW w:w="426" w:type="pct"/>
                  <w:tcBorders>
                    <w:tl2br w:val="nil"/>
                    <w:tr2bl w:val="nil"/>
                  </w:tcBorders>
                  <w:noWrap w:val="0"/>
                  <w:vAlign w:val="center"/>
                </w:tcPr>
                <w:p w14:paraId="65532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ascii="Times New Roman" w:hAnsi="Times New Roman" w:cs="Times New Roman"/>
                      <w:bCs/>
                      <w:caps w:val="0"/>
                      <w:color w:val="auto"/>
                      <w:spacing w:val="0"/>
                      <w:position w:val="0"/>
                      <w:sz w:val="21"/>
                      <w:szCs w:val="21"/>
                      <w:highlight w:val="none"/>
                      <w:lang w:val="en-US" w:eastAsia="zh-CN"/>
                    </w:rPr>
                    <w:t>5</w:t>
                  </w:r>
                  <w:r>
                    <w:rPr>
                      <w:rFonts w:hint="default" w:ascii="Times New Roman" w:hAnsi="Times New Roman" w:cs="Times New Roman"/>
                      <w:bCs/>
                      <w:caps w:val="0"/>
                      <w:color w:val="auto"/>
                      <w:spacing w:val="0"/>
                      <w:position w:val="0"/>
                      <w:sz w:val="21"/>
                      <w:szCs w:val="21"/>
                      <w:highlight w:val="none"/>
                      <w:lang w:val="en-US" w:eastAsia="zh-CN"/>
                    </w:rPr>
                    <w:t>0℃</w:t>
                  </w:r>
                </w:p>
              </w:tc>
              <w:tc>
                <w:tcPr>
                  <w:tcW w:w="815" w:type="dxa"/>
                  <w:tcBorders>
                    <w:tl2br w:val="nil"/>
                    <w:tr2bl w:val="nil"/>
                  </w:tcBorders>
                  <w:noWrap w:val="0"/>
                  <w:vAlign w:val="center"/>
                </w:tcPr>
                <w:p w14:paraId="5D026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DA002</w:t>
                  </w:r>
                </w:p>
              </w:tc>
              <w:tc>
                <w:tcPr>
                  <w:tcW w:w="1178" w:type="dxa"/>
                  <w:tcBorders>
                    <w:tl2br w:val="nil"/>
                    <w:tr2bl w:val="nil"/>
                  </w:tcBorders>
                  <w:noWrap w:val="0"/>
                  <w:vAlign w:val="center"/>
                </w:tcPr>
                <w:p w14:paraId="09B34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一般排放口</w:t>
                  </w:r>
                </w:p>
              </w:tc>
              <w:tc>
                <w:tcPr>
                  <w:tcW w:w="675" w:type="pct"/>
                  <w:tcBorders>
                    <w:tl2br w:val="nil"/>
                    <w:tr2bl w:val="nil"/>
                  </w:tcBorders>
                  <w:noWrap w:val="0"/>
                  <w:vAlign w:val="center"/>
                </w:tcPr>
                <w:p w14:paraId="31EA5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118.148759°</w:t>
                  </w:r>
                </w:p>
              </w:tc>
              <w:tc>
                <w:tcPr>
                  <w:tcW w:w="678" w:type="pct"/>
                  <w:tcBorders>
                    <w:tl2br w:val="nil"/>
                    <w:tr2bl w:val="nil"/>
                  </w:tcBorders>
                  <w:noWrap w:val="0"/>
                  <w:vAlign w:val="center"/>
                </w:tcPr>
                <w:p w14:paraId="6CA428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39.685423°</w:t>
                  </w:r>
                </w:p>
              </w:tc>
            </w:tr>
          </w:tbl>
          <w:p w14:paraId="1FA6C6A8">
            <w:pPr>
              <w:rPr>
                <w:rFonts w:hint="eastAsia"/>
                <w:b/>
                <w:bCs/>
                <w:color w:val="auto"/>
                <w:highlight w:val="none"/>
                <w:lang w:eastAsia="zh-CN"/>
              </w:rPr>
            </w:pPr>
            <w:r>
              <w:rPr>
                <w:rFonts w:hint="eastAsia"/>
                <w:b/>
                <w:bCs/>
                <w:color w:val="auto"/>
                <w:highlight w:val="none"/>
                <w:lang w:val="en-US" w:eastAsia="zh-CN"/>
              </w:rPr>
              <w:t>1.2</w:t>
            </w:r>
            <w:r>
              <w:rPr>
                <w:rFonts w:hint="eastAsia"/>
                <w:b/>
                <w:bCs/>
                <w:color w:val="auto"/>
                <w:highlight w:val="none"/>
                <w:lang w:eastAsia="zh-CN"/>
              </w:rPr>
              <w:t>源强核算分析过程</w:t>
            </w:r>
          </w:p>
          <w:p w14:paraId="08625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b/>
                <w:bCs/>
                <w:color w:val="auto"/>
                <w:highlight w:val="none"/>
                <w:lang w:val="en-US" w:eastAsia="zh-CN"/>
              </w:rPr>
            </w:pPr>
            <w:r>
              <w:rPr>
                <w:rFonts w:hint="eastAsia"/>
                <w:b/>
                <w:bCs/>
                <w:color w:val="auto"/>
                <w:highlight w:val="none"/>
                <w:lang w:val="en-US" w:eastAsia="zh-CN"/>
              </w:rPr>
              <w:t>1.2.1打磨废气</w:t>
            </w:r>
          </w:p>
          <w:p w14:paraId="709336A6">
            <w:pPr>
              <w:bidi w:val="0"/>
              <w:rPr>
                <w:rFonts w:hint="default"/>
                <w:color w:val="auto"/>
                <w:highlight w:val="none"/>
                <w:lang w:val="en-US" w:eastAsia="zh-CN"/>
              </w:rPr>
            </w:pPr>
            <w:r>
              <w:rPr>
                <w:rFonts w:hint="eastAsia"/>
                <w:color w:val="auto"/>
                <w:highlight w:val="none"/>
                <w:lang w:val="en-US" w:eastAsia="zh-CN"/>
              </w:rPr>
              <w:t>本项目打磨过程会产生一定量的颗粒物，拟采取如下废气处理措施：</w:t>
            </w:r>
            <w:r>
              <w:rPr>
                <w:rFonts w:hint="eastAsia"/>
                <w:color w:val="auto"/>
                <w:lang w:val="en-US" w:eastAsia="zh-CN"/>
              </w:rPr>
              <w:t>打磨过程在封闭打磨房内进行，打磨房连接管道，采用风量为8000m</w:t>
            </w:r>
            <w:r>
              <w:rPr>
                <w:rFonts w:hint="eastAsia"/>
                <w:color w:val="auto"/>
                <w:vertAlign w:val="superscript"/>
                <w:lang w:val="en-US" w:eastAsia="zh-CN"/>
              </w:rPr>
              <w:t>3</w:t>
            </w:r>
            <w:r>
              <w:rPr>
                <w:rFonts w:hint="eastAsia"/>
                <w:color w:val="auto"/>
                <w:lang w:val="en-US" w:eastAsia="zh-CN"/>
              </w:rPr>
              <w:t>/h的风机将打磨过程产生的废气引入1套脉冲布袋除尘器（TA001）处理，处理后通过1根27m高排气筒（DA001）排放至大气中。</w:t>
            </w:r>
          </w:p>
          <w:p w14:paraId="65130119">
            <w:pPr>
              <w:bidi w:val="0"/>
              <w:rPr>
                <w:rFonts w:hint="eastAsia"/>
                <w:color w:val="auto"/>
                <w:highlight w:val="none"/>
                <w:lang w:val="en-US" w:eastAsia="zh-CN"/>
              </w:rPr>
            </w:pPr>
            <w:r>
              <w:rPr>
                <w:rFonts w:hint="eastAsia"/>
                <w:color w:val="auto"/>
                <w:highlight w:val="none"/>
                <w:lang w:val="en-US" w:eastAsia="zh-CN"/>
              </w:rPr>
              <w:t>本项目打磨过程颗粒物产污系数参照</w:t>
            </w:r>
            <w:r>
              <w:rPr>
                <w:rFonts w:hint="eastAsia"/>
                <w:color w:val="auto"/>
                <w:sz w:val="24"/>
                <w:highlight w:val="none"/>
                <w:lang w:eastAsia="zh-CN"/>
              </w:rPr>
              <w:t>《排放源统计调查产排污核算方法和系数手册》工业行业产排污系数手册</w:t>
            </w:r>
            <w:r>
              <w:rPr>
                <w:rFonts w:ascii="Times New Roman" w:hAnsi="Times New Roman" w:eastAsia="宋体" w:cs="Times New Roman"/>
                <w:color w:val="auto"/>
                <w:spacing w:val="0"/>
                <w:sz w:val="24"/>
                <w:highlight w:val="none"/>
              </w:rPr>
              <w:t>中</w:t>
            </w:r>
            <w:r>
              <w:rPr>
                <w:rFonts w:hint="eastAsia" w:ascii="Times New Roman" w:hAnsi="Times New Roman" w:eastAsia="宋体" w:cs="Times New Roman"/>
                <w:color w:val="auto"/>
                <w:spacing w:val="0"/>
                <w:sz w:val="24"/>
                <w:highlight w:val="none"/>
                <w:lang w:val="en-US" w:eastAsia="zh-CN"/>
              </w:rPr>
              <w:t>机械行业系数手册产污系数采用抛丸、喷砂、打磨、滚筒预处理颗粒物产污系数：2.19千克/吨-原料，根据建设单位提供资料，项目需打磨壳体约400t/a，则打磨过程颗粒物产生量为0.876t/a。</w:t>
            </w:r>
          </w:p>
          <w:p w14:paraId="11AE6A0C">
            <w:pPr>
              <w:bidi w:val="0"/>
              <w:rPr>
                <w:rFonts w:hint="default"/>
                <w:color w:val="auto"/>
                <w:lang w:val="en-US" w:eastAsia="zh-CN"/>
              </w:rPr>
            </w:pPr>
            <w:r>
              <w:rPr>
                <w:rFonts w:hint="eastAsia"/>
                <w:color w:val="auto"/>
                <w:lang w:val="en-US" w:eastAsia="zh-CN"/>
              </w:rPr>
              <w:t>本项目打磨过程在封闭打磨房进行，打磨过程产生的颗粒物经管道通过风机引入脉冲布袋除尘器处理，颗粒物捕集效率按95%计，去除效率按90%计，打磨过程年运行2000h，则打磨过程颗粒物排放情况见下表。</w:t>
            </w:r>
          </w:p>
          <w:p w14:paraId="5E157604">
            <w:pPr>
              <w:pStyle w:val="33"/>
              <w:bidi w:val="0"/>
              <w:rPr>
                <w:rFonts w:hint="eastAsia"/>
                <w:color w:val="auto"/>
                <w:highlight w:val="none"/>
              </w:rPr>
            </w:pPr>
            <w:r>
              <w:rPr>
                <w:rFonts w:hint="eastAsia"/>
                <w:color w:val="auto"/>
                <w:highlight w:val="none"/>
              </w:rPr>
              <w:t>表</w:t>
            </w:r>
            <w:r>
              <w:rPr>
                <w:rFonts w:hint="eastAsia"/>
                <w:color w:val="auto"/>
                <w:highlight w:val="none"/>
                <w:lang w:val="en-US" w:eastAsia="zh-CN"/>
              </w:rPr>
              <w:t>39  打磨过程</w:t>
            </w:r>
            <w:r>
              <w:rPr>
                <w:rFonts w:hint="eastAsia"/>
                <w:color w:val="auto"/>
                <w:highlight w:val="none"/>
              </w:rPr>
              <w:t>污染物</w:t>
            </w:r>
            <w:r>
              <w:rPr>
                <w:rFonts w:hint="eastAsia"/>
                <w:color w:val="auto"/>
                <w:highlight w:val="none"/>
                <w:lang w:val="en-US" w:eastAsia="zh-CN"/>
              </w:rPr>
              <w:t>排放情况一览表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603"/>
              <w:gridCol w:w="795"/>
              <w:gridCol w:w="765"/>
              <w:gridCol w:w="636"/>
              <w:gridCol w:w="1020"/>
              <w:gridCol w:w="652"/>
              <w:gridCol w:w="799"/>
              <w:gridCol w:w="725"/>
              <w:gridCol w:w="755"/>
              <w:gridCol w:w="962"/>
            </w:tblGrid>
            <w:tr w14:paraId="3E690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78" w:type="dxa"/>
                  <w:noWrap w:val="0"/>
                  <w:vAlign w:val="center"/>
                </w:tcPr>
                <w:p w14:paraId="773AA614">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highlight w:val="none"/>
                    </w:rPr>
                  </w:pPr>
                  <w:r>
                    <w:rPr>
                      <w:rFonts w:hint="eastAsia" w:eastAsia="宋体"/>
                      <w:color w:val="auto"/>
                      <w:sz w:val="21"/>
                      <w:highlight w:val="none"/>
                    </w:rPr>
                    <w:t>污染源</w:t>
                  </w:r>
                </w:p>
              </w:tc>
              <w:tc>
                <w:tcPr>
                  <w:tcW w:w="603" w:type="dxa"/>
                  <w:noWrap w:val="0"/>
                  <w:vAlign w:val="center"/>
                </w:tcPr>
                <w:p w14:paraId="65F7FC9B">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highlight w:val="none"/>
                    </w:rPr>
                  </w:pPr>
                  <w:r>
                    <w:rPr>
                      <w:rFonts w:hint="eastAsia" w:eastAsia="宋体"/>
                      <w:color w:val="auto"/>
                      <w:sz w:val="21"/>
                      <w:highlight w:val="none"/>
                    </w:rPr>
                    <w:t>污染因子</w:t>
                  </w:r>
                </w:p>
              </w:tc>
              <w:tc>
                <w:tcPr>
                  <w:tcW w:w="795" w:type="dxa"/>
                  <w:noWrap w:val="0"/>
                  <w:vAlign w:val="center"/>
                </w:tcPr>
                <w:p w14:paraId="34B702C7">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highlight w:val="none"/>
                    </w:rPr>
                  </w:pPr>
                  <w:r>
                    <w:rPr>
                      <w:rFonts w:hint="eastAsia" w:eastAsia="宋体"/>
                      <w:color w:val="auto"/>
                      <w:sz w:val="21"/>
                      <w:highlight w:val="none"/>
                    </w:rPr>
                    <w:t>运行时间</w:t>
                  </w:r>
                  <w:r>
                    <w:rPr>
                      <w:rFonts w:hint="eastAsia"/>
                      <w:color w:val="auto"/>
                      <w:sz w:val="21"/>
                      <w:highlight w:val="none"/>
                      <w:lang w:val="en-US" w:eastAsia="zh-CN"/>
                    </w:rPr>
                    <w:t>(</w:t>
                  </w:r>
                  <w:r>
                    <w:rPr>
                      <w:rFonts w:hint="eastAsia" w:eastAsia="宋体"/>
                      <w:color w:val="auto"/>
                      <w:sz w:val="21"/>
                      <w:highlight w:val="none"/>
                    </w:rPr>
                    <w:t>h/a</w:t>
                  </w:r>
                  <w:r>
                    <w:rPr>
                      <w:rFonts w:hint="eastAsia"/>
                      <w:color w:val="auto"/>
                      <w:sz w:val="21"/>
                      <w:highlight w:val="none"/>
                      <w:lang w:val="en-US" w:eastAsia="zh-CN"/>
                    </w:rPr>
                    <w:t>)</w:t>
                  </w:r>
                </w:p>
              </w:tc>
              <w:tc>
                <w:tcPr>
                  <w:tcW w:w="765" w:type="dxa"/>
                  <w:noWrap w:val="0"/>
                  <w:vAlign w:val="center"/>
                </w:tcPr>
                <w:p w14:paraId="100D575B">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highlight w:val="none"/>
                    </w:rPr>
                  </w:pPr>
                  <w:r>
                    <w:rPr>
                      <w:rFonts w:hint="eastAsia" w:eastAsia="宋体"/>
                      <w:color w:val="auto"/>
                      <w:sz w:val="21"/>
                      <w:highlight w:val="none"/>
                    </w:rPr>
                    <w:t>收集效率</w:t>
                  </w:r>
                  <w:r>
                    <w:rPr>
                      <w:rFonts w:hint="eastAsia"/>
                      <w:color w:val="auto"/>
                      <w:sz w:val="21"/>
                      <w:highlight w:val="none"/>
                      <w:lang w:val="en-US" w:eastAsia="zh-CN"/>
                    </w:rPr>
                    <w:t>(</w:t>
                  </w:r>
                  <w:r>
                    <w:rPr>
                      <w:rFonts w:hint="eastAsia" w:eastAsia="宋体"/>
                      <w:color w:val="auto"/>
                      <w:sz w:val="21"/>
                      <w:highlight w:val="none"/>
                    </w:rPr>
                    <w:t>%</w:t>
                  </w:r>
                  <w:r>
                    <w:rPr>
                      <w:rFonts w:hint="eastAsia"/>
                      <w:color w:val="auto"/>
                      <w:sz w:val="21"/>
                      <w:highlight w:val="none"/>
                      <w:lang w:val="en-US" w:eastAsia="zh-CN"/>
                    </w:rPr>
                    <w:t>)</w:t>
                  </w:r>
                </w:p>
              </w:tc>
              <w:tc>
                <w:tcPr>
                  <w:tcW w:w="2308" w:type="dxa"/>
                  <w:gridSpan w:val="3"/>
                  <w:noWrap w:val="0"/>
                  <w:vAlign w:val="center"/>
                </w:tcPr>
                <w:p w14:paraId="1F973C05">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highlight w:val="none"/>
                    </w:rPr>
                  </w:pPr>
                  <w:r>
                    <w:rPr>
                      <w:rFonts w:hint="eastAsia" w:eastAsia="宋体"/>
                      <w:color w:val="auto"/>
                      <w:sz w:val="21"/>
                      <w:highlight w:val="none"/>
                    </w:rPr>
                    <w:t>产生量</w:t>
                  </w:r>
                  <w:r>
                    <w:rPr>
                      <w:rFonts w:hint="eastAsia" w:eastAsia="宋体"/>
                      <w:color w:val="auto"/>
                      <w:sz w:val="21"/>
                      <w:highlight w:val="none"/>
                      <w:lang w:eastAsia="zh-CN"/>
                    </w:rPr>
                    <w:t>（</w:t>
                  </w:r>
                  <w:r>
                    <w:rPr>
                      <w:rFonts w:hint="eastAsia" w:eastAsia="宋体"/>
                      <w:color w:val="auto"/>
                      <w:sz w:val="21"/>
                      <w:highlight w:val="none"/>
                    </w:rPr>
                    <w:t>t/a</w:t>
                  </w:r>
                  <w:r>
                    <w:rPr>
                      <w:rFonts w:hint="eastAsia" w:eastAsia="宋体"/>
                      <w:color w:val="auto"/>
                      <w:sz w:val="21"/>
                      <w:highlight w:val="none"/>
                      <w:lang w:eastAsia="zh-CN"/>
                    </w:rPr>
                    <w:t>）</w:t>
                  </w:r>
                </w:p>
              </w:tc>
              <w:tc>
                <w:tcPr>
                  <w:tcW w:w="799" w:type="dxa"/>
                  <w:noWrap w:val="0"/>
                  <w:vAlign w:val="center"/>
                </w:tcPr>
                <w:p w14:paraId="37236EDC">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去除效率(%)</w:t>
                  </w:r>
                </w:p>
              </w:tc>
              <w:tc>
                <w:tcPr>
                  <w:tcW w:w="725" w:type="dxa"/>
                  <w:noWrap w:val="0"/>
                  <w:vAlign w:val="center"/>
                </w:tcPr>
                <w:p w14:paraId="69E591B7">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排放量(t/a)</w:t>
                  </w:r>
                </w:p>
              </w:tc>
              <w:tc>
                <w:tcPr>
                  <w:tcW w:w="755" w:type="dxa"/>
                  <w:noWrap w:val="0"/>
                  <w:vAlign w:val="center"/>
                </w:tcPr>
                <w:p w14:paraId="63526E47">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排放速率(kg/h)</w:t>
                  </w:r>
                </w:p>
              </w:tc>
              <w:tc>
                <w:tcPr>
                  <w:tcW w:w="962" w:type="dxa"/>
                  <w:noWrap w:val="0"/>
                  <w:vAlign w:val="center"/>
                </w:tcPr>
                <w:p w14:paraId="20BE4427">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排放浓度(mg/m</w:t>
                  </w:r>
                  <w:r>
                    <w:rPr>
                      <w:rFonts w:hint="eastAsia"/>
                      <w:color w:val="auto"/>
                      <w:sz w:val="21"/>
                      <w:highlight w:val="none"/>
                      <w:vertAlign w:val="superscript"/>
                      <w:lang w:val="en-US" w:eastAsia="zh-CN"/>
                    </w:rPr>
                    <w:t>3</w:t>
                  </w:r>
                  <w:r>
                    <w:rPr>
                      <w:rFonts w:hint="eastAsia"/>
                      <w:color w:val="auto"/>
                      <w:sz w:val="21"/>
                      <w:highlight w:val="none"/>
                      <w:lang w:val="en-US" w:eastAsia="zh-CN"/>
                    </w:rPr>
                    <w:t>)</w:t>
                  </w:r>
                </w:p>
              </w:tc>
            </w:tr>
            <w:tr w14:paraId="46243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78" w:type="dxa"/>
                  <w:vMerge w:val="restart"/>
                  <w:noWrap w:val="0"/>
                  <w:vAlign w:val="center"/>
                </w:tcPr>
                <w:p w14:paraId="7C1EECE2">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szCs w:val="21"/>
                      <w:highlight w:val="none"/>
                      <w:lang w:val="en-US"/>
                    </w:rPr>
                  </w:pPr>
                  <w:r>
                    <w:rPr>
                      <w:rFonts w:hint="eastAsia"/>
                      <w:color w:val="auto"/>
                      <w:sz w:val="21"/>
                      <w:szCs w:val="21"/>
                      <w:highlight w:val="none"/>
                      <w:lang w:val="en-US" w:eastAsia="zh-CN"/>
                    </w:rPr>
                    <w:t>打磨过程</w:t>
                  </w:r>
                </w:p>
              </w:tc>
              <w:tc>
                <w:tcPr>
                  <w:tcW w:w="603" w:type="dxa"/>
                  <w:vMerge w:val="restart"/>
                  <w:noWrap w:val="0"/>
                  <w:vAlign w:val="center"/>
                </w:tcPr>
                <w:p w14:paraId="16EB05D8">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颗粒物</w:t>
                  </w:r>
                </w:p>
              </w:tc>
              <w:tc>
                <w:tcPr>
                  <w:tcW w:w="795" w:type="dxa"/>
                  <w:vMerge w:val="restart"/>
                  <w:noWrap w:val="0"/>
                  <w:vAlign w:val="center"/>
                </w:tcPr>
                <w:p w14:paraId="042A2005">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2000</w:t>
                  </w:r>
                </w:p>
              </w:tc>
              <w:tc>
                <w:tcPr>
                  <w:tcW w:w="765" w:type="dxa"/>
                  <w:vMerge w:val="restart"/>
                  <w:noWrap w:val="0"/>
                  <w:vAlign w:val="center"/>
                </w:tcPr>
                <w:p w14:paraId="36641099">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95</w:t>
                  </w:r>
                </w:p>
              </w:tc>
              <w:tc>
                <w:tcPr>
                  <w:tcW w:w="636" w:type="dxa"/>
                  <w:vMerge w:val="restart"/>
                  <w:noWrap w:val="0"/>
                  <w:vAlign w:val="center"/>
                </w:tcPr>
                <w:p w14:paraId="5D1629DD">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0.876</w:t>
                  </w:r>
                </w:p>
              </w:tc>
              <w:tc>
                <w:tcPr>
                  <w:tcW w:w="1020" w:type="dxa"/>
                  <w:noWrap w:val="0"/>
                  <w:vAlign w:val="center"/>
                </w:tcPr>
                <w:p w14:paraId="1C5E168F">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进入</w:t>
                  </w:r>
                  <w:r>
                    <w:rPr>
                      <w:rFonts w:hint="eastAsia" w:eastAsia="宋体"/>
                      <w:color w:val="auto"/>
                      <w:sz w:val="21"/>
                      <w:szCs w:val="21"/>
                      <w:highlight w:val="none"/>
                      <w:lang w:val="en-US" w:eastAsia="zh-CN"/>
                    </w:rPr>
                    <w:t>环保设备</w:t>
                  </w:r>
                </w:p>
              </w:tc>
              <w:tc>
                <w:tcPr>
                  <w:tcW w:w="652" w:type="dxa"/>
                  <w:noWrap w:val="0"/>
                  <w:vAlign w:val="center"/>
                </w:tcPr>
                <w:p w14:paraId="2FA4192F">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0.832</w:t>
                  </w:r>
                </w:p>
              </w:tc>
              <w:tc>
                <w:tcPr>
                  <w:tcW w:w="799" w:type="dxa"/>
                  <w:noWrap w:val="0"/>
                  <w:vAlign w:val="center"/>
                </w:tcPr>
                <w:p w14:paraId="43F0B694">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90</w:t>
                  </w:r>
                </w:p>
              </w:tc>
              <w:tc>
                <w:tcPr>
                  <w:tcW w:w="725" w:type="dxa"/>
                  <w:noWrap w:val="0"/>
                  <w:vAlign w:val="center"/>
                </w:tcPr>
                <w:p w14:paraId="1ED26525">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0.083</w:t>
                  </w:r>
                </w:p>
              </w:tc>
              <w:tc>
                <w:tcPr>
                  <w:tcW w:w="755" w:type="dxa"/>
                  <w:noWrap w:val="0"/>
                  <w:vAlign w:val="center"/>
                </w:tcPr>
                <w:p w14:paraId="4905022B">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0.042</w:t>
                  </w:r>
                </w:p>
              </w:tc>
              <w:tc>
                <w:tcPr>
                  <w:tcW w:w="962" w:type="dxa"/>
                  <w:noWrap w:val="0"/>
                  <w:vAlign w:val="center"/>
                </w:tcPr>
                <w:p w14:paraId="0DACF48A">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5.3</w:t>
                  </w:r>
                </w:p>
              </w:tc>
            </w:tr>
            <w:tr w14:paraId="2A8F3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78" w:type="dxa"/>
                  <w:vMerge w:val="continue"/>
                  <w:noWrap w:val="0"/>
                  <w:vAlign w:val="center"/>
                </w:tcPr>
                <w:p w14:paraId="2B1B37E5">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color w:val="auto"/>
                      <w:sz w:val="21"/>
                      <w:szCs w:val="21"/>
                      <w:highlight w:val="none"/>
                    </w:rPr>
                  </w:pPr>
                </w:p>
              </w:tc>
              <w:tc>
                <w:tcPr>
                  <w:tcW w:w="603" w:type="dxa"/>
                  <w:vMerge w:val="continue"/>
                  <w:noWrap w:val="0"/>
                  <w:vAlign w:val="center"/>
                </w:tcPr>
                <w:p w14:paraId="235810D3">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color w:val="auto"/>
                      <w:sz w:val="21"/>
                      <w:szCs w:val="21"/>
                      <w:highlight w:val="none"/>
                    </w:rPr>
                  </w:pPr>
                </w:p>
              </w:tc>
              <w:tc>
                <w:tcPr>
                  <w:tcW w:w="795" w:type="dxa"/>
                  <w:vMerge w:val="continue"/>
                  <w:noWrap w:val="0"/>
                  <w:vAlign w:val="center"/>
                </w:tcPr>
                <w:p w14:paraId="712829BF">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color w:val="auto"/>
                      <w:sz w:val="21"/>
                      <w:szCs w:val="21"/>
                      <w:highlight w:val="none"/>
                    </w:rPr>
                  </w:pPr>
                </w:p>
              </w:tc>
              <w:tc>
                <w:tcPr>
                  <w:tcW w:w="765" w:type="dxa"/>
                  <w:vMerge w:val="continue"/>
                  <w:noWrap w:val="0"/>
                  <w:vAlign w:val="center"/>
                </w:tcPr>
                <w:p w14:paraId="553358BB">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color w:val="auto"/>
                      <w:sz w:val="21"/>
                      <w:szCs w:val="21"/>
                      <w:highlight w:val="none"/>
                    </w:rPr>
                  </w:pPr>
                </w:p>
              </w:tc>
              <w:tc>
                <w:tcPr>
                  <w:tcW w:w="636" w:type="dxa"/>
                  <w:vMerge w:val="continue"/>
                  <w:noWrap w:val="0"/>
                  <w:vAlign w:val="center"/>
                </w:tcPr>
                <w:p w14:paraId="04322575">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szCs w:val="21"/>
                      <w:highlight w:val="none"/>
                    </w:rPr>
                  </w:pPr>
                </w:p>
              </w:tc>
              <w:tc>
                <w:tcPr>
                  <w:tcW w:w="1020" w:type="dxa"/>
                  <w:noWrap w:val="0"/>
                  <w:vAlign w:val="center"/>
                </w:tcPr>
                <w:p w14:paraId="773004D2">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未进入</w:t>
                  </w:r>
                  <w:r>
                    <w:rPr>
                      <w:rFonts w:hint="eastAsia" w:eastAsia="宋体"/>
                      <w:color w:val="auto"/>
                      <w:sz w:val="21"/>
                      <w:szCs w:val="21"/>
                      <w:highlight w:val="none"/>
                      <w:lang w:val="en-US" w:eastAsia="zh-CN"/>
                    </w:rPr>
                    <w:t>环保设备</w:t>
                  </w:r>
                </w:p>
              </w:tc>
              <w:tc>
                <w:tcPr>
                  <w:tcW w:w="652" w:type="dxa"/>
                  <w:noWrap w:val="0"/>
                  <w:vAlign w:val="center"/>
                </w:tcPr>
                <w:p w14:paraId="7011B102">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0.044</w:t>
                  </w:r>
                </w:p>
              </w:tc>
              <w:tc>
                <w:tcPr>
                  <w:tcW w:w="799" w:type="dxa"/>
                  <w:noWrap w:val="0"/>
                  <w:vAlign w:val="center"/>
                </w:tcPr>
                <w:p w14:paraId="15E2BFC4">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szCs w:val="21"/>
                      <w:highlight w:val="none"/>
                    </w:rPr>
                  </w:pPr>
                  <w:r>
                    <w:rPr>
                      <w:rFonts w:hint="eastAsia" w:ascii="宋体" w:hAnsi="宋体" w:eastAsia="宋体" w:cs="宋体"/>
                      <w:color w:val="auto"/>
                      <w:sz w:val="21"/>
                      <w:szCs w:val="21"/>
                      <w:highlight w:val="none"/>
                    </w:rPr>
                    <w:t>－</w:t>
                  </w:r>
                </w:p>
              </w:tc>
              <w:tc>
                <w:tcPr>
                  <w:tcW w:w="725" w:type="dxa"/>
                  <w:noWrap w:val="0"/>
                  <w:vAlign w:val="center"/>
                </w:tcPr>
                <w:p w14:paraId="6AB3C8D6">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0.044</w:t>
                  </w:r>
                </w:p>
              </w:tc>
              <w:tc>
                <w:tcPr>
                  <w:tcW w:w="755" w:type="dxa"/>
                  <w:noWrap w:val="0"/>
                  <w:vAlign w:val="center"/>
                </w:tcPr>
                <w:p w14:paraId="7273BDFD">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0.022</w:t>
                  </w:r>
                </w:p>
              </w:tc>
              <w:tc>
                <w:tcPr>
                  <w:tcW w:w="962" w:type="dxa"/>
                  <w:noWrap w:val="0"/>
                  <w:vAlign w:val="center"/>
                </w:tcPr>
                <w:p w14:paraId="2EA8A08C">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eastAsia" w:eastAsia="宋体"/>
                      <w:color w:val="auto"/>
                      <w:sz w:val="21"/>
                      <w:szCs w:val="21"/>
                      <w:highlight w:val="none"/>
                      <w:lang w:val="en-US" w:eastAsia="zh-CN"/>
                    </w:rPr>
                  </w:pPr>
                  <w:r>
                    <w:rPr>
                      <w:rFonts w:hint="eastAsia" w:ascii="宋体" w:hAnsi="宋体" w:eastAsia="宋体" w:cs="宋体"/>
                      <w:color w:val="auto"/>
                      <w:sz w:val="21"/>
                      <w:szCs w:val="21"/>
                      <w:highlight w:val="none"/>
                    </w:rPr>
                    <w:t>－</w:t>
                  </w:r>
                </w:p>
              </w:tc>
            </w:tr>
          </w:tbl>
          <w:p w14:paraId="3B1B258E">
            <w:pPr>
              <w:bidi w:val="0"/>
              <w:rPr>
                <w:rFonts w:hint="default"/>
                <w:color w:val="auto"/>
                <w:highlight w:val="none"/>
                <w:lang w:val="en-US" w:eastAsia="zh-CN"/>
              </w:rPr>
            </w:pPr>
            <w:r>
              <w:rPr>
                <w:rFonts w:hint="eastAsia"/>
                <w:color w:val="auto"/>
                <w:highlight w:val="none"/>
                <w:lang w:val="en-US" w:eastAsia="zh-CN"/>
              </w:rPr>
              <w:t>由上表可知，本项目打磨过程产生的颗粒物经脉冲布袋除尘器（TA001）处理后，通过1根27m高排气筒排放，满足</w:t>
            </w:r>
            <w:r>
              <w:rPr>
                <w:rFonts w:hint="eastAsia" w:eastAsia="宋体"/>
                <w:color w:val="auto"/>
                <w:highlight w:val="none"/>
                <w:lang w:val="en-US" w:eastAsia="zh-CN"/>
              </w:rPr>
              <w:t>《</w:t>
            </w:r>
            <w:r>
              <w:rPr>
                <w:rFonts w:hint="eastAsia" w:eastAsia="宋体"/>
                <w:color w:val="auto"/>
                <w:highlight w:val="none"/>
                <w:lang w:eastAsia="zh-CN"/>
              </w:rPr>
              <w:t>钢铁工业大气污染物超低排放标准</w:t>
            </w:r>
            <w:r>
              <w:rPr>
                <w:rFonts w:hint="eastAsia" w:eastAsia="宋体"/>
                <w:color w:val="auto"/>
                <w:highlight w:val="none"/>
                <w:lang w:val="en-US" w:eastAsia="zh-CN"/>
              </w:rPr>
              <w:t>》（DB13/2169-2018）</w:t>
            </w:r>
            <w:r>
              <w:rPr>
                <w:rFonts w:hint="eastAsia" w:eastAsia="宋体"/>
                <w:color w:val="auto"/>
                <w:highlight w:val="none"/>
                <w:lang w:eastAsia="zh-CN"/>
              </w:rPr>
              <w:t>表1轧钢（热处理炉、拉矫、精整、抛丸、修磨、焊接机及其他生产设施）排放限值要求</w:t>
            </w:r>
            <w:r>
              <w:rPr>
                <w:rFonts w:hint="eastAsia" w:eastAsia="宋体"/>
                <w:color w:val="auto"/>
                <w:highlight w:val="none"/>
                <w:lang w:val="en-US" w:eastAsia="zh-CN"/>
              </w:rPr>
              <w:t>，颗粒物最高允许排放浓度10mg/m</w:t>
            </w:r>
            <w:r>
              <w:rPr>
                <w:rFonts w:hint="eastAsia" w:eastAsia="宋体"/>
                <w:color w:val="auto"/>
                <w:highlight w:val="none"/>
                <w:vertAlign w:val="superscript"/>
                <w:lang w:val="en-US" w:eastAsia="zh-CN"/>
              </w:rPr>
              <w:t>3</w:t>
            </w:r>
            <w:r>
              <w:rPr>
                <w:rFonts w:hint="eastAsia" w:eastAsia="宋体"/>
                <w:color w:val="auto"/>
                <w:highlight w:val="none"/>
                <w:lang w:val="en-US" w:eastAsia="zh-CN"/>
              </w:rPr>
              <w:t>，</w:t>
            </w:r>
            <w:r>
              <w:rPr>
                <w:rFonts w:hint="eastAsia" w:ascii="Times New Roman" w:eastAsia="宋体"/>
                <w:color w:val="auto"/>
                <w:highlight w:val="none"/>
                <w:lang w:val="en-US" w:eastAsia="zh-CN"/>
              </w:rPr>
              <w:t>排气筒高度不低于15m</w:t>
            </w:r>
            <w:r>
              <w:rPr>
                <w:rFonts w:hint="eastAsia"/>
                <w:color w:val="auto"/>
                <w:highlight w:val="none"/>
                <w:lang w:val="en-US" w:eastAsia="zh-CN"/>
              </w:rPr>
              <w:t>，且高出周围半径200m范围内最高建筑物3m以上（打磨废气排气筒200m范围内的最高建筑物为智能机器人组装生产车间，高度23.8m，排气筒高度为27m）。</w:t>
            </w:r>
          </w:p>
          <w:p w14:paraId="7956A890">
            <w:pPr>
              <w:bidi w:val="0"/>
              <w:rPr>
                <w:rFonts w:hint="default"/>
                <w:color w:val="auto"/>
                <w:lang w:val="en-US" w:eastAsia="zh-CN"/>
              </w:rPr>
            </w:pPr>
            <w:r>
              <w:rPr>
                <w:rFonts w:hint="eastAsia"/>
                <w:color w:val="auto"/>
                <w:lang w:val="en-US" w:eastAsia="zh-CN"/>
              </w:rPr>
              <w:t>打磨过程未捕集颗粒物于车间内无组织排放，排放量为0.044t/a，排放速率为0.022kg/h。</w:t>
            </w:r>
          </w:p>
          <w:p w14:paraId="5A206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b/>
                <w:bCs/>
                <w:color w:val="auto"/>
                <w:highlight w:val="none"/>
                <w:lang w:val="en-US" w:eastAsia="zh-CN"/>
              </w:rPr>
            </w:pPr>
            <w:r>
              <w:rPr>
                <w:rFonts w:hint="eastAsia"/>
                <w:b/>
                <w:bCs/>
                <w:color w:val="auto"/>
                <w:highlight w:val="none"/>
                <w:lang w:val="en-US" w:eastAsia="zh-CN"/>
              </w:rPr>
              <w:t>1.2.2调漆、喷漆、烘干/晾干、刮腻子、腻子打磨、除油、漆料及危废储存废气</w:t>
            </w:r>
          </w:p>
          <w:p w14:paraId="65911F7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color w:val="auto"/>
                <w:lang w:val="en-US" w:eastAsia="zh-CN"/>
              </w:rPr>
              <w:t>本项目调漆、喷漆、烘干/晾干、刮腻子、腻子打磨、除油、漆料及危废储存过程会产生一定量的废气，</w:t>
            </w:r>
            <w:r>
              <w:rPr>
                <w:rFonts w:hint="eastAsia"/>
                <w:color w:val="auto"/>
                <w:highlight w:val="none"/>
                <w:lang w:val="en-US" w:eastAsia="zh-CN"/>
              </w:rPr>
              <w:t>拟采取如下废气处理措施：</w:t>
            </w:r>
            <w:r>
              <w:rPr>
                <w:rFonts w:hint="eastAsia"/>
                <w:color w:val="auto"/>
                <w:lang w:val="en-US" w:eastAsia="zh-CN"/>
              </w:rPr>
              <w:t>调漆、喷漆、刮腻子、腻子打磨、除油过程在喷漆房内进行，调漆、喷漆、腻子打磨、除油过程喷漆房封闭，喷漆房采取上进风，侧抽风，烘干/晾干过程在烘干房进行，烘干/晾干过程烘干房封闭，漆料储存于油漆库中，油漆库、危废间连接管道，采用风量为30000m</w:t>
            </w:r>
            <w:r>
              <w:rPr>
                <w:rFonts w:hint="eastAsia"/>
                <w:color w:val="auto"/>
                <w:vertAlign w:val="superscript"/>
                <w:lang w:val="en-US" w:eastAsia="zh-CN"/>
              </w:rPr>
              <w:t>3</w:t>
            </w:r>
            <w:r>
              <w:rPr>
                <w:rFonts w:hint="eastAsia"/>
                <w:color w:val="auto"/>
                <w:lang w:val="en-US" w:eastAsia="zh-CN"/>
              </w:rPr>
              <w:t>/h的风机将调漆、喷漆、刮腻子、腻子打磨、除油过程产生的颗粒物（含漆雾）、有机废气引入干式喷漆柜（纸盒）中去除大部分漆雾，然后与烘干/晾干、漆料及危废储存过程产生的废气一起进入过滤棉箱过滤+沸石转轮+催化燃烧装置进行处理，处理后通过1根15m高排气筒（DA002）排放至大气中。</w:t>
            </w:r>
          </w:p>
          <w:p w14:paraId="2A7BA43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（1）污染物产生情况</w:t>
            </w:r>
          </w:p>
          <w:p w14:paraId="63D4CB1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①喷漆过程颗粒物（漆雾）产生情况</w:t>
            </w:r>
          </w:p>
          <w:p w14:paraId="512B4E7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本项目喷漆过程颗粒物（漆雾）产生量采用类比法进行核算，类比其他同类型项目，同时参照</w:t>
            </w:r>
            <w:r>
              <w:rPr>
                <w:rFonts w:hint="eastAsia"/>
                <w:color w:val="auto"/>
                <w:sz w:val="24"/>
                <w:highlight w:val="none"/>
                <w:lang w:eastAsia="zh-CN"/>
              </w:rPr>
              <w:t>《排放源统计调查产排污核算方法和系数手册》工业行业产排污系数手册</w:t>
            </w:r>
            <w:r>
              <w:rPr>
                <w:rFonts w:ascii="Times New Roman" w:hAnsi="Times New Roman" w:eastAsia="宋体" w:cs="Times New Roman"/>
                <w:color w:val="auto"/>
                <w:spacing w:val="0"/>
                <w:sz w:val="24"/>
                <w:highlight w:val="none"/>
              </w:rPr>
              <w:t>中211</w:t>
            </w:r>
            <w:r>
              <w:rPr>
                <w:rFonts w:hint="eastAsia" w:ascii="Times New Roman" w:hAnsi="Times New Roman" w:eastAsia="宋体" w:cs="Times New Roman"/>
                <w:color w:val="auto"/>
                <w:spacing w:val="0"/>
                <w:sz w:val="24"/>
                <w:highlight w:val="none"/>
                <w:lang w:val="en-US" w:eastAsia="zh-CN"/>
              </w:rPr>
              <w:t>木质家具制造行业产污系数，采用溶剂型涂料喷漆颗粒物产污系数208克/公斤-涂料，</w:t>
            </w:r>
            <w:r>
              <w:rPr>
                <w:rFonts w:hint="eastAsia"/>
                <w:color w:val="auto"/>
                <w:highlight w:val="none"/>
                <w:lang w:val="en-US" w:eastAsia="zh-CN"/>
              </w:rPr>
              <w:t>本次评价喷漆过程漆雾（颗粒物）产生量按20%计，本项目喷漆过程漆料用量为8.12t/a，则喷漆过程漆雾（颗粒物）产生量为1.624t/a。</w:t>
            </w:r>
          </w:p>
          <w:p w14:paraId="01057F7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②刮腻子、腻子打磨过程颗粒物产生情况</w:t>
            </w:r>
          </w:p>
          <w:p w14:paraId="5A7C3C7C">
            <w:pPr>
              <w:pStyle w:val="2"/>
              <w:rPr>
                <w:rFonts w:hint="default"/>
                <w:color w:val="auto"/>
                <w:lang w:val="en-US" w:eastAsia="zh-CN"/>
              </w:rPr>
            </w:pPr>
            <w:r>
              <w:rPr>
                <w:rFonts w:hint="eastAsia"/>
                <w:color w:val="auto"/>
                <w:highlight w:val="none"/>
                <w:lang w:val="en-US" w:eastAsia="zh-CN"/>
              </w:rPr>
              <w:t>本项目刮腻子、腻子打磨过程颗粒物产生量采用产污系数法进行核算，参照</w:t>
            </w:r>
            <w:r>
              <w:rPr>
                <w:rFonts w:hint="eastAsia"/>
                <w:color w:val="auto"/>
                <w:sz w:val="24"/>
                <w:highlight w:val="none"/>
                <w:lang w:eastAsia="zh-CN"/>
              </w:rPr>
              <w:t>《排放源统计调查产排污核算方法和系数手册》工业行业产排污系数手册</w:t>
            </w:r>
            <w:r>
              <w:rPr>
                <w:rFonts w:hint="eastAsia"/>
                <w:color w:val="auto"/>
                <w:sz w:val="24"/>
                <w:highlight w:val="none"/>
                <w:lang w:val="en-US" w:eastAsia="zh-CN"/>
              </w:rPr>
              <w:t>中</w:t>
            </w:r>
            <w:r>
              <w:rPr>
                <w:rFonts w:hint="eastAsia" w:ascii="Times New Roman" w:hAnsi="Times New Roman" w:eastAsia="宋体" w:cs="Times New Roman"/>
                <w:color w:val="auto"/>
                <w:spacing w:val="0"/>
                <w:sz w:val="24"/>
                <w:highlight w:val="none"/>
                <w:lang w:val="en-US" w:eastAsia="zh-CN"/>
              </w:rPr>
              <w:t>机械行业系数手册产污系数，涂腻子、腻子打磨过程颗粒物产污系数166千克/吨-原料</w:t>
            </w:r>
            <w:r>
              <w:rPr>
                <w:rFonts w:hint="eastAsia"/>
                <w:color w:val="auto"/>
                <w:highlight w:val="none"/>
                <w:lang w:val="en-US" w:eastAsia="zh-CN"/>
              </w:rPr>
              <w:t>，本项目腻子用量为0.65t/a，则刮腻子、腻子打磨过程颗粒物产生量为0.108t/a。</w:t>
            </w:r>
          </w:p>
          <w:p w14:paraId="73FFE52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③</w:t>
            </w:r>
            <w:r>
              <w:rPr>
                <w:rFonts w:hint="eastAsia"/>
                <w:color w:val="auto"/>
                <w:lang w:val="en-US" w:eastAsia="zh-CN"/>
              </w:rPr>
              <w:t>调漆、喷漆、烘干/晾干、刮腻子过程有机废气产生情况</w:t>
            </w:r>
          </w:p>
          <w:p w14:paraId="36284F42">
            <w:pPr>
              <w:rPr>
                <w:rFonts w:hint="default"/>
                <w:color w:val="auto"/>
                <w:highlight w:val="none"/>
                <w:lang w:val="en-US" w:eastAsia="zh-CN"/>
              </w:rPr>
            </w:pPr>
            <w:r>
              <w:rPr>
                <w:rFonts w:hint="eastAsia"/>
                <w:color w:val="auto"/>
                <w:highlight w:val="none"/>
                <w:lang w:val="en-US" w:eastAsia="zh-CN"/>
              </w:rPr>
              <w:t>本项目</w:t>
            </w:r>
            <w:r>
              <w:rPr>
                <w:rFonts w:hint="eastAsia"/>
                <w:color w:val="auto"/>
                <w:lang w:val="en-US" w:eastAsia="zh-CN"/>
              </w:rPr>
              <w:t>调漆、喷漆、烘干/晾干、刮腻子</w:t>
            </w:r>
            <w:r>
              <w:rPr>
                <w:rFonts w:hint="eastAsia"/>
                <w:color w:val="auto"/>
                <w:highlight w:val="none"/>
                <w:lang w:val="en-US" w:eastAsia="zh-CN"/>
              </w:rPr>
              <w:t>过程产生的有机废气采用物料衡算法进行核算，结合建设单位提供漆料、腻子检测报告和成分信息，本次评价按生产过程中漆料、腻子中的挥发性有机物全部挥发进行核算，挥发性有机物以非甲烷总烃、甲苯、二甲苯计，其中，甲苯、二甲苯均包含在非甲烷总烃中。本项目</w:t>
            </w:r>
            <w:r>
              <w:rPr>
                <w:rFonts w:hint="eastAsia"/>
                <w:color w:val="auto"/>
                <w:lang w:val="en-US" w:eastAsia="zh-CN"/>
              </w:rPr>
              <w:t>调漆、喷漆、烘干/晾干、刮腻子</w:t>
            </w:r>
            <w:r>
              <w:rPr>
                <w:rFonts w:hint="eastAsia"/>
                <w:color w:val="auto"/>
                <w:highlight w:val="none"/>
                <w:lang w:val="en-US" w:eastAsia="zh-CN"/>
              </w:rPr>
              <w:t>过程有机废气产生情况见下表。</w:t>
            </w:r>
          </w:p>
          <w:p w14:paraId="00D782F7">
            <w:pPr>
              <w:pStyle w:val="18"/>
              <w:spacing w:line="480" w:lineRule="exact"/>
              <w:rPr>
                <w:rFonts w:hint="eastAsia" w:ascii="Times New Roman" w:hAnsi="Times New Roman" w:eastAsia="宋体"/>
                <w:b/>
                <w:color w:val="auto"/>
                <w:highlight w:val="none"/>
                <w:lang w:val="en-US" w:eastAsia="zh-CN"/>
              </w:rPr>
            </w:pPr>
            <w:r>
              <w:rPr>
                <w:rFonts w:hint="eastAsia"/>
                <w:b/>
                <w:color w:val="auto"/>
                <w:highlight w:val="none"/>
                <w:lang w:val="en-US" w:eastAsia="zh-CN"/>
              </w:rPr>
              <w:t>表40</w:t>
            </w:r>
            <w:r>
              <w:rPr>
                <w:rFonts w:hint="eastAsia" w:ascii="Times New Roman" w:hAnsi="Times New Roman" w:eastAsia="宋体"/>
                <w:b/>
                <w:color w:val="auto"/>
                <w:highlight w:val="none"/>
              </w:rPr>
              <w:t xml:space="preserve">  </w:t>
            </w:r>
            <w:r>
              <w:rPr>
                <w:rFonts w:hint="eastAsia"/>
                <w:color w:val="auto"/>
                <w:lang w:val="en-US" w:eastAsia="zh-CN"/>
              </w:rPr>
              <w:t>调漆、喷漆、烘干/晾干、刮腻子</w:t>
            </w:r>
            <w:r>
              <w:rPr>
                <w:rFonts w:hint="eastAsia"/>
                <w:b/>
                <w:bCs/>
                <w:color w:val="auto"/>
                <w:highlight w:val="none"/>
                <w:lang w:val="en-US" w:eastAsia="zh-CN"/>
              </w:rPr>
              <w:t>过程</w:t>
            </w:r>
            <w:r>
              <w:rPr>
                <w:rFonts w:hint="eastAsia"/>
                <w:b/>
                <w:color w:val="auto"/>
                <w:highlight w:val="none"/>
                <w:lang w:val="en-US" w:eastAsia="zh-CN"/>
              </w:rPr>
              <w:t>有机废气</w:t>
            </w:r>
            <w:r>
              <w:rPr>
                <w:rFonts w:hint="eastAsia" w:ascii="Times New Roman" w:hAnsi="Times New Roman" w:eastAsia="宋体"/>
                <w:b/>
                <w:color w:val="auto"/>
                <w:highlight w:val="none"/>
              </w:rPr>
              <w:t>产生</w:t>
            </w:r>
            <w:r>
              <w:rPr>
                <w:rFonts w:hint="eastAsia"/>
                <w:b/>
                <w:color w:val="auto"/>
                <w:highlight w:val="none"/>
                <w:lang w:val="en-US" w:eastAsia="zh-CN"/>
              </w:rPr>
              <w:t>情况一览表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51"/>
              <w:gridCol w:w="1282"/>
              <w:gridCol w:w="894"/>
              <w:gridCol w:w="1676"/>
              <w:gridCol w:w="1060"/>
              <w:gridCol w:w="1510"/>
              <w:gridCol w:w="1017"/>
            </w:tblGrid>
            <w:tr w14:paraId="5B5FE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65" w:hRule="atLeast"/>
                <w:jc w:val="center"/>
              </w:trPr>
              <w:tc>
                <w:tcPr>
                  <w:tcW w:w="951" w:type="dxa"/>
                  <w:vMerge w:val="restart"/>
                  <w:noWrap w:val="0"/>
                  <w:vAlign w:val="center"/>
                </w:tcPr>
                <w:p w14:paraId="052AEF2C">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污染工序</w:t>
                  </w:r>
                </w:p>
              </w:tc>
              <w:tc>
                <w:tcPr>
                  <w:tcW w:w="1282" w:type="dxa"/>
                  <w:vMerge w:val="restart"/>
                  <w:noWrap w:val="0"/>
                  <w:vAlign w:val="center"/>
                </w:tcPr>
                <w:p w14:paraId="1BAEFFEB">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漆料种类</w:t>
                  </w:r>
                </w:p>
              </w:tc>
              <w:tc>
                <w:tcPr>
                  <w:tcW w:w="894" w:type="dxa"/>
                  <w:vMerge w:val="restart"/>
                  <w:noWrap w:val="0"/>
                  <w:vAlign w:val="center"/>
                </w:tcPr>
                <w:p w14:paraId="6702BBD1">
                  <w:pPr>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olor w:val="auto"/>
                      <w:sz w:val="21"/>
                      <w:szCs w:val="21"/>
                      <w:highlight w:val="none"/>
                    </w:rPr>
                  </w:pPr>
                  <w:r>
                    <w:rPr>
                      <w:rFonts w:hint="eastAsia"/>
                      <w:color w:val="auto"/>
                      <w:sz w:val="21"/>
                      <w:szCs w:val="21"/>
                      <w:highlight w:val="none"/>
                      <w:lang w:val="en-US" w:eastAsia="zh-CN"/>
                    </w:rPr>
                    <w:t>原料</w:t>
                  </w:r>
                  <w:r>
                    <w:rPr>
                      <w:rFonts w:ascii="Times New Roman" w:hAnsi="Times New Roman" w:eastAsia="宋体"/>
                      <w:color w:val="auto"/>
                      <w:sz w:val="21"/>
                      <w:szCs w:val="21"/>
                      <w:highlight w:val="none"/>
                    </w:rPr>
                    <w:t>用量</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rPr>
                    <w:t>t/a</w:t>
                  </w:r>
                  <w:r>
                    <w:rPr>
                      <w:rFonts w:hint="eastAsia" w:ascii="Times New Roman" w:hAnsi="Times New Roman" w:eastAsia="宋体"/>
                      <w:color w:val="auto"/>
                      <w:sz w:val="21"/>
                      <w:szCs w:val="21"/>
                      <w:highlight w:val="none"/>
                      <w:lang w:eastAsia="zh-CN"/>
                    </w:rPr>
                    <w:t>）</w:t>
                  </w:r>
                </w:p>
              </w:tc>
              <w:tc>
                <w:tcPr>
                  <w:tcW w:w="2736" w:type="dxa"/>
                  <w:gridSpan w:val="2"/>
                  <w:noWrap w:val="0"/>
                  <w:vAlign w:val="center"/>
                </w:tcPr>
                <w:p w14:paraId="343BF974">
                  <w:pPr>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含量</w:t>
                  </w:r>
                  <w:r>
                    <w:rPr>
                      <w:rFonts w:hint="eastAsia"/>
                      <w:color w:val="auto"/>
                      <w:sz w:val="21"/>
                      <w:szCs w:val="21"/>
                      <w:highlight w:val="none"/>
                      <w:lang w:val="en-US" w:eastAsia="zh-CN"/>
                    </w:rPr>
                    <w:t>（%）</w:t>
                  </w:r>
                </w:p>
              </w:tc>
              <w:tc>
                <w:tcPr>
                  <w:tcW w:w="2527" w:type="dxa"/>
                  <w:gridSpan w:val="2"/>
                  <w:noWrap w:val="0"/>
                  <w:vAlign w:val="center"/>
                </w:tcPr>
                <w:p w14:paraId="2D26740E">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污染物产生情况</w:t>
                  </w:r>
                  <w:r>
                    <w:rPr>
                      <w:rFonts w:hint="eastAsia" w:ascii="Times New Roman" w:hAnsi="Times New Roman" w:eastAsia="宋体"/>
                      <w:color w:val="auto"/>
                      <w:sz w:val="21"/>
                      <w:szCs w:val="21"/>
                      <w:highlight w:val="none"/>
                      <w:lang w:val="en-US" w:eastAsia="zh-CN"/>
                    </w:rPr>
                    <w:t>（t/a）</w:t>
                  </w:r>
                </w:p>
              </w:tc>
            </w:tr>
            <w:tr w14:paraId="0DA28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38" w:hRule="atLeast"/>
                <w:jc w:val="center"/>
              </w:trPr>
              <w:tc>
                <w:tcPr>
                  <w:tcW w:w="951" w:type="dxa"/>
                  <w:vMerge w:val="continue"/>
                  <w:noWrap w:val="0"/>
                  <w:vAlign w:val="center"/>
                </w:tcPr>
                <w:p w14:paraId="16A94DC9">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p>
              </w:tc>
              <w:tc>
                <w:tcPr>
                  <w:tcW w:w="1282" w:type="dxa"/>
                  <w:vMerge w:val="continue"/>
                  <w:noWrap w:val="0"/>
                  <w:vAlign w:val="center"/>
                </w:tcPr>
                <w:p w14:paraId="6BD59E2C">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p>
              </w:tc>
              <w:tc>
                <w:tcPr>
                  <w:tcW w:w="894" w:type="dxa"/>
                  <w:vMerge w:val="continue"/>
                  <w:noWrap w:val="0"/>
                  <w:vAlign w:val="center"/>
                </w:tcPr>
                <w:p w14:paraId="053895E6">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p>
              </w:tc>
              <w:tc>
                <w:tcPr>
                  <w:tcW w:w="1676" w:type="dxa"/>
                  <w:noWrap w:val="0"/>
                  <w:vAlign w:val="center"/>
                </w:tcPr>
                <w:p w14:paraId="30BCD8F0">
                  <w:pPr>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挥发性有机物</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含甲苯、二甲苯</w:t>
                  </w:r>
                  <w:r>
                    <w:rPr>
                      <w:rFonts w:hint="eastAsia" w:ascii="Times New Roman" w:hAnsi="Times New Roman"/>
                      <w:color w:val="auto"/>
                      <w:sz w:val="21"/>
                      <w:szCs w:val="21"/>
                      <w:highlight w:val="none"/>
                      <w:lang w:eastAsia="zh-CN"/>
                    </w:rPr>
                    <w:t>）</w:t>
                  </w:r>
                </w:p>
              </w:tc>
              <w:tc>
                <w:tcPr>
                  <w:tcW w:w="1060" w:type="dxa"/>
                  <w:noWrap w:val="0"/>
                  <w:vAlign w:val="center"/>
                </w:tcPr>
                <w:p w14:paraId="3D2D53C8">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甲苯与二甲苯合计</w:t>
                  </w:r>
                </w:p>
              </w:tc>
              <w:tc>
                <w:tcPr>
                  <w:tcW w:w="1510" w:type="dxa"/>
                  <w:noWrap w:val="0"/>
                  <w:vAlign w:val="center"/>
                </w:tcPr>
                <w:p w14:paraId="57FD0721">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非甲烷总烃</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含甲苯、二甲苯</w:t>
                  </w:r>
                  <w:r>
                    <w:rPr>
                      <w:rFonts w:hint="eastAsia" w:ascii="Times New Roman" w:hAnsi="Times New Roman" w:eastAsia="宋体"/>
                      <w:color w:val="auto"/>
                      <w:sz w:val="21"/>
                      <w:szCs w:val="21"/>
                      <w:highlight w:val="none"/>
                      <w:lang w:eastAsia="zh-CN"/>
                    </w:rPr>
                    <w:t>）</w:t>
                  </w:r>
                </w:p>
              </w:tc>
              <w:tc>
                <w:tcPr>
                  <w:tcW w:w="1017" w:type="dxa"/>
                  <w:noWrap w:val="0"/>
                  <w:vAlign w:val="center"/>
                </w:tcPr>
                <w:p w14:paraId="0AF2F350">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甲苯与二甲苯合计</w:t>
                  </w:r>
                </w:p>
              </w:tc>
            </w:tr>
            <w:tr w14:paraId="348B7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951" w:type="dxa"/>
                  <w:vMerge w:val="restart"/>
                  <w:noWrap w:val="0"/>
                  <w:vAlign w:val="center"/>
                </w:tcPr>
                <w:p w14:paraId="01A9FBC8">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调漆、喷漆、烘干/晾干、刮腻子过程</w:t>
                  </w:r>
                </w:p>
              </w:tc>
              <w:tc>
                <w:tcPr>
                  <w:tcW w:w="1282" w:type="dxa"/>
                  <w:noWrap w:val="0"/>
                  <w:vAlign w:val="center"/>
                </w:tcPr>
                <w:p w14:paraId="33789EFE">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底漆（含A组分、B组分）</w:t>
                  </w:r>
                </w:p>
              </w:tc>
              <w:tc>
                <w:tcPr>
                  <w:tcW w:w="894" w:type="dxa"/>
                  <w:noWrap w:val="0"/>
                  <w:vAlign w:val="center"/>
                </w:tcPr>
                <w:p w14:paraId="14B445D8">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2.665</w:t>
                  </w:r>
                </w:p>
              </w:tc>
              <w:tc>
                <w:tcPr>
                  <w:tcW w:w="1676" w:type="dxa"/>
                  <w:noWrap w:val="0"/>
                  <w:vAlign w:val="center"/>
                </w:tcPr>
                <w:p w14:paraId="1CB96D6B">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18.8</w:t>
                  </w:r>
                </w:p>
              </w:tc>
              <w:tc>
                <w:tcPr>
                  <w:tcW w:w="1060" w:type="dxa"/>
                  <w:noWrap w:val="0"/>
                  <w:vAlign w:val="center"/>
                </w:tcPr>
                <w:p w14:paraId="162E7B89">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12.48</w:t>
                  </w:r>
                </w:p>
              </w:tc>
              <w:tc>
                <w:tcPr>
                  <w:tcW w:w="1510" w:type="dxa"/>
                  <w:noWrap w:val="0"/>
                  <w:vAlign w:val="center"/>
                </w:tcPr>
                <w:p w14:paraId="32B15325">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0.501</w:t>
                  </w:r>
                </w:p>
              </w:tc>
              <w:tc>
                <w:tcPr>
                  <w:tcW w:w="1017" w:type="dxa"/>
                  <w:noWrap w:val="0"/>
                  <w:vAlign w:val="center"/>
                </w:tcPr>
                <w:p w14:paraId="32D89639">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0.333</w:t>
                  </w:r>
                </w:p>
              </w:tc>
            </w:tr>
            <w:tr w14:paraId="7BE60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951" w:type="dxa"/>
                  <w:vMerge w:val="continue"/>
                  <w:noWrap w:val="0"/>
                  <w:vAlign w:val="center"/>
                </w:tcPr>
                <w:p w14:paraId="2AD96669">
                  <w:pPr>
                    <w:keepNext w:val="0"/>
                    <w:keepLines w:val="0"/>
                    <w:pageBreakBefore w:val="0"/>
                    <w:kinsoku/>
                    <w:wordWrap/>
                    <w:overflowPunct/>
                    <w:topLinePunct w:val="0"/>
                    <w:bidi w:val="0"/>
                    <w:snapToGrid/>
                    <w:spacing w:line="240" w:lineRule="auto"/>
                    <w:ind w:firstLine="0" w:firstLineChars="0"/>
                    <w:jc w:val="center"/>
                    <w:textAlignment w:val="auto"/>
                    <w:rPr>
                      <w:rFonts w:hint="eastAsia"/>
                      <w:color w:val="auto"/>
                      <w:sz w:val="21"/>
                      <w:szCs w:val="21"/>
                      <w:highlight w:val="none"/>
                      <w:lang w:val="en-US" w:eastAsia="zh-CN"/>
                    </w:rPr>
                  </w:pPr>
                </w:p>
              </w:tc>
              <w:tc>
                <w:tcPr>
                  <w:tcW w:w="1282" w:type="dxa"/>
                  <w:noWrap w:val="0"/>
                  <w:vAlign w:val="center"/>
                </w:tcPr>
                <w:p w14:paraId="092DF1CD">
                  <w:pPr>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面漆（含A组分、B组分）</w:t>
                  </w:r>
                </w:p>
              </w:tc>
              <w:tc>
                <w:tcPr>
                  <w:tcW w:w="894" w:type="dxa"/>
                  <w:noWrap w:val="0"/>
                  <w:vAlign w:val="center"/>
                </w:tcPr>
                <w:p w14:paraId="6E2C5EB4">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2.705</w:t>
                  </w:r>
                </w:p>
              </w:tc>
              <w:tc>
                <w:tcPr>
                  <w:tcW w:w="1676" w:type="dxa"/>
                  <w:noWrap w:val="0"/>
                  <w:vAlign w:val="center"/>
                </w:tcPr>
                <w:p w14:paraId="6FEDD11D">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22.4</w:t>
                  </w:r>
                </w:p>
              </w:tc>
              <w:tc>
                <w:tcPr>
                  <w:tcW w:w="1060" w:type="dxa"/>
                  <w:noWrap w:val="0"/>
                  <w:vAlign w:val="center"/>
                </w:tcPr>
                <w:p w14:paraId="4E5EE4E5">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21.38</w:t>
                  </w:r>
                </w:p>
              </w:tc>
              <w:tc>
                <w:tcPr>
                  <w:tcW w:w="1510" w:type="dxa"/>
                  <w:noWrap w:val="0"/>
                  <w:vAlign w:val="center"/>
                </w:tcPr>
                <w:p w14:paraId="04D542D3">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0.606</w:t>
                  </w:r>
                </w:p>
              </w:tc>
              <w:tc>
                <w:tcPr>
                  <w:tcW w:w="1017" w:type="dxa"/>
                  <w:noWrap w:val="0"/>
                  <w:vAlign w:val="center"/>
                </w:tcPr>
                <w:p w14:paraId="7D806FF0">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0.578</w:t>
                  </w:r>
                </w:p>
              </w:tc>
            </w:tr>
            <w:tr w14:paraId="5CF5C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17" w:hRule="atLeast"/>
                <w:jc w:val="center"/>
              </w:trPr>
              <w:tc>
                <w:tcPr>
                  <w:tcW w:w="951" w:type="dxa"/>
                  <w:vMerge w:val="continue"/>
                  <w:noWrap w:val="0"/>
                  <w:vAlign w:val="center"/>
                </w:tcPr>
                <w:p w14:paraId="15C4A7C0">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p>
              </w:tc>
              <w:tc>
                <w:tcPr>
                  <w:tcW w:w="1282" w:type="dxa"/>
                  <w:noWrap w:val="0"/>
                  <w:vAlign w:val="center"/>
                </w:tcPr>
                <w:p w14:paraId="34CAB413">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耐弧漆（含稀释剂）</w:t>
                  </w:r>
                </w:p>
              </w:tc>
              <w:tc>
                <w:tcPr>
                  <w:tcW w:w="894" w:type="dxa"/>
                  <w:noWrap w:val="0"/>
                  <w:vAlign w:val="center"/>
                </w:tcPr>
                <w:p w14:paraId="743061BA">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w:t>
                  </w:r>
                  <w:r>
                    <w:rPr>
                      <w:rFonts w:hint="eastAsia"/>
                      <w:color w:val="auto"/>
                      <w:sz w:val="21"/>
                      <w:szCs w:val="21"/>
                      <w:highlight w:val="none"/>
                      <w:lang w:val="en-US" w:eastAsia="zh-CN"/>
                    </w:rPr>
                    <w:t>7</w:t>
                  </w:r>
                  <w:r>
                    <w:rPr>
                      <w:rFonts w:hint="eastAsia" w:ascii="Times New Roman" w:hAnsi="Times New Roman" w:eastAsia="宋体"/>
                      <w:color w:val="auto"/>
                      <w:sz w:val="21"/>
                      <w:szCs w:val="21"/>
                      <w:highlight w:val="none"/>
                      <w:lang w:val="en-US" w:eastAsia="zh-CN"/>
                    </w:rPr>
                    <w:t>5</w:t>
                  </w:r>
                </w:p>
              </w:tc>
              <w:tc>
                <w:tcPr>
                  <w:tcW w:w="1676" w:type="dxa"/>
                  <w:noWrap w:val="0"/>
                  <w:vAlign w:val="center"/>
                </w:tcPr>
                <w:p w14:paraId="0453D62E">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10.91</w:t>
                  </w:r>
                </w:p>
              </w:tc>
              <w:tc>
                <w:tcPr>
                  <w:tcW w:w="1060" w:type="dxa"/>
                  <w:noWrap w:val="0"/>
                  <w:vAlign w:val="center"/>
                </w:tcPr>
                <w:p w14:paraId="38F783A1">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4.54</w:t>
                  </w:r>
                </w:p>
              </w:tc>
              <w:tc>
                <w:tcPr>
                  <w:tcW w:w="1510" w:type="dxa"/>
                  <w:noWrap w:val="0"/>
                  <w:vAlign w:val="center"/>
                </w:tcPr>
                <w:p w14:paraId="4888B7F1">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r>
                    <w:rPr>
                      <w:rFonts w:hint="eastAsia"/>
                      <w:color w:val="auto"/>
                      <w:sz w:val="21"/>
                      <w:szCs w:val="21"/>
                      <w:highlight w:val="none"/>
                      <w:lang w:val="en-US" w:eastAsia="zh-CN"/>
                    </w:rPr>
                    <w:t>300</w:t>
                  </w:r>
                </w:p>
              </w:tc>
              <w:tc>
                <w:tcPr>
                  <w:tcW w:w="1017" w:type="dxa"/>
                  <w:noWrap w:val="0"/>
                  <w:vAlign w:val="center"/>
                </w:tcPr>
                <w:p w14:paraId="06696008">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0.125</w:t>
                  </w:r>
                </w:p>
              </w:tc>
            </w:tr>
            <w:tr w14:paraId="6EE32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951" w:type="dxa"/>
                  <w:vMerge w:val="continue"/>
                  <w:noWrap w:val="0"/>
                  <w:vAlign w:val="center"/>
                </w:tcPr>
                <w:p w14:paraId="63173737">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p>
              </w:tc>
              <w:tc>
                <w:tcPr>
                  <w:tcW w:w="1282" w:type="dxa"/>
                  <w:noWrap w:val="0"/>
                  <w:vAlign w:val="center"/>
                </w:tcPr>
                <w:p w14:paraId="729CA50C">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腻子</w:t>
                  </w:r>
                </w:p>
              </w:tc>
              <w:tc>
                <w:tcPr>
                  <w:tcW w:w="894" w:type="dxa"/>
                  <w:noWrap w:val="0"/>
                  <w:vAlign w:val="center"/>
                </w:tcPr>
                <w:p w14:paraId="61FAF9E1">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r>
                    <w:rPr>
                      <w:rFonts w:hint="eastAsia"/>
                      <w:color w:val="auto"/>
                      <w:sz w:val="21"/>
                      <w:szCs w:val="21"/>
                      <w:highlight w:val="none"/>
                      <w:lang w:val="en-US" w:eastAsia="zh-CN"/>
                    </w:rPr>
                    <w:t>65</w:t>
                  </w:r>
                </w:p>
              </w:tc>
              <w:tc>
                <w:tcPr>
                  <w:tcW w:w="1676" w:type="dxa"/>
                  <w:noWrap w:val="0"/>
                  <w:vAlign w:val="center"/>
                </w:tcPr>
                <w:p w14:paraId="63E922D4">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w:t>
                  </w:r>
                </w:p>
              </w:tc>
              <w:tc>
                <w:tcPr>
                  <w:tcW w:w="1060" w:type="dxa"/>
                  <w:noWrap w:val="0"/>
                  <w:vAlign w:val="center"/>
                </w:tcPr>
                <w:p w14:paraId="3548C08A">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510" w:type="dxa"/>
                  <w:noWrap w:val="0"/>
                  <w:vAlign w:val="center"/>
                </w:tcPr>
                <w:p w14:paraId="3E33ECF9">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w:t>
                  </w:r>
                  <w:r>
                    <w:rPr>
                      <w:rFonts w:hint="eastAsia"/>
                      <w:color w:val="auto"/>
                      <w:sz w:val="21"/>
                      <w:szCs w:val="21"/>
                      <w:highlight w:val="none"/>
                      <w:lang w:val="en-US" w:eastAsia="zh-CN"/>
                    </w:rPr>
                    <w:t>52</w:t>
                  </w:r>
                </w:p>
              </w:tc>
              <w:tc>
                <w:tcPr>
                  <w:tcW w:w="1017" w:type="dxa"/>
                  <w:noWrap w:val="0"/>
                  <w:vAlign w:val="center"/>
                </w:tcPr>
                <w:p w14:paraId="5F61ADB4">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50189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2233" w:type="dxa"/>
                  <w:gridSpan w:val="2"/>
                  <w:noWrap w:val="0"/>
                  <w:vAlign w:val="center"/>
                </w:tcPr>
                <w:p w14:paraId="55966FB4">
                  <w:pPr>
                    <w:keepNext w:val="0"/>
                    <w:keepLines w:val="0"/>
                    <w:pageBreakBefore w:val="0"/>
                    <w:kinsoku/>
                    <w:wordWrap/>
                    <w:overflowPunct/>
                    <w:topLinePunct w:val="0"/>
                    <w:bidi w:val="0"/>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合计</w:t>
                  </w:r>
                </w:p>
              </w:tc>
              <w:tc>
                <w:tcPr>
                  <w:tcW w:w="894" w:type="dxa"/>
                  <w:noWrap w:val="0"/>
                  <w:vAlign w:val="center"/>
                </w:tcPr>
                <w:p w14:paraId="397D60CD">
                  <w:pPr>
                    <w:keepNext w:val="0"/>
                    <w:keepLines w:val="0"/>
                    <w:pageBreakBefore w:val="0"/>
                    <w:kinsoku/>
                    <w:wordWrap/>
                    <w:overflowPunct/>
                    <w:topLinePunct w:val="0"/>
                    <w:bidi w:val="0"/>
                    <w:snapToGrid/>
                    <w:spacing w:line="240" w:lineRule="auto"/>
                    <w:ind w:firstLine="0" w:firstLineChars="0"/>
                    <w:jc w:val="center"/>
                    <w:textAlignment w:val="auto"/>
                    <w:rPr>
                      <w:rFonts w:hint="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676" w:type="dxa"/>
                  <w:noWrap w:val="0"/>
                  <w:vAlign w:val="center"/>
                </w:tcPr>
                <w:p w14:paraId="16438AC0">
                  <w:pPr>
                    <w:keepNext w:val="0"/>
                    <w:keepLines w:val="0"/>
                    <w:pageBreakBefore w:val="0"/>
                    <w:kinsoku/>
                    <w:wordWrap/>
                    <w:overflowPunct/>
                    <w:topLinePunct w:val="0"/>
                    <w:bidi w:val="0"/>
                    <w:snapToGrid/>
                    <w:spacing w:line="240" w:lineRule="auto"/>
                    <w:ind w:firstLine="0" w:firstLineChars="0"/>
                    <w:jc w:val="center"/>
                    <w:textAlignment w:val="auto"/>
                    <w:rPr>
                      <w:rFonts w:hint="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noWrap w:val="0"/>
                  <w:vAlign w:val="center"/>
                </w:tcPr>
                <w:p w14:paraId="4439C394">
                  <w:pPr>
                    <w:keepNext w:val="0"/>
                    <w:keepLines w:val="0"/>
                    <w:pageBreakBefore w:val="0"/>
                    <w:kinsoku/>
                    <w:wordWrap/>
                    <w:overflowPunct/>
                    <w:topLinePunct w:val="0"/>
                    <w:bidi w:val="0"/>
                    <w:snapToGrid/>
                    <w:spacing w:line="240" w:lineRule="auto"/>
                    <w:ind w:firstLine="0" w:firstLineChars="0"/>
                    <w:jc w:val="center"/>
                    <w:textAlignment w:val="auto"/>
                    <w:rPr>
                      <w:rFonts w:hint="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510" w:type="dxa"/>
                  <w:noWrap w:val="0"/>
                  <w:vAlign w:val="center"/>
                </w:tcPr>
                <w:p w14:paraId="1F86C368">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1.459</w:t>
                  </w:r>
                </w:p>
              </w:tc>
              <w:tc>
                <w:tcPr>
                  <w:tcW w:w="1017" w:type="dxa"/>
                  <w:noWrap w:val="0"/>
                  <w:vAlign w:val="center"/>
                </w:tcPr>
                <w:p w14:paraId="21D0E027">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b/>
                      <w:bCs/>
                      <w:color w:val="auto"/>
                      <w:sz w:val="21"/>
                      <w:szCs w:val="21"/>
                      <w:highlight w:val="none"/>
                      <w:lang w:val="en-US" w:eastAsia="zh-CN"/>
                    </w:rPr>
                  </w:pPr>
                  <w:r>
                    <w:rPr>
                      <w:rFonts w:hint="eastAsia"/>
                      <w:b/>
                      <w:bCs/>
                      <w:color w:val="auto"/>
                      <w:sz w:val="21"/>
                      <w:szCs w:val="21"/>
                      <w:highlight w:val="none"/>
                      <w:lang w:val="en-US" w:eastAsia="zh-CN"/>
                    </w:rPr>
                    <w:t>1.036</w:t>
                  </w:r>
                </w:p>
              </w:tc>
            </w:tr>
          </w:tbl>
          <w:p w14:paraId="28CB4B3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由上表可知，本项目</w:t>
            </w:r>
            <w:r>
              <w:rPr>
                <w:rFonts w:hint="eastAsia"/>
                <w:color w:val="auto"/>
                <w:lang w:val="en-US" w:eastAsia="zh-CN"/>
              </w:rPr>
              <w:t>调漆、喷漆、烘干/晾干、刮腻子</w:t>
            </w:r>
            <w:r>
              <w:rPr>
                <w:rFonts w:hint="eastAsia"/>
                <w:color w:val="auto"/>
                <w:highlight w:val="none"/>
                <w:lang w:val="en-US" w:eastAsia="zh-CN"/>
              </w:rPr>
              <w:t>过程非甲烷总烃产生量为1.459t/a，甲苯与二甲苯合计产生量为1.036t/a。</w:t>
            </w:r>
          </w:p>
          <w:p w14:paraId="23809EA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ascii="宋体" w:hAnsi="宋体" w:eastAsia="宋体" w:cs="宋体"/>
                <w:color w:val="auto"/>
                <w:highlight w:val="none"/>
                <w:lang w:val="en-US" w:eastAsia="zh-CN"/>
              </w:rPr>
              <w:t>④</w:t>
            </w:r>
            <w:r>
              <w:rPr>
                <w:rFonts w:hint="eastAsia"/>
                <w:color w:val="auto"/>
                <w:highlight w:val="none"/>
                <w:lang w:val="en-US" w:eastAsia="zh-CN"/>
              </w:rPr>
              <w:t>除油过程</w:t>
            </w:r>
            <w:r>
              <w:rPr>
                <w:rFonts w:hint="eastAsia"/>
                <w:color w:val="auto"/>
                <w:lang w:val="en-US" w:eastAsia="zh-CN"/>
              </w:rPr>
              <w:t>有机废气产生情况</w:t>
            </w:r>
          </w:p>
          <w:p w14:paraId="51FB4886">
            <w:pPr>
              <w:pStyle w:val="2"/>
              <w:rPr>
                <w:rFonts w:hint="default"/>
                <w:color w:val="auto"/>
                <w:lang w:val="en-US" w:eastAsia="zh-CN"/>
              </w:rPr>
            </w:pPr>
            <w:r>
              <w:rPr>
                <w:rFonts w:hint="eastAsia"/>
                <w:color w:val="auto"/>
                <w:lang w:val="en-US" w:eastAsia="zh-CN"/>
              </w:rPr>
              <w:t>本项目除油过程产生的有机废气采用类比法进行核算，本项目除油过程消耗稀释剂量为0.75t/a，除油过程产生的废稀释剂密闭回收，类比其他同类型项目，同时根据建设单位提供资料及参照</w:t>
            </w:r>
            <w:r>
              <w:rPr>
                <w:rFonts w:hint="eastAsia"/>
                <w:color w:val="auto"/>
                <w:sz w:val="24"/>
                <w:highlight w:val="none"/>
                <w:lang w:eastAsia="zh-CN"/>
              </w:rPr>
              <w:t>《排放源统计调查产排污核算方法和系数手册》工业行业产排污系数手册</w:t>
            </w:r>
            <w:r>
              <w:rPr>
                <w:rFonts w:hint="eastAsia"/>
                <w:color w:val="auto"/>
                <w:sz w:val="24"/>
                <w:highlight w:val="none"/>
                <w:lang w:val="en-US" w:eastAsia="zh-CN"/>
              </w:rPr>
              <w:t>中</w:t>
            </w:r>
            <w:r>
              <w:rPr>
                <w:rFonts w:hint="eastAsia" w:ascii="Times New Roman" w:hAnsi="Times New Roman" w:eastAsia="宋体" w:cs="Times New Roman"/>
                <w:color w:val="auto"/>
                <w:spacing w:val="0"/>
                <w:sz w:val="24"/>
                <w:highlight w:val="none"/>
                <w:lang w:val="en-US" w:eastAsia="zh-CN"/>
              </w:rPr>
              <w:t>机械行业系数手册产污系数涂装工段喷漆（油性漆）过程挥发性有机物产污系数为486千克/吨-原料</w:t>
            </w:r>
            <w:r>
              <w:rPr>
                <w:rFonts w:hint="eastAsia"/>
                <w:color w:val="auto"/>
                <w:lang w:val="en-US" w:eastAsia="zh-CN"/>
              </w:rPr>
              <w:t>，本次评价除油过程挥发性有机物产生量按</w:t>
            </w:r>
            <w:r>
              <w:rPr>
                <w:rFonts w:hint="eastAsia" w:ascii="Times New Roman" w:hAnsi="Times New Roman" w:eastAsia="宋体" w:cs="Times New Roman"/>
                <w:color w:val="auto"/>
                <w:spacing w:val="0"/>
                <w:sz w:val="24"/>
                <w:highlight w:val="none"/>
                <w:lang w:val="en-US" w:eastAsia="zh-CN"/>
              </w:rPr>
              <w:t>486千克/吨-原料计，</w:t>
            </w:r>
            <w:r>
              <w:rPr>
                <w:rFonts w:hint="eastAsia"/>
                <w:color w:val="auto"/>
                <w:highlight w:val="none"/>
                <w:lang w:val="en-US" w:eastAsia="zh-CN"/>
              </w:rPr>
              <w:t>挥发性有机物以非甲烷总烃、甲苯、二甲苯计，其中，甲苯、二甲苯包含在非甲烷总烃中</w:t>
            </w:r>
            <w:r>
              <w:rPr>
                <w:rFonts w:hint="eastAsia"/>
                <w:color w:val="auto"/>
                <w:lang w:val="en-US" w:eastAsia="zh-CN"/>
              </w:rPr>
              <w:t>，则除油过程非甲烷总烃产生量为0.365t/a，根据建设单位提供稀释剂成分信息，稀释剂中甲苯占比为5-15%，二甲苯占比为25-35%，本次评价均按最大占比计，则除油过程甲苯与二甲苯合计产生量为0.183t/a。</w:t>
            </w:r>
          </w:p>
          <w:p w14:paraId="166D264B">
            <w:pPr>
              <w:bidi w:val="0"/>
              <w:rPr>
                <w:rFonts w:hint="eastAsia"/>
                <w:color w:val="auto"/>
                <w:lang w:val="en-US" w:eastAsia="zh-CN"/>
              </w:rPr>
            </w:pPr>
            <w:r>
              <w:rPr>
                <w:rFonts w:hint="eastAsia"/>
                <w:color w:val="auto"/>
                <w:lang w:val="en-US" w:eastAsia="zh-CN"/>
              </w:rPr>
              <w:t>⑤漆料及危废储存过程有机废气产生情况</w:t>
            </w:r>
          </w:p>
          <w:p w14:paraId="3DBFE95A">
            <w:pPr>
              <w:bidi w:val="0"/>
              <w:rPr>
                <w:rFonts w:hint="eastAsia"/>
                <w:color w:val="auto"/>
                <w:lang w:val="en-US" w:eastAsia="zh-CN"/>
              </w:rPr>
            </w:pPr>
            <w:r>
              <w:rPr>
                <w:rFonts w:hint="eastAsia"/>
                <w:color w:val="auto"/>
                <w:lang w:val="en-US" w:eastAsia="zh-CN"/>
              </w:rPr>
              <w:t>本项目漆料及危废储存过程会产生一定量的有机废气，本项目建成后，油漆密闭桶装，储存于油漆库，危废均采取密闭封装方式储存危废间，油漆库、危废间连接管道，漆料、危废储存过程产生的有机废气与生产过程产生的废气一起引入过滤棉箱过滤+沸石转轮+催化燃烧装置进行处理，本项目在核算调漆、喷漆、烘干/晾干工序有机废气产生量时，已按照漆料中的挥发性有机物全部挥发进行核算，因此，本次评价在核算漆料及危废储存过程有机废气产生量时，仅对废稀释剂储存过程有机废气产生量进行核算。</w:t>
            </w:r>
          </w:p>
          <w:p w14:paraId="09D83E61">
            <w:pPr>
              <w:bidi w:val="0"/>
              <w:rPr>
                <w:rFonts w:hint="default"/>
                <w:color w:val="auto"/>
                <w:lang w:val="en-US" w:eastAsia="zh-CN"/>
              </w:rPr>
            </w:pPr>
            <w:r>
              <w:rPr>
                <w:rFonts w:hint="eastAsia" w:ascii="Times New Roman" w:hAnsi="Times New Roman" w:eastAsia="宋体" w:cs="Times New Roman"/>
                <w:b w:val="0"/>
                <w:bCs/>
                <w:color w:val="auto"/>
                <w:kern w:val="0"/>
                <w:sz w:val="24"/>
                <w:szCs w:val="24"/>
                <w:highlight w:val="none"/>
                <w:lang w:val="en-US" w:eastAsia="zh-CN"/>
              </w:rPr>
              <w:t>根据源强分析以及物料平衡可知，项目除油过程废稀释剂产生量为0.385t/a</w:t>
            </w:r>
            <w:r>
              <w:rPr>
                <w:rFonts w:hint="default" w:ascii="Times New Roman" w:hAnsi="Times New Roman" w:eastAsia="宋体" w:cs="Times New Roman"/>
                <w:b w:val="0"/>
                <w:bCs/>
                <w:color w:val="auto"/>
                <w:kern w:val="0"/>
                <w:sz w:val="24"/>
                <w:szCs w:val="24"/>
                <w:highlight w:val="none"/>
                <w:lang w:val="en-US" w:eastAsia="zh-CN"/>
              </w:rPr>
              <w:t>。</w:t>
            </w:r>
            <w:r>
              <w:rPr>
                <w:rFonts w:hint="eastAsia" w:ascii="Times New Roman" w:hAnsi="Times New Roman" w:eastAsia="宋体" w:cs="Times New Roman"/>
                <w:b w:val="0"/>
                <w:bCs/>
                <w:color w:val="auto"/>
                <w:kern w:val="0"/>
                <w:sz w:val="24"/>
                <w:szCs w:val="24"/>
                <w:highlight w:val="none"/>
                <w:lang w:val="en-US" w:eastAsia="zh-CN"/>
              </w:rPr>
              <w:t>参照</w:t>
            </w:r>
            <w:r>
              <w:rPr>
                <w:rFonts w:hint="default" w:ascii="Times New Roman" w:hAnsi="Times New Roman" w:eastAsia="宋体" w:cs="Times New Roman"/>
                <w:b w:val="0"/>
                <w:bCs/>
                <w:color w:val="auto"/>
                <w:kern w:val="24"/>
                <w:sz w:val="24"/>
                <w:szCs w:val="24"/>
                <w:highlight w:val="none"/>
                <w:lang w:val="en-US" w:eastAsia="zh-CN" w:bidi="ar"/>
              </w:rPr>
              <w:t>《环境影响评价实用技术指南》（机械工业出版社），项目源强的确定按原料用量的0.1~0.4‰确定，本评价按最大值0.4‰考虑，则</w:t>
            </w:r>
            <w:r>
              <w:rPr>
                <w:rFonts w:hint="eastAsia" w:ascii="Times New Roman" w:hAnsi="Times New Roman" w:eastAsia="宋体" w:cs="Times New Roman"/>
                <w:b w:val="0"/>
                <w:bCs/>
                <w:color w:val="auto"/>
                <w:kern w:val="24"/>
                <w:sz w:val="24"/>
                <w:szCs w:val="24"/>
                <w:highlight w:val="none"/>
                <w:lang w:val="en-US" w:eastAsia="zh-CN" w:bidi="ar"/>
              </w:rPr>
              <w:t>废稀释剂储存</w:t>
            </w:r>
            <w:r>
              <w:rPr>
                <w:rFonts w:hint="default" w:ascii="Times New Roman" w:hAnsi="Times New Roman" w:eastAsia="宋体" w:cs="Times New Roman"/>
                <w:b w:val="0"/>
                <w:bCs/>
                <w:color w:val="auto"/>
                <w:kern w:val="24"/>
                <w:sz w:val="24"/>
                <w:szCs w:val="24"/>
                <w:highlight w:val="none"/>
                <w:lang w:val="en-US" w:eastAsia="zh-CN" w:bidi="ar"/>
              </w:rPr>
              <w:t>过程释放的</w:t>
            </w:r>
            <w:r>
              <w:rPr>
                <w:rFonts w:hint="default" w:ascii="Times New Roman" w:hAnsi="Times New Roman" w:eastAsia="宋体" w:cs="Times New Roman"/>
                <w:b w:val="0"/>
                <w:bCs/>
                <w:color w:val="auto"/>
                <w:kern w:val="0"/>
                <w:sz w:val="24"/>
                <w:szCs w:val="24"/>
                <w:highlight w:val="none"/>
                <w:lang w:val="en-US" w:eastAsia="zh-CN"/>
              </w:rPr>
              <w:t>非甲烷总烃</w:t>
            </w:r>
            <w:r>
              <w:rPr>
                <w:rFonts w:hint="default" w:ascii="Times New Roman" w:hAnsi="Times New Roman" w:eastAsia="宋体" w:cs="Times New Roman"/>
                <w:b w:val="0"/>
                <w:bCs/>
                <w:color w:val="auto"/>
                <w:kern w:val="24"/>
                <w:sz w:val="24"/>
                <w:szCs w:val="24"/>
                <w:highlight w:val="none"/>
                <w:lang w:val="en-US" w:eastAsia="zh-CN" w:bidi="ar"/>
              </w:rPr>
              <w:t>为0.00</w:t>
            </w:r>
            <w:r>
              <w:rPr>
                <w:rFonts w:hint="eastAsia" w:ascii="Times New Roman" w:hAnsi="Times New Roman" w:eastAsia="宋体" w:cs="Times New Roman"/>
                <w:b w:val="0"/>
                <w:bCs/>
                <w:color w:val="auto"/>
                <w:kern w:val="24"/>
                <w:sz w:val="24"/>
                <w:szCs w:val="24"/>
                <w:highlight w:val="none"/>
                <w:lang w:val="en-US" w:eastAsia="zh-CN" w:bidi="ar"/>
              </w:rPr>
              <w:t>02t</w:t>
            </w:r>
            <w:r>
              <w:rPr>
                <w:rFonts w:hint="default" w:ascii="Times New Roman" w:hAnsi="Times New Roman" w:eastAsia="宋体" w:cs="Times New Roman"/>
                <w:b w:val="0"/>
                <w:bCs/>
                <w:color w:val="auto"/>
                <w:kern w:val="24"/>
                <w:sz w:val="24"/>
                <w:szCs w:val="24"/>
                <w:highlight w:val="none"/>
                <w:lang w:val="en-US" w:eastAsia="zh-CN" w:bidi="ar"/>
              </w:rPr>
              <w:t>/a，</w:t>
            </w:r>
            <w:r>
              <w:rPr>
                <w:rFonts w:hint="eastAsia" w:ascii="Times New Roman" w:hAnsi="Times New Roman" w:eastAsia="宋体" w:cs="Times New Roman"/>
                <w:b w:val="0"/>
                <w:bCs/>
                <w:color w:val="auto"/>
                <w:kern w:val="24"/>
                <w:sz w:val="24"/>
                <w:szCs w:val="24"/>
                <w:highlight w:val="none"/>
                <w:lang w:val="en-US" w:eastAsia="zh-CN" w:bidi="ar"/>
              </w:rPr>
              <w:t>甲苯与二甲苯合计量为0.0001t/a。</w:t>
            </w:r>
          </w:p>
          <w:p w14:paraId="238F59B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综上，本项目调漆、喷漆、烘干/晾干、刮腻子、腻子打磨、除油、漆料及危废储存过程污染物产生情况见下表。</w:t>
            </w:r>
          </w:p>
          <w:p w14:paraId="5E9D0677">
            <w:pPr>
              <w:pStyle w:val="3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表41</w:t>
            </w:r>
            <w:r>
              <w:rPr>
                <w:rFonts w:hint="eastAsia"/>
                <w:color w:val="auto"/>
              </w:rPr>
              <w:t xml:space="preserve">  </w:t>
            </w:r>
            <w:r>
              <w:rPr>
                <w:rFonts w:hint="eastAsia"/>
                <w:color w:val="auto"/>
                <w:lang w:val="en-US" w:eastAsia="zh-CN"/>
              </w:rPr>
              <w:t>调漆、喷漆、烘干/晾干、刮腻子、腻子打磨、除油、漆料及危废储存过程</w:t>
            </w:r>
          </w:p>
          <w:p w14:paraId="3400A83E">
            <w:pPr>
              <w:pStyle w:val="3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污染物</w:t>
            </w:r>
            <w:r>
              <w:rPr>
                <w:rFonts w:hint="eastAsia"/>
                <w:color w:val="auto"/>
              </w:rPr>
              <w:t>产生</w:t>
            </w:r>
            <w:r>
              <w:rPr>
                <w:rFonts w:hint="eastAsia"/>
                <w:color w:val="auto"/>
                <w:lang w:val="en-US" w:eastAsia="zh-CN"/>
              </w:rPr>
              <w:t>情况一览表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238"/>
              <w:gridCol w:w="967"/>
              <w:gridCol w:w="968"/>
              <w:gridCol w:w="2175"/>
              <w:gridCol w:w="2042"/>
            </w:tblGrid>
            <w:tr w14:paraId="0C9F0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604" w:hRule="atLeast"/>
                <w:jc w:val="center"/>
              </w:trPr>
              <w:tc>
                <w:tcPr>
                  <w:tcW w:w="2238" w:type="dxa"/>
                  <w:noWrap w:val="0"/>
                  <w:vAlign w:val="center"/>
                </w:tcPr>
                <w:p w14:paraId="57808968">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污染工序</w:t>
                  </w:r>
                </w:p>
              </w:tc>
              <w:tc>
                <w:tcPr>
                  <w:tcW w:w="1935" w:type="dxa"/>
                  <w:gridSpan w:val="2"/>
                  <w:noWrap w:val="0"/>
                  <w:vAlign w:val="center"/>
                </w:tcPr>
                <w:p w14:paraId="1DE5D89D">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颗粒物产生量（t/a）</w:t>
                  </w:r>
                </w:p>
              </w:tc>
              <w:tc>
                <w:tcPr>
                  <w:tcW w:w="2175" w:type="dxa"/>
                  <w:noWrap w:val="0"/>
                  <w:vAlign w:val="center"/>
                </w:tcPr>
                <w:p w14:paraId="7C5132BF">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非甲烷总烃产生量（t/a）</w:t>
                  </w:r>
                </w:p>
              </w:tc>
              <w:tc>
                <w:tcPr>
                  <w:tcW w:w="2042" w:type="dxa"/>
                  <w:noWrap w:val="0"/>
                  <w:vAlign w:val="center"/>
                </w:tcPr>
                <w:p w14:paraId="7E57CF8B">
                  <w:pPr>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甲苯与二甲苯合计产生量（t/a）</w:t>
                  </w:r>
                </w:p>
              </w:tc>
            </w:tr>
            <w:tr w14:paraId="10AC3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2238" w:type="dxa"/>
                  <w:vMerge w:val="restart"/>
                  <w:noWrap w:val="0"/>
                  <w:vAlign w:val="center"/>
                </w:tcPr>
                <w:p w14:paraId="276FABC0">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调漆、喷漆、烘干/晾干、刮腻子、腻子打磨过程</w:t>
                  </w:r>
                </w:p>
              </w:tc>
              <w:tc>
                <w:tcPr>
                  <w:tcW w:w="967" w:type="dxa"/>
                  <w:noWrap w:val="0"/>
                  <w:vAlign w:val="center"/>
                </w:tcPr>
                <w:p w14:paraId="263385C4">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喷漆</w:t>
                  </w:r>
                </w:p>
              </w:tc>
              <w:tc>
                <w:tcPr>
                  <w:tcW w:w="968" w:type="dxa"/>
                  <w:noWrap w:val="0"/>
                  <w:vAlign w:val="center"/>
                </w:tcPr>
                <w:p w14:paraId="73F4B44F">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1.624</w:t>
                  </w:r>
                </w:p>
              </w:tc>
              <w:tc>
                <w:tcPr>
                  <w:tcW w:w="2175" w:type="dxa"/>
                  <w:vMerge w:val="restart"/>
                  <w:noWrap w:val="0"/>
                  <w:vAlign w:val="center"/>
                </w:tcPr>
                <w:p w14:paraId="2F4B290F">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1.4</w:t>
                  </w:r>
                  <w:r>
                    <w:rPr>
                      <w:rFonts w:hint="eastAsia"/>
                      <w:color w:val="auto"/>
                      <w:sz w:val="21"/>
                      <w:szCs w:val="21"/>
                      <w:highlight w:val="none"/>
                      <w:lang w:val="en-US" w:eastAsia="zh-CN"/>
                    </w:rPr>
                    <w:t>59</w:t>
                  </w:r>
                </w:p>
              </w:tc>
              <w:tc>
                <w:tcPr>
                  <w:tcW w:w="2042" w:type="dxa"/>
                  <w:vMerge w:val="restart"/>
                  <w:noWrap w:val="0"/>
                  <w:vAlign w:val="center"/>
                </w:tcPr>
                <w:p w14:paraId="7FC30E86">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w:t>
                  </w:r>
                  <w:r>
                    <w:rPr>
                      <w:rFonts w:hint="eastAsia"/>
                      <w:color w:val="auto"/>
                      <w:sz w:val="21"/>
                      <w:szCs w:val="21"/>
                      <w:highlight w:val="none"/>
                      <w:lang w:val="en-US" w:eastAsia="zh-CN"/>
                    </w:rPr>
                    <w:t>36</w:t>
                  </w:r>
                </w:p>
              </w:tc>
            </w:tr>
            <w:tr w14:paraId="776C2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2238" w:type="dxa"/>
                  <w:vMerge w:val="continue"/>
                  <w:noWrap w:val="0"/>
                  <w:vAlign w:val="center"/>
                </w:tcPr>
                <w:p w14:paraId="37AB8077">
                  <w:pPr>
                    <w:keepNext w:val="0"/>
                    <w:keepLines w:val="0"/>
                    <w:pageBreakBefore w:val="0"/>
                    <w:kinsoku/>
                    <w:wordWrap/>
                    <w:overflowPunct/>
                    <w:topLinePunct w:val="0"/>
                    <w:bidi w:val="0"/>
                    <w:snapToGrid/>
                    <w:spacing w:line="240" w:lineRule="auto"/>
                    <w:ind w:firstLine="0" w:firstLineChars="0"/>
                    <w:jc w:val="center"/>
                    <w:textAlignment w:val="auto"/>
                    <w:rPr>
                      <w:color w:val="auto"/>
                      <w:sz w:val="21"/>
                      <w:szCs w:val="21"/>
                    </w:rPr>
                  </w:pPr>
                </w:p>
              </w:tc>
              <w:tc>
                <w:tcPr>
                  <w:tcW w:w="967" w:type="dxa"/>
                  <w:noWrap w:val="0"/>
                  <w:vAlign w:val="center"/>
                </w:tcPr>
                <w:p w14:paraId="7BDCA47C">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腻子打磨</w:t>
                  </w:r>
                </w:p>
              </w:tc>
              <w:tc>
                <w:tcPr>
                  <w:tcW w:w="968" w:type="dxa"/>
                  <w:noWrap w:val="0"/>
                  <w:vAlign w:val="center"/>
                </w:tcPr>
                <w:p w14:paraId="747DF542">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0.108</w:t>
                  </w:r>
                </w:p>
              </w:tc>
              <w:tc>
                <w:tcPr>
                  <w:tcW w:w="2175" w:type="dxa"/>
                  <w:vMerge w:val="continue"/>
                  <w:noWrap w:val="0"/>
                  <w:vAlign w:val="center"/>
                </w:tcPr>
                <w:p w14:paraId="71BE8F78">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p>
              </w:tc>
              <w:tc>
                <w:tcPr>
                  <w:tcW w:w="2042" w:type="dxa"/>
                  <w:vMerge w:val="continue"/>
                  <w:noWrap w:val="0"/>
                  <w:vAlign w:val="center"/>
                </w:tcPr>
                <w:p w14:paraId="5DDFCD81">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p>
              </w:tc>
            </w:tr>
            <w:tr w14:paraId="1D44C0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2238" w:type="dxa"/>
                  <w:noWrap w:val="0"/>
                  <w:vAlign w:val="center"/>
                </w:tcPr>
                <w:p w14:paraId="0384C664">
                  <w:pPr>
                    <w:keepNext w:val="0"/>
                    <w:keepLines w:val="0"/>
                    <w:pageBreakBefore w:val="0"/>
                    <w:kinsoku/>
                    <w:wordWrap/>
                    <w:overflowPunct/>
                    <w:topLinePunct w:val="0"/>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除油过程</w:t>
                  </w:r>
                </w:p>
              </w:tc>
              <w:tc>
                <w:tcPr>
                  <w:tcW w:w="1935" w:type="dxa"/>
                  <w:gridSpan w:val="2"/>
                  <w:noWrap w:val="0"/>
                  <w:vAlign w:val="center"/>
                </w:tcPr>
                <w:p w14:paraId="4BB28FEA">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2175" w:type="dxa"/>
                  <w:noWrap w:val="0"/>
                  <w:vAlign w:val="center"/>
                </w:tcPr>
                <w:p w14:paraId="6A0EF344">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0.365</w:t>
                  </w:r>
                </w:p>
              </w:tc>
              <w:tc>
                <w:tcPr>
                  <w:tcW w:w="2042" w:type="dxa"/>
                  <w:noWrap w:val="0"/>
                  <w:vAlign w:val="center"/>
                </w:tcPr>
                <w:p w14:paraId="1F605E48">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0.183</w:t>
                  </w:r>
                </w:p>
              </w:tc>
            </w:tr>
            <w:tr w14:paraId="6E9DC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2238" w:type="dxa"/>
                  <w:noWrap w:val="0"/>
                  <w:vAlign w:val="center"/>
                </w:tcPr>
                <w:p w14:paraId="6DD481E8">
                  <w:pPr>
                    <w:keepNext w:val="0"/>
                    <w:keepLines w:val="0"/>
                    <w:pageBreakBefore w:val="0"/>
                    <w:kinsoku/>
                    <w:wordWrap/>
                    <w:overflowPunct/>
                    <w:topLinePunct w:val="0"/>
                    <w:bidi w:val="0"/>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漆料及危废储存过程</w:t>
                  </w:r>
                </w:p>
              </w:tc>
              <w:tc>
                <w:tcPr>
                  <w:tcW w:w="1935" w:type="dxa"/>
                  <w:gridSpan w:val="2"/>
                  <w:noWrap w:val="0"/>
                  <w:vAlign w:val="center"/>
                </w:tcPr>
                <w:p w14:paraId="4D6ED763">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w:t>
                  </w:r>
                </w:p>
              </w:tc>
              <w:tc>
                <w:tcPr>
                  <w:tcW w:w="2175" w:type="dxa"/>
                  <w:noWrap w:val="0"/>
                  <w:vAlign w:val="center"/>
                </w:tcPr>
                <w:p w14:paraId="510E4592">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0.0002</w:t>
                  </w:r>
                </w:p>
              </w:tc>
              <w:tc>
                <w:tcPr>
                  <w:tcW w:w="2042" w:type="dxa"/>
                  <w:noWrap w:val="0"/>
                  <w:vAlign w:val="center"/>
                </w:tcPr>
                <w:p w14:paraId="3461E320">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0.0001</w:t>
                  </w:r>
                </w:p>
              </w:tc>
            </w:tr>
            <w:tr w14:paraId="77F0B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2238" w:type="dxa"/>
                  <w:noWrap w:val="0"/>
                  <w:vAlign w:val="center"/>
                </w:tcPr>
                <w:p w14:paraId="4D63289A">
                  <w:pPr>
                    <w:keepNext w:val="0"/>
                    <w:keepLines w:val="0"/>
                    <w:pageBreakBefore w:val="0"/>
                    <w:kinsoku/>
                    <w:wordWrap/>
                    <w:overflowPunct/>
                    <w:topLinePunct w:val="0"/>
                    <w:bidi w:val="0"/>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合计</w:t>
                  </w:r>
                </w:p>
              </w:tc>
              <w:tc>
                <w:tcPr>
                  <w:tcW w:w="1935" w:type="dxa"/>
                  <w:gridSpan w:val="2"/>
                  <w:noWrap w:val="0"/>
                  <w:vAlign w:val="center"/>
                </w:tcPr>
                <w:p w14:paraId="7322FEBC">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1.7</w:t>
                  </w:r>
                  <w:r>
                    <w:rPr>
                      <w:rFonts w:hint="eastAsia"/>
                      <w:color w:val="auto"/>
                      <w:sz w:val="21"/>
                      <w:szCs w:val="21"/>
                      <w:highlight w:val="none"/>
                      <w:lang w:val="en-US" w:eastAsia="zh-CN"/>
                    </w:rPr>
                    <w:t>32</w:t>
                  </w:r>
                </w:p>
              </w:tc>
              <w:tc>
                <w:tcPr>
                  <w:tcW w:w="2175" w:type="dxa"/>
                  <w:noWrap w:val="0"/>
                  <w:vAlign w:val="center"/>
                </w:tcPr>
                <w:p w14:paraId="476A02EF">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r>
                    <w:rPr>
                      <w:rFonts w:hint="eastAsia"/>
                      <w:color w:val="auto"/>
                      <w:sz w:val="21"/>
                      <w:szCs w:val="21"/>
                      <w:highlight w:val="none"/>
                      <w:lang w:val="en-US" w:eastAsia="zh-CN"/>
                    </w:rPr>
                    <w:t>824</w:t>
                  </w:r>
                </w:p>
              </w:tc>
              <w:tc>
                <w:tcPr>
                  <w:tcW w:w="2042" w:type="dxa"/>
                  <w:noWrap w:val="0"/>
                  <w:vAlign w:val="center"/>
                </w:tcPr>
                <w:p w14:paraId="29659E37">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1.2</w:t>
                  </w:r>
                  <w:r>
                    <w:rPr>
                      <w:rFonts w:hint="eastAsia"/>
                      <w:color w:val="auto"/>
                      <w:sz w:val="21"/>
                      <w:szCs w:val="21"/>
                      <w:highlight w:val="none"/>
                      <w:lang w:val="en-US" w:eastAsia="zh-CN"/>
                    </w:rPr>
                    <w:t>19</w:t>
                  </w:r>
                </w:p>
              </w:tc>
            </w:tr>
          </w:tbl>
          <w:p w14:paraId="42F9350D">
            <w:pPr>
              <w:bidi w:val="0"/>
              <w:rPr>
                <w:rFonts w:hint="default"/>
                <w:color w:val="auto"/>
                <w:highlight w:val="none"/>
                <w:lang w:val="en-US" w:eastAsia="zh-CN"/>
              </w:rPr>
            </w:pPr>
            <w:r>
              <w:rPr>
                <w:rFonts w:hint="eastAsia"/>
                <w:color w:val="auto"/>
                <w:highlight w:val="none"/>
                <w:lang w:val="en-US" w:eastAsia="zh-CN"/>
              </w:rPr>
              <w:t>（2）废气排放情况</w:t>
            </w:r>
          </w:p>
          <w:p w14:paraId="783C727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highlight w:val="none"/>
                <w:lang w:val="en-US" w:eastAsia="zh-CN"/>
              </w:rPr>
              <w:t>本项目</w:t>
            </w:r>
            <w:r>
              <w:rPr>
                <w:rFonts w:hint="eastAsia"/>
                <w:color w:val="auto"/>
                <w:lang w:val="en-US" w:eastAsia="zh-CN"/>
              </w:rPr>
              <w:t>调漆、喷漆、刮腻子、腻子打磨、除油过程产生的废气经干式喷漆柜去除大部分颗粒物后，与烘干/晾干、漆料及危废储存过程产生的废气一起进入过滤棉箱过滤+沸石转轮+催化燃烧装置进行处理，根据建设单位提供资料，腻子打磨过程年运行时间为400h，结合项目实际情况，本次评价核算颗粒物排放速率时，腻子打磨过程运行时间按400h/a计，喷漆工序运行时间按203h/a计，核算非甲烷总烃、甲苯与二甲苯合计排放速率时，运行时间按2000h/a计。结合项目废气收集方式，本次评价废气捕集效率按95%计，干式喷漆柜对颗粒物的去除效率按95%计，本项目设置4道过滤棉进行过滤，过滤棉对颗粒物的去除效率按95%计，合计去除效率为99.75%，沸石转轮+催化燃烧装置对有机废气的去除效率按90%计，则调漆、喷漆、烘干/晾干、刮腻子、腻子打磨、除油、漆料及危废储存过程污染物排放情况见下表。</w:t>
            </w:r>
          </w:p>
          <w:p w14:paraId="5F86223B">
            <w:pPr>
              <w:pStyle w:val="3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rPr>
              <w:t>表</w:t>
            </w:r>
            <w:r>
              <w:rPr>
                <w:rFonts w:hint="eastAsia"/>
                <w:color w:val="auto"/>
                <w:lang w:val="en-US" w:eastAsia="zh-CN"/>
              </w:rPr>
              <w:t xml:space="preserve">42 </w:t>
            </w:r>
            <w:r>
              <w:rPr>
                <w:rFonts w:hint="eastAsia"/>
                <w:color w:val="auto"/>
              </w:rPr>
              <w:t xml:space="preserve"> </w:t>
            </w:r>
            <w:r>
              <w:rPr>
                <w:rFonts w:hint="eastAsia"/>
                <w:color w:val="auto"/>
                <w:lang w:val="en-US" w:eastAsia="zh-CN"/>
              </w:rPr>
              <w:t>调漆、喷漆、烘干/晾干、刮腻子、腻子打磨、除油、漆料及危废储存过程</w:t>
            </w:r>
          </w:p>
          <w:p w14:paraId="41D031A1">
            <w:pPr>
              <w:pStyle w:val="3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污染物排放情况一览表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3"/>
              <w:gridCol w:w="715"/>
              <w:gridCol w:w="647"/>
              <w:gridCol w:w="676"/>
              <w:gridCol w:w="706"/>
              <w:gridCol w:w="1037"/>
              <w:gridCol w:w="696"/>
              <w:gridCol w:w="619"/>
              <w:gridCol w:w="762"/>
              <w:gridCol w:w="798"/>
              <w:gridCol w:w="931"/>
            </w:tblGrid>
            <w:tr w14:paraId="1271C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03" w:type="dxa"/>
                  <w:noWrap w:val="0"/>
                  <w:vAlign w:val="center"/>
                </w:tcPr>
                <w:p w14:paraId="09AF6A57">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污染工序</w:t>
                  </w:r>
                </w:p>
              </w:tc>
              <w:tc>
                <w:tcPr>
                  <w:tcW w:w="715" w:type="dxa"/>
                  <w:noWrap w:val="0"/>
                  <w:vAlign w:val="center"/>
                </w:tcPr>
                <w:p w14:paraId="3A1E72BF">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污染因子</w:t>
                  </w:r>
                </w:p>
              </w:tc>
              <w:tc>
                <w:tcPr>
                  <w:tcW w:w="647" w:type="dxa"/>
                  <w:noWrap w:val="0"/>
                  <w:vAlign w:val="center"/>
                </w:tcPr>
                <w:p w14:paraId="42851EF7">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运行时间</w:t>
                  </w:r>
                  <w:r>
                    <w:rPr>
                      <w:rFonts w:hint="eastAsia"/>
                      <w:color w:val="auto"/>
                      <w:sz w:val="21"/>
                      <w:szCs w:val="21"/>
                      <w:highlight w:val="none"/>
                      <w:lang w:val="en-US" w:eastAsia="zh-CN"/>
                    </w:rPr>
                    <w:t>(</w:t>
                  </w:r>
                  <w:r>
                    <w:rPr>
                      <w:rFonts w:hint="eastAsia" w:eastAsia="宋体"/>
                      <w:color w:val="auto"/>
                      <w:sz w:val="21"/>
                      <w:szCs w:val="21"/>
                      <w:highlight w:val="none"/>
                    </w:rPr>
                    <w:t>h/a</w:t>
                  </w:r>
                  <w:r>
                    <w:rPr>
                      <w:rFonts w:hint="eastAsia"/>
                      <w:color w:val="auto"/>
                      <w:sz w:val="21"/>
                      <w:szCs w:val="21"/>
                      <w:highlight w:val="none"/>
                      <w:lang w:val="en-US" w:eastAsia="zh-CN"/>
                    </w:rPr>
                    <w:t>)</w:t>
                  </w:r>
                </w:p>
              </w:tc>
              <w:tc>
                <w:tcPr>
                  <w:tcW w:w="676" w:type="dxa"/>
                  <w:noWrap w:val="0"/>
                  <w:vAlign w:val="center"/>
                </w:tcPr>
                <w:p w14:paraId="4AB07AE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收集效率</w:t>
                  </w:r>
                  <w:r>
                    <w:rPr>
                      <w:rFonts w:hint="eastAsia"/>
                      <w:color w:val="auto"/>
                      <w:sz w:val="21"/>
                      <w:szCs w:val="21"/>
                      <w:highlight w:val="none"/>
                      <w:lang w:val="en-US" w:eastAsia="zh-CN"/>
                    </w:rPr>
                    <w:t>(</w:t>
                  </w:r>
                  <w:r>
                    <w:rPr>
                      <w:rFonts w:hint="eastAsia" w:eastAsia="宋体"/>
                      <w:color w:val="auto"/>
                      <w:sz w:val="21"/>
                      <w:szCs w:val="21"/>
                      <w:highlight w:val="none"/>
                    </w:rPr>
                    <w:t>%</w:t>
                  </w:r>
                  <w:r>
                    <w:rPr>
                      <w:rFonts w:hint="eastAsia"/>
                      <w:color w:val="auto"/>
                      <w:sz w:val="21"/>
                      <w:szCs w:val="21"/>
                      <w:highlight w:val="none"/>
                      <w:lang w:val="en-US" w:eastAsia="zh-CN"/>
                    </w:rPr>
                    <w:t>)</w:t>
                  </w:r>
                </w:p>
              </w:tc>
              <w:tc>
                <w:tcPr>
                  <w:tcW w:w="2439" w:type="dxa"/>
                  <w:gridSpan w:val="3"/>
                  <w:noWrap w:val="0"/>
                  <w:vAlign w:val="center"/>
                </w:tcPr>
                <w:p w14:paraId="710F4EB8">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产生量</w:t>
                  </w:r>
                  <w:r>
                    <w:rPr>
                      <w:rFonts w:hint="eastAsia" w:eastAsia="宋体"/>
                      <w:color w:val="auto"/>
                      <w:sz w:val="21"/>
                      <w:szCs w:val="21"/>
                      <w:highlight w:val="none"/>
                      <w:lang w:eastAsia="zh-CN"/>
                    </w:rPr>
                    <w:t>（</w:t>
                  </w:r>
                  <w:r>
                    <w:rPr>
                      <w:rFonts w:hint="eastAsia" w:eastAsia="宋体"/>
                      <w:color w:val="auto"/>
                      <w:sz w:val="21"/>
                      <w:szCs w:val="21"/>
                      <w:highlight w:val="none"/>
                    </w:rPr>
                    <w:t>t/a</w:t>
                  </w:r>
                  <w:r>
                    <w:rPr>
                      <w:rFonts w:hint="eastAsia" w:eastAsia="宋体"/>
                      <w:color w:val="auto"/>
                      <w:sz w:val="21"/>
                      <w:szCs w:val="21"/>
                      <w:highlight w:val="none"/>
                      <w:lang w:eastAsia="zh-CN"/>
                    </w:rPr>
                    <w:t>）</w:t>
                  </w:r>
                </w:p>
              </w:tc>
              <w:tc>
                <w:tcPr>
                  <w:tcW w:w="619" w:type="dxa"/>
                  <w:noWrap w:val="0"/>
                  <w:vAlign w:val="center"/>
                </w:tcPr>
                <w:p w14:paraId="68929B4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去除效率(%)</w:t>
                  </w:r>
                </w:p>
              </w:tc>
              <w:tc>
                <w:tcPr>
                  <w:tcW w:w="762" w:type="dxa"/>
                  <w:noWrap w:val="0"/>
                  <w:vAlign w:val="center"/>
                </w:tcPr>
                <w:p w14:paraId="0C43E6A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排放量(t/a)</w:t>
                  </w:r>
                </w:p>
              </w:tc>
              <w:tc>
                <w:tcPr>
                  <w:tcW w:w="798" w:type="dxa"/>
                  <w:noWrap w:val="0"/>
                  <w:vAlign w:val="center"/>
                </w:tcPr>
                <w:p w14:paraId="360C034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最大排放速率(kg/h)</w:t>
                  </w:r>
                </w:p>
              </w:tc>
              <w:tc>
                <w:tcPr>
                  <w:tcW w:w="931" w:type="dxa"/>
                  <w:noWrap w:val="0"/>
                  <w:vAlign w:val="center"/>
                </w:tcPr>
                <w:p w14:paraId="2BB3594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最大排放浓度(</w:t>
                  </w:r>
                  <w:r>
                    <w:rPr>
                      <w:rFonts w:hint="eastAsia"/>
                      <w:color w:val="auto"/>
                      <w:sz w:val="21"/>
                      <w:szCs w:val="21"/>
                      <w:highlight w:val="none"/>
                      <w:lang w:eastAsia="zh-CN"/>
                    </w:rPr>
                    <w:t>mg/m</w:t>
                  </w:r>
                  <w:r>
                    <w:rPr>
                      <w:rFonts w:hint="eastAsia"/>
                      <w:color w:val="auto"/>
                      <w:sz w:val="21"/>
                      <w:szCs w:val="21"/>
                      <w:highlight w:val="none"/>
                      <w:vertAlign w:val="superscript"/>
                      <w:lang w:eastAsia="zh-CN"/>
                    </w:rPr>
                    <w:t>3</w:t>
                  </w:r>
                  <w:r>
                    <w:rPr>
                      <w:rFonts w:hint="eastAsia"/>
                      <w:color w:val="auto"/>
                      <w:sz w:val="21"/>
                      <w:szCs w:val="21"/>
                      <w:highlight w:val="none"/>
                      <w:lang w:val="en-US" w:eastAsia="zh-CN"/>
                    </w:rPr>
                    <w:t>)</w:t>
                  </w:r>
                </w:p>
              </w:tc>
            </w:tr>
            <w:tr w14:paraId="5CDD5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03" w:type="dxa"/>
                  <w:vMerge w:val="restart"/>
                  <w:noWrap w:val="0"/>
                  <w:vAlign w:val="center"/>
                </w:tcPr>
                <w:p w14:paraId="00A075A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rPr>
                  </w:pPr>
                  <w:r>
                    <w:rPr>
                      <w:rFonts w:hint="default" w:eastAsia="宋体"/>
                      <w:color w:val="auto"/>
                      <w:sz w:val="21"/>
                      <w:szCs w:val="21"/>
                      <w:highlight w:val="none"/>
                      <w:lang w:val="en-US" w:eastAsia="zh-CN"/>
                    </w:rPr>
                    <w:t>调漆、喷漆、烘干/晾干、刮腻子、腻子打磨、除油、漆料及危废储存过程</w:t>
                  </w:r>
                </w:p>
              </w:tc>
              <w:tc>
                <w:tcPr>
                  <w:tcW w:w="715" w:type="dxa"/>
                  <w:vMerge w:val="restart"/>
                  <w:noWrap w:val="0"/>
                  <w:vAlign w:val="center"/>
                </w:tcPr>
                <w:p w14:paraId="4F3B296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rPr>
                    <w:t>颗粒物</w:t>
                  </w:r>
                  <w:r>
                    <w:rPr>
                      <w:rFonts w:hint="eastAsia" w:eastAsia="宋体"/>
                      <w:color w:val="auto"/>
                      <w:sz w:val="21"/>
                      <w:szCs w:val="21"/>
                      <w:highlight w:val="none"/>
                      <w:lang w:eastAsia="zh-CN"/>
                    </w:rPr>
                    <w:t>（</w:t>
                  </w:r>
                  <w:r>
                    <w:rPr>
                      <w:rFonts w:hint="eastAsia" w:eastAsia="宋体"/>
                      <w:color w:val="auto"/>
                      <w:sz w:val="21"/>
                      <w:szCs w:val="21"/>
                      <w:highlight w:val="none"/>
                      <w:lang w:val="en-US" w:eastAsia="zh-CN"/>
                    </w:rPr>
                    <w:t>喷漆</w:t>
                  </w:r>
                  <w:r>
                    <w:rPr>
                      <w:rFonts w:hint="eastAsia" w:eastAsia="宋体"/>
                      <w:color w:val="auto"/>
                      <w:sz w:val="21"/>
                      <w:szCs w:val="21"/>
                      <w:highlight w:val="none"/>
                      <w:lang w:eastAsia="zh-CN"/>
                    </w:rPr>
                    <w:t>）</w:t>
                  </w:r>
                </w:p>
              </w:tc>
              <w:tc>
                <w:tcPr>
                  <w:tcW w:w="647" w:type="dxa"/>
                  <w:vMerge w:val="restart"/>
                  <w:noWrap w:val="0"/>
                  <w:vAlign w:val="center"/>
                </w:tcPr>
                <w:p w14:paraId="1DDBC5B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203</w:t>
                  </w:r>
                </w:p>
              </w:tc>
              <w:tc>
                <w:tcPr>
                  <w:tcW w:w="676" w:type="dxa"/>
                  <w:vMerge w:val="restart"/>
                  <w:noWrap w:val="0"/>
                  <w:vAlign w:val="center"/>
                </w:tcPr>
                <w:p w14:paraId="4066DC3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95</w:t>
                  </w:r>
                </w:p>
              </w:tc>
              <w:tc>
                <w:tcPr>
                  <w:tcW w:w="706" w:type="dxa"/>
                  <w:vMerge w:val="restart"/>
                  <w:noWrap w:val="0"/>
                  <w:vAlign w:val="center"/>
                </w:tcPr>
                <w:p w14:paraId="2562CF4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1.624</w:t>
                  </w:r>
                </w:p>
              </w:tc>
              <w:tc>
                <w:tcPr>
                  <w:tcW w:w="1037" w:type="dxa"/>
                  <w:noWrap w:val="0"/>
                  <w:vAlign w:val="center"/>
                </w:tcPr>
                <w:p w14:paraId="4D3D489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rPr>
                    <w:t>进入</w:t>
                  </w:r>
                  <w:r>
                    <w:rPr>
                      <w:rFonts w:hint="eastAsia" w:eastAsia="宋体"/>
                      <w:color w:val="auto"/>
                      <w:sz w:val="21"/>
                      <w:szCs w:val="21"/>
                      <w:highlight w:val="none"/>
                      <w:lang w:val="en-US" w:eastAsia="zh-CN"/>
                    </w:rPr>
                    <w:t>环保设备</w:t>
                  </w:r>
                </w:p>
              </w:tc>
              <w:tc>
                <w:tcPr>
                  <w:tcW w:w="696" w:type="dxa"/>
                  <w:noWrap w:val="0"/>
                  <w:vAlign w:val="center"/>
                </w:tcPr>
                <w:p w14:paraId="218DFBB8">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1.543</w:t>
                  </w:r>
                </w:p>
              </w:tc>
              <w:tc>
                <w:tcPr>
                  <w:tcW w:w="619" w:type="dxa"/>
                  <w:noWrap w:val="0"/>
                  <w:vAlign w:val="center"/>
                </w:tcPr>
                <w:p w14:paraId="48F9F548">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99.75</w:t>
                  </w:r>
                </w:p>
              </w:tc>
              <w:tc>
                <w:tcPr>
                  <w:tcW w:w="762" w:type="dxa"/>
                  <w:noWrap w:val="0"/>
                  <w:vAlign w:val="center"/>
                </w:tcPr>
                <w:p w14:paraId="39A96ED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0.004</w:t>
                  </w:r>
                </w:p>
              </w:tc>
              <w:tc>
                <w:tcPr>
                  <w:tcW w:w="798" w:type="dxa"/>
                  <w:noWrap w:val="0"/>
                  <w:vAlign w:val="center"/>
                </w:tcPr>
                <w:p w14:paraId="3284C79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0.020</w:t>
                  </w:r>
                </w:p>
              </w:tc>
              <w:tc>
                <w:tcPr>
                  <w:tcW w:w="931" w:type="dxa"/>
                  <w:noWrap w:val="0"/>
                  <w:vAlign w:val="center"/>
                </w:tcPr>
                <w:p w14:paraId="357B3EAB">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396C7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vMerge w:val="continue"/>
                  <w:noWrap w:val="0"/>
                  <w:vAlign w:val="center"/>
                </w:tcPr>
                <w:p w14:paraId="7242E4AF">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715" w:type="dxa"/>
                  <w:vMerge w:val="continue"/>
                  <w:noWrap w:val="0"/>
                  <w:vAlign w:val="center"/>
                </w:tcPr>
                <w:p w14:paraId="4773C22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647" w:type="dxa"/>
                  <w:vMerge w:val="continue"/>
                  <w:noWrap w:val="0"/>
                  <w:vAlign w:val="center"/>
                </w:tcPr>
                <w:p w14:paraId="5BDE51EB">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676" w:type="dxa"/>
                  <w:vMerge w:val="continue"/>
                  <w:noWrap w:val="0"/>
                  <w:vAlign w:val="center"/>
                </w:tcPr>
                <w:p w14:paraId="03A41D5C">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706" w:type="dxa"/>
                  <w:vMerge w:val="continue"/>
                  <w:noWrap w:val="0"/>
                  <w:vAlign w:val="center"/>
                </w:tcPr>
                <w:p w14:paraId="183A2658">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1037" w:type="dxa"/>
                  <w:noWrap w:val="0"/>
                  <w:vAlign w:val="center"/>
                </w:tcPr>
                <w:p w14:paraId="38C0CC6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rPr>
                    <w:t>未进入</w:t>
                  </w:r>
                  <w:r>
                    <w:rPr>
                      <w:rFonts w:hint="eastAsia" w:eastAsia="宋体"/>
                      <w:color w:val="auto"/>
                      <w:sz w:val="21"/>
                      <w:szCs w:val="21"/>
                      <w:highlight w:val="none"/>
                      <w:lang w:val="en-US" w:eastAsia="zh-CN"/>
                    </w:rPr>
                    <w:t>环保设备</w:t>
                  </w:r>
                </w:p>
              </w:tc>
              <w:tc>
                <w:tcPr>
                  <w:tcW w:w="696" w:type="dxa"/>
                  <w:noWrap w:val="0"/>
                  <w:vAlign w:val="center"/>
                </w:tcPr>
                <w:p w14:paraId="5180EED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0.081</w:t>
                  </w:r>
                </w:p>
              </w:tc>
              <w:tc>
                <w:tcPr>
                  <w:tcW w:w="619" w:type="dxa"/>
                  <w:noWrap w:val="0"/>
                  <w:vAlign w:val="center"/>
                </w:tcPr>
                <w:p w14:paraId="37B89E1C">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762" w:type="dxa"/>
                  <w:noWrap w:val="0"/>
                  <w:vAlign w:val="center"/>
                </w:tcPr>
                <w:p w14:paraId="42944DC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0.081</w:t>
                  </w:r>
                </w:p>
              </w:tc>
              <w:tc>
                <w:tcPr>
                  <w:tcW w:w="798" w:type="dxa"/>
                  <w:noWrap w:val="0"/>
                  <w:vAlign w:val="center"/>
                </w:tcPr>
                <w:p w14:paraId="29FE530F">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0.399</w:t>
                  </w:r>
                </w:p>
              </w:tc>
              <w:tc>
                <w:tcPr>
                  <w:tcW w:w="931" w:type="dxa"/>
                  <w:noWrap w:val="0"/>
                  <w:vAlign w:val="center"/>
                </w:tcPr>
                <w:p w14:paraId="12F38F9C">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46F1C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3" w:type="dxa"/>
                  <w:vMerge w:val="continue"/>
                  <w:noWrap w:val="0"/>
                  <w:vAlign w:val="center"/>
                </w:tcPr>
                <w:p w14:paraId="0FB9391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715" w:type="dxa"/>
                  <w:vMerge w:val="restart"/>
                  <w:noWrap w:val="0"/>
                  <w:vAlign w:val="center"/>
                </w:tcPr>
                <w:p w14:paraId="729FC507">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颗粒物（腻子打磨）</w:t>
                  </w:r>
                </w:p>
              </w:tc>
              <w:tc>
                <w:tcPr>
                  <w:tcW w:w="647" w:type="dxa"/>
                  <w:vMerge w:val="restart"/>
                  <w:noWrap w:val="0"/>
                  <w:vAlign w:val="center"/>
                </w:tcPr>
                <w:p w14:paraId="715D7F1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400</w:t>
                  </w:r>
                </w:p>
              </w:tc>
              <w:tc>
                <w:tcPr>
                  <w:tcW w:w="676" w:type="dxa"/>
                  <w:vMerge w:val="continue"/>
                  <w:noWrap w:val="0"/>
                  <w:vAlign w:val="center"/>
                </w:tcPr>
                <w:p w14:paraId="111AA06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706" w:type="dxa"/>
                  <w:vMerge w:val="restart"/>
                  <w:noWrap w:val="0"/>
                  <w:vAlign w:val="center"/>
                </w:tcPr>
                <w:p w14:paraId="0841905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w:t>
                  </w:r>
                  <w:r>
                    <w:rPr>
                      <w:rFonts w:hint="eastAsia"/>
                      <w:color w:val="auto"/>
                      <w:sz w:val="21"/>
                      <w:szCs w:val="21"/>
                      <w:highlight w:val="none"/>
                      <w:lang w:val="en-US" w:eastAsia="zh-CN"/>
                    </w:rPr>
                    <w:t>108</w:t>
                  </w:r>
                </w:p>
              </w:tc>
              <w:tc>
                <w:tcPr>
                  <w:tcW w:w="1037" w:type="dxa"/>
                  <w:noWrap w:val="0"/>
                  <w:vAlign w:val="center"/>
                </w:tcPr>
                <w:p w14:paraId="0C4F0B0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进入</w:t>
                  </w:r>
                  <w:r>
                    <w:rPr>
                      <w:rFonts w:hint="eastAsia" w:eastAsia="宋体"/>
                      <w:color w:val="auto"/>
                      <w:sz w:val="21"/>
                      <w:szCs w:val="21"/>
                      <w:highlight w:val="none"/>
                      <w:lang w:val="en-US" w:eastAsia="zh-CN"/>
                    </w:rPr>
                    <w:t>环保设备</w:t>
                  </w:r>
                </w:p>
              </w:tc>
              <w:tc>
                <w:tcPr>
                  <w:tcW w:w="696" w:type="dxa"/>
                  <w:noWrap w:val="0"/>
                  <w:vAlign w:val="center"/>
                </w:tcPr>
                <w:p w14:paraId="70ECD498">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0.103</w:t>
                  </w:r>
                </w:p>
              </w:tc>
              <w:tc>
                <w:tcPr>
                  <w:tcW w:w="619" w:type="dxa"/>
                  <w:noWrap w:val="0"/>
                  <w:vAlign w:val="center"/>
                </w:tcPr>
                <w:p w14:paraId="0A68FFD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宋体" w:hAnsi="宋体" w:eastAsia="宋体" w:cs="宋体"/>
                      <w:color w:val="auto"/>
                      <w:sz w:val="21"/>
                      <w:szCs w:val="21"/>
                      <w:highlight w:val="none"/>
                      <w:lang w:val="en-US" w:eastAsia="zh-CN"/>
                    </w:rPr>
                  </w:pPr>
                  <w:r>
                    <w:rPr>
                      <w:rFonts w:hint="eastAsia"/>
                      <w:color w:val="auto"/>
                      <w:sz w:val="21"/>
                      <w:szCs w:val="21"/>
                      <w:highlight w:val="none"/>
                      <w:lang w:val="en-US" w:eastAsia="zh-CN"/>
                    </w:rPr>
                    <w:t>99.75</w:t>
                  </w:r>
                </w:p>
              </w:tc>
              <w:tc>
                <w:tcPr>
                  <w:tcW w:w="762" w:type="dxa"/>
                  <w:noWrap w:val="0"/>
                  <w:vAlign w:val="center"/>
                </w:tcPr>
                <w:p w14:paraId="6C373C7A">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0.0003</w:t>
                  </w:r>
                </w:p>
              </w:tc>
              <w:tc>
                <w:tcPr>
                  <w:tcW w:w="798" w:type="dxa"/>
                  <w:noWrap w:val="0"/>
                  <w:vAlign w:val="center"/>
                </w:tcPr>
                <w:p w14:paraId="75C92E5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0.0008</w:t>
                  </w:r>
                </w:p>
              </w:tc>
              <w:tc>
                <w:tcPr>
                  <w:tcW w:w="931" w:type="dxa"/>
                  <w:noWrap w:val="0"/>
                  <w:vAlign w:val="center"/>
                </w:tcPr>
                <w:p w14:paraId="3AB6368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77E5C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03" w:type="dxa"/>
                  <w:vMerge w:val="continue"/>
                  <w:noWrap w:val="0"/>
                  <w:vAlign w:val="center"/>
                </w:tcPr>
                <w:p w14:paraId="70DDF39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715" w:type="dxa"/>
                  <w:vMerge w:val="continue"/>
                  <w:noWrap w:val="0"/>
                  <w:vAlign w:val="center"/>
                </w:tcPr>
                <w:p w14:paraId="0F7B610C">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647" w:type="dxa"/>
                  <w:vMerge w:val="continue"/>
                  <w:noWrap w:val="0"/>
                  <w:vAlign w:val="center"/>
                </w:tcPr>
                <w:p w14:paraId="17045F8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676" w:type="dxa"/>
                  <w:vMerge w:val="continue"/>
                  <w:noWrap w:val="0"/>
                  <w:vAlign w:val="center"/>
                </w:tcPr>
                <w:p w14:paraId="0AB4EB2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706" w:type="dxa"/>
                  <w:vMerge w:val="continue"/>
                  <w:noWrap w:val="0"/>
                  <w:vAlign w:val="center"/>
                </w:tcPr>
                <w:p w14:paraId="3E396F2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1037" w:type="dxa"/>
                  <w:noWrap w:val="0"/>
                  <w:vAlign w:val="center"/>
                </w:tcPr>
                <w:p w14:paraId="7944D36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未进入</w:t>
                  </w:r>
                  <w:r>
                    <w:rPr>
                      <w:rFonts w:hint="eastAsia" w:eastAsia="宋体"/>
                      <w:color w:val="auto"/>
                      <w:sz w:val="21"/>
                      <w:szCs w:val="21"/>
                      <w:highlight w:val="none"/>
                      <w:lang w:val="en-US" w:eastAsia="zh-CN"/>
                    </w:rPr>
                    <w:t>环保设备</w:t>
                  </w:r>
                </w:p>
              </w:tc>
              <w:tc>
                <w:tcPr>
                  <w:tcW w:w="696" w:type="dxa"/>
                  <w:noWrap w:val="0"/>
                  <w:vAlign w:val="center"/>
                </w:tcPr>
                <w:p w14:paraId="77E3B2AD">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0.00</w:t>
                  </w:r>
                  <w:r>
                    <w:rPr>
                      <w:rFonts w:hint="eastAsia"/>
                      <w:color w:val="auto"/>
                      <w:sz w:val="21"/>
                      <w:szCs w:val="21"/>
                      <w:highlight w:val="none"/>
                      <w:lang w:val="en-US" w:eastAsia="zh-CN"/>
                    </w:rPr>
                    <w:t>5</w:t>
                  </w:r>
                </w:p>
              </w:tc>
              <w:tc>
                <w:tcPr>
                  <w:tcW w:w="619" w:type="dxa"/>
                  <w:noWrap w:val="0"/>
                  <w:vAlign w:val="center"/>
                </w:tcPr>
                <w:p w14:paraId="243D76C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ascii="宋体" w:hAnsi="宋体" w:eastAsia="宋体" w:cs="宋体"/>
                      <w:color w:val="auto"/>
                      <w:sz w:val="21"/>
                      <w:szCs w:val="21"/>
                      <w:highlight w:val="none"/>
                      <w:lang w:val="en-US" w:eastAsia="zh-CN"/>
                    </w:rPr>
                    <w:t>－</w:t>
                  </w:r>
                </w:p>
              </w:tc>
              <w:tc>
                <w:tcPr>
                  <w:tcW w:w="762" w:type="dxa"/>
                  <w:noWrap w:val="0"/>
                  <w:vAlign w:val="center"/>
                </w:tcPr>
                <w:p w14:paraId="56B466AF">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0.00</w:t>
                  </w:r>
                  <w:r>
                    <w:rPr>
                      <w:rFonts w:hint="eastAsia"/>
                      <w:color w:val="auto"/>
                      <w:sz w:val="21"/>
                      <w:szCs w:val="21"/>
                      <w:highlight w:val="none"/>
                      <w:lang w:val="en-US" w:eastAsia="zh-CN"/>
                    </w:rPr>
                    <w:t>5</w:t>
                  </w:r>
                </w:p>
              </w:tc>
              <w:tc>
                <w:tcPr>
                  <w:tcW w:w="798" w:type="dxa"/>
                  <w:noWrap w:val="0"/>
                  <w:vAlign w:val="center"/>
                </w:tcPr>
                <w:p w14:paraId="2CED5F62">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rPr>
                  </w:pPr>
                  <w:r>
                    <w:rPr>
                      <w:rFonts w:hint="eastAsia" w:eastAsia="宋体"/>
                      <w:color w:val="auto"/>
                      <w:sz w:val="21"/>
                      <w:szCs w:val="21"/>
                      <w:highlight w:val="none"/>
                      <w:lang w:val="en-US" w:eastAsia="zh-CN"/>
                    </w:rPr>
                    <w:t>0.0</w:t>
                  </w:r>
                  <w:r>
                    <w:rPr>
                      <w:rFonts w:hint="eastAsia"/>
                      <w:color w:val="auto"/>
                      <w:sz w:val="21"/>
                      <w:szCs w:val="21"/>
                      <w:highlight w:val="none"/>
                      <w:lang w:val="en-US" w:eastAsia="zh-CN"/>
                    </w:rPr>
                    <w:t>13</w:t>
                  </w:r>
                </w:p>
              </w:tc>
              <w:tc>
                <w:tcPr>
                  <w:tcW w:w="931" w:type="dxa"/>
                  <w:noWrap w:val="0"/>
                  <w:vAlign w:val="center"/>
                </w:tcPr>
                <w:p w14:paraId="7CF5570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ascii="宋体" w:hAnsi="宋体" w:eastAsia="宋体" w:cs="宋体"/>
                      <w:color w:val="auto"/>
                      <w:sz w:val="21"/>
                      <w:szCs w:val="21"/>
                      <w:highlight w:val="none"/>
                      <w:lang w:val="en-US" w:eastAsia="zh-CN"/>
                    </w:rPr>
                    <w:t>－</w:t>
                  </w:r>
                </w:p>
              </w:tc>
            </w:tr>
            <w:tr w14:paraId="66CE9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03" w:type="dxa"/>
                  <w:vMerge w:val="continue"/>
                  <w:noWrap w:val="0"/>
                  <w:vAlign w:val="center"/>
                </w:tcPr>
                <w:p w14:paraId="2AF158BA">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715" w:type="dxa"/>
                  <w:vMerge w:val="restart"/>
                  <w:noWrap w:val="0"/>
                  <w:vAlign w:val="center"/>
                </w:tcPr>
                <w:p w14:paraId="211BC9AB">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颗粒物（合计）</w:t>
                  </w:r>
                </w:p>
              </w:tc>
              <w:tc>
                <w:tcPr>
                  <w:tcW w:w="647" w:type="dxa"/>
                  <w:vMerge w:val="restart"/>
                  <w:noWrap w:val="0"/>
                  <w:vAlign w:val="center"/>
                </w:tcPr>
                <w:p w14:paraId="1DDD02BA">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b/>
                      <w:bCs/>
                      <w:color w:val="auto"/>
                      <w:sz w:val="21"/>
                      <w:szCs w:val="21"/>
                    </w:rPr>
                  </w:pPr>
                  <w:r>
                    <w:rPr>
                      <w:rFonts w:hint="eastAsia" w:ascii="宋体" w:hAnsi="宋体" w:eastAsia="宋体" w:cs="宋体"/>
                      <w:b/>
                      <w:bCs/>
                      <w:color w:val="auto"/>
                      <w:sz w:val="21"/>
                      <w:szCs w:val="21"/>
                    </w:rPr>
                    <w:t>－</w:t>
                  </w:r>
                </w:p>
              </w:tc>
              <w:tc>
                <w:tcPr>
                  <w:tcW w:w="676" w:type="dxa"/>
                  <w:vMerge w:val="continue"/>
                  <w:noWrap w:val="0"/>
                  <w:vAlign w:val="center"/>
                </w:tcPr>
                <w:p w14:paraId="26097C8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b/>
                      <w:bCs/>
                      <w:color w:val="auto"/>
                      <w:sz w:val="21"/>
                      <w:szCs w:val="21"/>
                    </w:rPr>
                  </w:pPr>
                </w:p>
              </w:tc>
              <w:tc>
                <w:tcPr>
                  <w:tcW w:w="706" w:type="dxa"/>
                  <w:vMerge w:val="restart"/>
                  <w:noWrap w:val="0"/>
                  <w:vAlign w:val="center"/>
                </w:tcPr>
                <w:p w14:paraId="71B6E2E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1.732</w:t>
                  </w:r>
                </w:p>
              </w:tc>
              <w:tc>
                <w:tcPr>
                  <w:tcW w:w="1037" w:type="dxa"/>
                  <w:noWrap w:val="0"/>
                  <w:vAlign w:val="center"/>
                </w:tcPr>
                <w:p w14:paraId="1CC8A4C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b/>
                      <w:bCs/>
                      <w:color w:val="auto"/>
                      <w:sz w:val="21"/>
                      <w:szCs w:val="21"/>
                      <w:highlight w:val="none"/>
                    </w:rPr>
                  </w:pPr>
                  <w:r>
                    <w:rPr>
                      <w:rFonts w:hint="eastAsia" w:eastAsia="宋体"/>
                      <w:b/>
                      <w:bCs/>
                      <w:color w:val="auto"/>
                      <w:sz w:val="21"/>
                      <w:szCs w:val="21"/>
                      <w:highlight w:val="none"/>
                    </w:rPr>
                    <w:t>进入</w:t>
                  </w:r>
                  <w:r>
                    <w:rPr>
                      <w:rFonts w:hint="eastAsia" w:eastAsia="宋体"/>
                      <w:b/>
                      <w:bCs/>
                      <w:color w:val="auto"/>
                      <w:sz w:val="21"/>
                      <w:szCs w:val="21"/>
                      <w:highlight w:val="none"/>
                      <w:lang w:val="en-US" w:eastAsia="zh-CN"/>
                    </w:rPr>
                    <w:t>环保设备</w:t>
                  </w:r>
                </w:p>
              </w:tc>
              <w:tc>
                <w:tcPr>
                  <w:tcW w:w="696" w:type="dxa"/>
                  <w:noWrap w:val="0"/>
                  <w:vAlign w:val="center"/>
                </w:tcPr>
                <w:p w14:paraId="226DC34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1.6</w:t>
                  </w:r>
                  <w:r>
                    <w:rPr>
                      <w:rFonts w:hint="eastAsia"/>
                      <w:b/>
                      <w:bCs/>
                      <w:color w:val="auto"/>
                      <w:sz w:val="21"/>
                      <w:szCs w:val="21"/>
                      <w:highlight w:val="none"/>
                      <w:lang w:val="en-US" w:eastAsia="zh-CN"/>
                    </w:rPr>
                    <w:t>46</w:t>
                  </w:r>
                </w:p>
              </w:tc>
              <w:tc>
                <w:tcPr>
                  <w:tcW w:w="619" w:type="dxa"/>
                  <w:noWrap w:val="0"/>
                  <w:vAlign w:val="center"/>
                </w:tcPr>
                <w:p w14:paraId="227CD33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b/>
                      <w:bCs/>
                      <w:color w:val="auto"/>
                      <w:sz w:val="21"/>
                      <w:szCs w:val="21"/>
                      <w:highlight w:val="none"/>
                    </w:rPr>
                  </w:pPr>
                  <w:r>
                    <w:rPr>
                      <w:rFonts w:hint="eastAsia"/>
                      <w:b/>
                      <w:bCs/>
                      <w:color w:val="auto"/>
                      <w:sz w:val="21"/>
                      <w:szCs w:val="21"/>
                      <w:highlight w:val="none"/>
                      <w:lang w:val="en-US" w:eastAsia="zh-CN"/>
                    </w:rPr>
                    <w:t>99.75</w:t>
                  </w:r>
                </w:p>
              </w:tc>
              <w:tc>
                <w:tcPr>
                  <w:tcW w:w="762" w:type="dxa"/>
                  <w:noWrap w:val="0"/>
                  <w:vAlign w:val="center"/>
                </w:tcPr>
                <w:p w14:paraId="436A8D9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0.00</w:t>
                  </w:r>
                  <w:r>
                    <w:rPr>
                      <w:rFonts w:hint="eastAsia"/>
                      <w:b/>
                      <w:bCs/>
                      <w:color w:val="auto"/>
                      <w:sz w:val="21"/>
                      <w:szCs w:val="21"/>
                      <w:highlight w:val="none"/>
                      <w:lang w:val="en-US" w:eastAsia="zh-CN"/>
                    </w:rPr>
                    <w:t>4</w:t>
                  </w:r>
                </w:p>
              </w:tc>
              <w:tc>
                <w:tcPr>
                  <w:tcW w:w="798" w:type="dxa"/>
                  <w:noWrap w:val="0"/>
                  <w:vAlign w:val="center"/>
                </w:tcPr>
                <w:p w14:paraId="794336B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0.021</w:t>
                  </w:r>
                </w:p>
              </w:tc>
              <w:tc>
                <w:tcPr>
                  <w:tcW w:w="931" w:type="dxa"/>
                  <w:noWrap w:val="0"/>
                  <w:vAlign w:val="center"/>
                </w:tcPr>
                <w:p w14:paraId="1736E28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0.7</w:t>
                  </w:r>
                </w:p>
              </w:tc>
            </w:tr>
            <w:tr w14:paraId="3813C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03" w:type="dxa"/>
                  <w:vMerge w:val="continue"/>
                  <w:noWrap w:val="0"/>
                  <w:vAlign w:val="center"/>
                </w:tcPr>
                <w:p w14:paraId="3BFE3AC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715" w:type="dxa"/>
                  <w:vMerge w:val="continue"/>
                  <w:noWrap w:val="0"/>
                  <w:vAlign w:val="center"/>
                </w:tcPr>
                <w:p w14:paraId="5917210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b/>
                      <w:bCs/>
                      <w:color w:val="auto"/>
                      <w:sz w:val="21"/>
                      <w:szCs w:val="21"/>
                    </w:rPr>
                  </w:pPr>
                </w:p>
              </w:tc>
              <w:tc>
                <w:tcPr>
                  <w:tcW w:w="647" w:type="dxa"/>
                  <w:vMerge w:val="continue"/>
                  <w:noWrap w:val="0"/>
                  <w:vAlign w:val="center"/>
                </w:tcPr>
                <w:p w14:paraId="139F42AB">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b/>
                      <w:bCs/>
                      <w:color w:val="auto"/>
                      <w:sz w:val="21"/>
                      <w:szCs w:val="21"/>
                    </w:rPr>
                  </w:pPr>
                </w:p>
              </w:tc>
              <w:tc>
                <w:tcPr>
                  <w:tcW w:w="676" w:type="dxa"/>
                  <w:vMerge w:val="continue"/>
                  <w:noWrap w:val="0"/>
                  <w:vAlign w:val="center"/>
                </w:tcPr>
                <w:p w14:paraId="6B675EC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b/>
                      <w:bCs/>
                      <w:color w:val="auto"/>
                      <w:sz w:val="21"/>
                      <w:szCs w:val="21"/>
                    </w:rPr>
                  </w:pPr>
                </w:p>
              </w:tc>
              <w:tc>
                <w:tcPr>
                  <w:tcW w:w="706" w:type="dxa"/>
                  <w:vMerge w:val="continue"/>
                  <w:noWrap w:val="0"/>
                  <w:vAlign w:val="center"/>
                </w:tcPr>
                <w:p w14:paraId="2BDD8327">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b/>
                      <w:bCs/>
                      <w:color w:val="auto"/>
                      <w:sz w:val="21"/>
                      <w:szCs w:val="21"/>
                    </w:rPr>
                  </w:pPr>
                </w:p>
              </w:tc>
              <w:tc>
                <w:tcPr>
                  <w:tcW w:w="1037" w:type="dxa"/>
                  <w:noWrap w:val="0"/>
                  <w:vAlign w:val="center"/>
                </w:tcPr>
                <w:p w14:paraId="7D31141A">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b/>
                      <w:bCs/>
                      <w:color w:val="auto"/>
                      <w:sz w:val="21"/>
                      <w:szCs w:val="21"/>
                      <w:highlight w:val="none"/>
                    </w:rPr>
                  </w:pPr>
                  <w:r>
                    <w:rPr>
                      <w:rFonts w:hint="eastAsia" w:eastAsia="宋体"/>
                      <w:b/>
                      <w:bCs/>
                      <w:color w:val="auto"/>
                      <w:sz w:val="21"/>
                      <w:szCs w:val="21"/>
                      <w:highlight w:val="none"/>
                    </w:rPr>
                    <w:t>未进入</w:t>
                  </w:r>
                  <w:r>
                    <w:rPr>
                      <w:rFonts w:hint="eastAsia" w:eastAsia="宋体"/>
                      <w:b/>
                      <w:bCs/>
                      <w:color w:val="auto"/>
                      <w:sz w:val="21"/>
                      <w:szCs w:val="21"/>
                      <w:highlight w:val="none"/>
                      <w:lang w:val="en-US" w:eastAsia="zh-CN"/>
                    </w:rPr>
                    <w:t>环保设备</w:t>
                  </w:r>
                </w:p>
              </w:tc>
              <w:tc>
                <w:tcPr>
                  <w:tcW w:w="696" w:type="dxa"/>
                  <w:noWrap w:val="0"/>
                  <w:vAlign w:val="center"/>
                </w:tcPr>
                <w:p w14:paraId="6FEDA73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0.08</w:t>
                  </w:r>
                  <w:r>
                    <w:rPr>
                      <w:rFonts w:hint="eastAsia"/>
                      <w:b/>
                      <w:bCs/>
                      <w:color w:val="auto"/>
                      <w:sz w:val="21"/>
                      <w:szCs w:val="21"/>
                      <w:highlight w:val="none"/>
                      <w:lang w:val="en-US" w:eastAsia="zh-CN"/>
                    </w:rPr>
                    <w:t>6</w:t>
                  </w:r>
                </w:p>
              </w:tc>
              <w:tc>
                <w:tcPr>
                  <w:tcW w:w="619" w:type="dxa"/>
                  <w:noWrap w:val="0"/>
                  <w:vAlign w:val="center"/>
                </w:tcPr>
                <w:p w14:paraId="2F8629D8">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b/>
                      <w:bCs/>
                      <w:color w:val="auto"/>
                      <w:sz w:val="21"/>
                      <w:szCs w:val="21"/>
                      <w:highlight w:val="none"/>
                    </w:rPr>
                  </w:pPr>
                  <w:r>
                    <w:rPr>
                      <w:rFonts w:hint="eastAsia" w:ascii="宋体" w:hAnsi="宋体" w:eastAsia="宋体" w:cs="宋体"/>
                      <w:b/>
                      <w:bCs/>
                      <w:color w:val="auto"/>
                      <w:sz w:val="21"/>
                      <w:szCs w:val="21"/>
                      <w:highlight w:val="none"/>
                      <w:lang w:val="en-US" w:eastAsia="zh-CN"/>
                    </w:rPr>
                    <w:t>－</w:t>
                  </w:r>
                </w:p>
              </w:tc>
              <w:tc>
                <w:tcPr>
                  <w:tcW w:w="762" w:type="dxa"/>
                  <w:noWrap w:val="0"/>
                  <w:vAlign w:val="center"/>
                </w:tcPr>
                <w:p w14:paraId="5454795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0.08</w:t>
                  </w:r>
                  <w:r>
                    <w:rPr>
                      <w:rFonts w:hint="eastAsia"/>
                      <w:b/>
                      <w:bCs/>
                      <w:color w:val="auto"/>
                      <w:sz w:val="21"/>
                      <w:szCs w:val="21"/>
                      <w:highlight w:val="none"/>
                      <w:lang w:val="en-US" w:eastAsia="zh-CN"/>
                    </w:rPr>
                    <w:t>6</w:t>
                  </w:r>
                </w:p>
              </w:tc>
              <w:tc>
                <w:tcPr>
                  <w:tcW w:w="798" w:type="dxa"/>
                  <w:noWrap w:val="0"/>
                  <w:vAlign w:val="center"/>
                </w:tcPr>
                <w:p w14:paraId="6C0CCF4F">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0.</w:t>
                  </w:r>
                  <w:r>
                    <w:rPr>
                      <w:rFonts w:hint="eastAsia"/>
                      <w:b/>
                      <w:bCs/>
                      <w:color w:val="auto"/>
                      <w:sz w:val="21"/>
                      <w:szCs w:val="21"/>
                      <w:highlight w:val="none"/>
                      <w:lang w:val="en-US" w:eastAsia="zh-CN"/>
                    </w:rPr>
                    <w:t>412</w:t>
                  </w:r>
                </w:p>
              </w:tc>
              <w:tc>
                <w:tcPr>
                  <w:tcW w:w="931" w:type="dxa"/>
                  <w:noWrap w:val="0"/>
                  <w:vAlign w:val="center"/>
                </w:tcPr>
                <w:p w14:paraId="70C91E08">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b/>
                      <w:bCs/>
                      <w:color w:val="auto"/>
                      <w:sz w:val="21"/>
                      <w:szCs w:val="21"/>
                      <w:highlight w:val="none"/>
                    </w:rPr>
                  </w:pPr>
                  <w:r>
                    <w:rPr>
                      <w:rFonts w:hint="eastAsia" w:ascii="宋体" w:hAnsi="宋体" w:eastAsia="宋体" w:cs="宋体"/>
                      <w:color w:val="auto"/>
                      <w:sz w:val="21"/>
                      <w:szCs w:val="21"/>
                      <w:highlight w:val="none"/>
                      <w:lang w:val="en-US" w:eastAsia="zh-CN"/>
                    </w:rPr>
                    <w:t>－</w:t>
                  </w:r>
                </w:p>
              </w:tc>
            </w:tr>
            <w:tr w14:paraId="06A40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03" w:type="dxa"/>
                  <w:vMerge w:val="continue"/>
                  <w:noWrap w:val="0"/>
                  <w:vAlign w:val="center"/>
                </w:tcPr>
                <w:p w14:paraId="6C9CF75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715" w:type="dxa"/>
                  <w:vMerge w:val="restart"/>
                  <w:noWrap w:val="0"/>
                  <w:vAlign w:val="center"/>
                </w:tcPr>
                <w:p w14:paraId="2074D54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r>
                    <w:rPr>
                      <w:rFonts w:hint="eastAsia" w:eastAsia="宋体"/>
                      <w:color w:val="auto"/>
                      <w:sz w:val="21"/>
                      <w:szCs w:val="21"/>
                      <w:highlight w:val="none"/>
                      <w:lang w:val="en-US" w:eastAsia="zh-CN"/>
                    </w:rPr>
                    <w:t>非甲烷总烃</w:t>
                  </w:r>
                </w:p>
              </w:tc>
              <w:tc>
                <w:tcPr>
                  <w:tcW w:w="647" w:type="dxa"/>
                  <w:vMerge w:val="restart"/>
                  <w:noWrap w:val="0"/>
                  <w:vAlign w:val="center"/>
                </w:tcPr>
                <w:p w14:paraId="20D1AD4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2000</w:t>
                  </w:r>
                </w:p>
              </w:tc>
              <w:tc>
                <w:tcPr>
                  <w:tcW w:w="676" w:type="dxa"/>
                  <w:vMerge w:val="continue"/>
                  <w:noWrap w:val="0"/>
                  <w:vAlign w:val="center"/>
                </w:tcPr>
                <w:p w14:paraId="73AA5EFB">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706" w:type="dxa"/>
                  <w:vMerge w:val="restart"/>
                  <w:noWrap w:val="0"/>
                  <w:vAlign w:val="center"/>
                </w:tcPr>
                <w:p w14:paraId="012F99CF">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1.824</w:t>
                  </w:r>
                </w:p>
              </w:tc>
              <w:tc>
                <w:tcPr>
                  <w:tcW w:w="1037" w:type="dxa"/>
                  <w:noWrap w:val="0"/>
                  <w:vAlign w:val="center"/>
                </w:tcPr>
                <w:p w14:paraId="04D1EC32">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进入</w:t>
                  </w:r>
                  <w:r>
                    <w:rPr>
                      <w:rFonts w:hint="eastAsia" w:eastAsia="宋体"/>
                      <w:color w:val="auto"/>
                      <w:sz w:val="21"/>
                      <w:szCs w:val="21"/>
                      <w:highlight w:val="none"/>
                      <w:lang w:val="en-US" w:eastAsia="zh-CN"/>
                    </w:rPr>
                    <w:t>环保设备</w:t>
                  </w:r>
                </w:p>
              </w:tc>
              <w:tc>
                <w:tcPr>
                  <w:tcW w:w="696" w:type="dxa"/>
                  <w:noWrap w:val="0"/>
                  <w:vAlign w:val="center"/>
                </w:tcPr>
                <w:p w14:paraId="5E8D0CD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r>
                    <w:rPr>
                      <w:rFonts w:hint="eastAsia"/>
                      <w:color w:val="auto"/>
                      <w:sz w:val="21"/>
                      <w:szCs w:val="21"/>
                      <w:highlight w:val="none"/>
                      <w:lang w:val="en-US" w:eastAsia="zh-CN"/>
                    </w:rPr>
                    <w:t>733</w:t>
                  </w:r>
                </w:p>
              </w:tc>
              <w:tc>
                <w:tcPr>
                  <w:tcW w:w="619" w:type="dxa"/>
                  <w:noWrap w:val="0"/>
                  <w:vAlign w:val="center"/>
                </w:tcPr>
                <w:p w14:paraId="0DEC50A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color w:val="auto"/>
                      <w:sz w:val="21"/>
                      <w:szCs w:val="21"/>
                      <w:highlight w:val="none"/>
                      <w:lang w:val="en-US" w:eastAsia="zh-CN"/>
                    </w:rPr>
                    <w:t>90</w:t>
                  </w:r>
                </w:p>
              </w:tc>
              <w:tc>
                <w:tcPr>
                  <w:tcW w:w="762" w:type="dxa"/>
                  <w:noWrap w:val="0"/>
                  <w:vAlign w:val="center"/>
                </w:tcPr>
                <w:p w14:paraId="79857ACD">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0.17</w:t>
                  </w:r>
                  <w:r>
                    <w:rPr>
                      <w:rFonts w:hint="eastAsia"/>
                      <w:color w:val="auto"/>
                      <w:sz w:val="21"/>
                      <w:szCs w:val="21"/>
                      <w:highlight w:val="none"/>
                      <w:lang w:val="en-US" w:eastAsia="zh-CN"/>
                    </w:rPr>
                    <w:t>3</w:t>
                  </w:r>
                </w:p>
              </w:tc>
              <w:tc>
                <w:tcPr>
                  <w:tcW w:w="798" w:type="dxa"/>
                  <w:noWrap w:val="0"/>
                  <w:vAlign w:val="center"/>
                </w:tcPr>
                <w:p w14:paraId="05ADCFAB">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0.08</w:t>
                  </w:r>
                  <w:r>
                    <w:rPr>
                      <w:rFonts w:hint="eastAsia"/>
                      <w:color w:val="auto"/>
                      <w:sz w:val="21"/>
                      <w:szCs w:val="21"/>
                      <w:highlight w:val="none"/>
                      <w:lang w:val="en-US" w:eastAsia="zh-CN"/>
                    </w:rPr>
                    <w:t>7</w:t>
                  </w:r>
                </w:p>
              </w:tc>
              <w:tc>
                <w:tcPr>
                  <w:tcW w:w="931" w:type="dxa"/>
                  <w:noWrap w:val="0"/>
                  <w:vAlign w:val="center"/>
                </w:tcPr>
                <w:p w14:paraId="6428C11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w:t>
                  </w:r>
                  <w:r>
                    <w:rPr>
                      <w:rFonts w:hint="eastAsia"/>
                      <w:color w:val="auto"/>
                      <w:sz w:val="21"/>
                      <w:szCs w:val="21"/>
                      <w:highlight w:val="none"/>
                      <w:lang w:val="en-US" w:eastAsia="zh-CN"/>
                    </w:rPr>
                    <w:t>9</w:t>
                  </w:r>
                </w:p>
              </w:tc>
            </w:tr>
            <w:tr w14:paraId="6FF87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03" w:type="dxa"/>
                  <w:vMerge w:val="continue"/>
                  <w:noWrap w:val="0"/>
                  <w:vAlign w:val="center"/>
                </w:tcPr>
                <w:p w14:paraId="14433357">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715" w:type="dxa"/>
                  <w:vMerge w:val="continue"/>
                  <w:noWrap w:val="0"/>
                  <w:vAlign w:val="center"/>
                </w:tcPr>
                <w:p w14:paraId="099B02A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647" w:type="dxa"/>
                  <w:vMerge w:val="continue"/>
                  <w:noWrap w:val="0"/>
                  <w:vAlign w:val="center"/>
                </w:tcPr>
                <w:p w14:paraId="21BA7D0C">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676" w:type="dxa"/>
                  <w:vMerge w:val="continue"/>
                  <w:noWrap w:val="0"/>
                  <w:vAlign w:val="center"/>
                </w:tcPr>
                <w:p w14:paraId="2A1525B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706" w:type="dxa"/>
                  <w:vMerge w:val="continue"/>
                  <w:noWrap w:val="0"/>
                  <w:vAlign w:val="center"/>
                </w:tcPr>
                <w:p w14:paraId="0162DA7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color w:val="auto"/>
                      <w:sz w:val="21"/>
                      <w:szCs w:val="21"/>
                    </w:rPr>
                  </w:pPr>
                </w:p>
              </w:tc>
              <w:tc>
                <w:tcPr>
                  <w:tcW w:w="1037" w:type="dxa"/>
                  <w:noWrap w:val="0"/>
                  <w:vAlign w:val="center"/>
                </w:tcPr>
                <w:p w14:paraId="6F53C7F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eastAsia="宋体"/>
                      <w:color w:val="auto"/>
                      <w:sz w:val="21"/>
                      <w:szCs w:val="21"/>
                      <w:highlight w:val="none"/>
                    </w:rPr>
                    <w:t>未进入</w:t>
                  </w:r>
                  <w:r>
                    <w:rPr>
                      <w:rFonts w:hint="eastAsia" w:eastAsia="宋体"/>
                      <w:color w:val="auto"/>
                      <w:sz w:val="21"/>
                      <w:szCs w:val="21"/>
                      <w:highlight w:val="none"/>
                      <w:lang w:val="en-US" w:eastAsia="zh-CN"/>
                    </w:rPr>
                    <w:t>环保设备</w:t>
                  </w:r>
                </w:p>
              </w:tc>
              <w:tc>
                <w:tcPr>
                  <w:tcW w:w="696" w:type="dxa"/>
                  <w:noWrap w:val="0"/>
                  <w:vAlign w:val="center"/>
                </w:tcPr>
                <w:p w14:paraId="6EDE4AF8">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w:t>
                  </w:r>
                  <w:r>
                    <w:rPr>
                      <w:rFonts w:hint="eastAsia"/>
                      <w:color w:val="auto"/>
                      <w:sz w:val="21"/>
                      <w:szCs w:val="21"/>
                      <w:highlight w:val="none"/>
                      <w:lang w:val="en-US" w:eastAsia="zh-CN"/>
                    </w:rPr>
                    <w:t>91</w:t>
                  </w:r>
                </w:p>
              </w:tc>
              <w:tc>
                <w:tcPr>
                  <w:tcW w:w="619" w:type="dxa"/>
                  <w:noWrap w:val="0"/>
                  <w:vAlign w:val="center"/>
                </w:tcPr>
                <w:p w14:paraId="4471CDF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ascii="宋体" w:hAnsi="宋体" w:eastAsia="宋体" w:cs="宋体"/>
                      <w:color w:val="auto"/>
                      <w:sz w:val="21"/>
                      <w:szCs w:val="21"/>
                      <w:highlight w:val="none"/>
                      <w:lang w:val="en-US" w:eastAsia="zh-CN"/>
                    </w:rPr>
                    <w:t>－</w:t>
                  </w:r>
                </w:p>
              </w:tc>
              <w:tc>
                <w:tcPr>
                  <w:tcW w:w="762" w:type="dxa"/>
                  <w:noWrap w:val="0"/>
                  <w:vAlign w:val="center"/>
                </w:tcPr>
                <w:p w14:paraId="162C448C">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w:t>
                  </w:r>
                  <w:r>
                    <w:rPr>
                      <w:rFonts w:hint="eastAsia"/>
                      <w:color w:val="auto"/>
                      <w:sz w:val="21"/>
                      <w:szCs w:val="21"/>
                      <w:highlight w:val="none"/>
                      <w:lang w:val="en-US" w:eastAsia="zh-CN"/>
                    </w:rPr>
                    <w:t>91</w:t>
                  </w:r>
                </w:p>
              </w:tc>
              <w:tc>
                <w:tcPr>
                  <w:tcW w:w="798" w:type="dxa"/>
                  <w:noWrap w:val="0"/>
                  <w:vAlign w:val="center"/>
                </w:tcPr>
                <w:p w14:paraId="1E46486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0.04</w:t>
                  </w:r>
                  <w:r>
                    <w:rPr>
                      <w:rFonts w:hint="eastAsia"/>
                      <w:color w:val="auto"/>
                      <w:sz w:val="21"/>
                      <w:szCs w:val="21"/>
                      <w:highlight w:val="none"/>
                      <w:lang w:val="en-US" w:eastAsia="zh-CN"/>
                    </w:rPr>
                    <w:t>6</w:t>
                  </w:r>
                </w:p>
              </w:tc>
              <w:tc>
                <w:tcPr>
                  <w:tcW w:w="931" w:type="dxa"/>
                  <w:noWrap w:val="0"/>
                  <w:vAlign w:val="center"/>
                </w:tcPr>
                <w:p w14:paraId="21F0FBB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r>
                    <w:rPr>
                      <w:rFonts w:hint="eastAsia" w:ascii="宋体" w:hAnsi="宋体" w:eastAsia="宋体" w:cs="宋体"/>
                      <w:color w:val="auto"/>
                      <w:sz w:val="21"/>
                      <w:szCs w:val="21"/>
                      <w:highlight w:val="none"/>
                      <w:lang w:val="en-US" w:eastAsia="zh-CN"/>
                    </w:rPr>
                    <w:t>－</w:t>
                  </w:r>
                </w:p>
              </w:tc>
            </w:tr>
            <w:tr w14:paraId="4C693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3" w:type="dxa"/>
                  <w:vMerge w:val="continue"/>
                  <w:noWrap w:val="0"/>
                  <w:vAlign w:val="center"/>
                </w:tcPr>
                <w:p w14:paraId="238DEB4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715" w:type="dxa"/>
                  <w:vMerge w:val="restart"/>
                  <w:noWrap w:val="0"/>
                  <w:vAlign w:val="center"/>
                </w:tcPr>
                <w:p w14:paraId="224078D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甲苯与二甲苯合计</w:t>
                  </w:r>
                </w:p>
              </w:tc>
              <w:tc>
                <w:tcPr>
                  <w:tcW w:w="647" w:type="dxa"/>
                  <w:vMerge w:val="restart"/>
                  <w:noWrap w:val="0"/>
                  <w:vAlign w:val="center"/>
                </w:tcPr>
                <w:p w14:paraId="5D86571A">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2000</w:t>
                  </w:r>
                </w:p>
              </w:tc>
              <w:tc>
                <w:tcPr>
                  <w:tcW w:w="676" w:type="dxa"/>
                  <w:vMerge w:val="continue"/>
                  <w:noWrap w:val="0"/>
                  <w:vAlign w:val="center"/>
                </w:tcPr>
                <w:p w14:paraId="0B9A8A2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kern w:val="2"/>
                      <w:sz w:val="21"/>
                      <w:szCs w:val="21"/>
                      <w:highlight w:val="none"/>
                      <w:lang w:val="en-US" w:eastAsia="zh-CN" w:bidi="ar-SA"/>
                    </w:rPr>
                  </w:pPr>
                </w:p>
              </w:tc>
              <w:tc>
                <w:tcPr>
                  <w:tcW w:w="706" w:type="dxa"/>
                  <w:vMerge w:val="restart"/>
                  <w:noWrap w:val="0"/>
                  <w:vAlign w:val="center"/>
                </w:tcPr>
                <w:p w14:paraId="3363267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1.2</w:t>
                  </w:r>
                  <w:r>
                    <w:rPr>
                      <w:rFonts w:hint="eastAsia"/>
                      <w:color w:val="auto"/>
                      <w:kern w:val="2"/>
                      <w:sz w:val="21"/>
                      <w:szCs w:val="21"/>
                      <w:highlight w:val="none"/>
                      <w:lang w:val="en-US" w:eastAsia="zh-CN" w:bidi="ar-SA"/>
                    </w:rPr>
                    <w:t>19</w:t>
                  </w:r>
                </w:p>
              </w:tc>
              <w:tc>
                <w:tcPr>
                  <w:tcW w:w="1037" w:type="dxa"/>
                  <w:noWrap w:val="0"/>
                  <w:vAlign w:val="center"/>
                </w:tcPr>
                <w:p w14:paraId="28C570E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rPr>
                    <w:t>进入</w:t>
                  </w:r>
                  <w:r>
                    <w:rPr>
                      <w:rFonts w:hint="eastAsia" w:eastAsia="宋体"/>
                      <w:color w:val="auto"/>
                      <w:sz w:val="21"/>
                      <w:szCs w:val="21"/>
                      <w:highlight w:val="none"/>
                      <w:lang w:val="en-US" w:eastAsia="zh-CN"/>
                    </w:rPr>
                    <w:t>环保设备</w:t>
                  </w:r>
                </w:p>
              </w:tc>
              <w:tc>
                <w:tcPr>
                  <w:tcW w:w="696" w:type="dxa"/>
                  <w:noWrap w:val="0"/>
                  <w:vAlign w:val="center"/>
                </w:tcPr>
                <w:p w14:paraId="4B3C105D">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1.1</w:t>
                  </w:r>
                  <w:r>
                    <w:rPr>
                      <w:rFonts w:hint="eastAsia"/>
                      <w:color w:val="auto"/>
                      <w:sz w:val="21"/>
                      <w:szCs w:val="21"/>
                      <w:highlight w:val="none"/>
                      <w:lang w:val="en-US" w:eastAsia="zh-CN"/>
                    </w:rPr>
                    <w:t>5</w:t>
                  </w:r>
                  <w:r>
                    <w:rPr>
                      <w:rFonts w:hint="eastAsia" w:eastAsia="宋体"/>
                      <w:color w:val="auto"/>
                      <w:sz w:val="21"/>
                      <w:szCs w:val="21"/>
                      <w:highlight w:val="none"/>
                      <w:lang w:val="en-US" w:eastAsia="zh-CN"/>
                    </w:rPr>
                    <w:t>8</w:t>
                  </w:r>
                </w:p>
              </w:tc>
              <w:tc>
                <w:tcPr>
                  <w:tcW w:w="619" w:type="dxa"/>
                  <w:noWrap w:val="0"/>
                  <w:vAlign w:val="center"/>
                </w:tcPr>
                <w:p w14:paraId="7C8C03C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90</w:t>
                  </w:r>
                </w:p>
              </w:tc>
              <w:tc>
                <w:tcPr>
                  <w:tcW w:w="762" w:type="dxa"/>
                  <w:noWrap w:val="0"/>
                  <w:vAlign w:val="center"/>
                </w:tcPr>
                <w:p w14:paraId="7FA104E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0.116</w:t>
                  </w:r>
                </w:p>
              </w:tc>
              <w:tc>
                <w:tcPr>
                  <w:tcW w:w="798" w:type="dxa"/>
                  <w:noWrap w:val="0"/>
                  <w:vAlign w:val="center"/>
                </w:tcPr>
                <w:p w14:paraId="4F90EDB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0.058</w:t>
                  </w:r>
                </w:p>
              </w:tc>
              <w:tc>
                <w:tcPr>
                  <w:tcW w:w="931" w:type="dxa"/>
                  <w:noWrap w:val="0"/>
                  <w:vAlign w:val="center"/>
                </w:tcPr>
                <w:p w14:paraId="347138F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1.9</w:t>
                  </w:r>
                </w:p>
              </w:tc>
            </w:tr>
            <w:tr w14:paraId="6E735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03" w:type="dxa"/>
                  <w:vMerge w:val="continue"/>
                  <w:noWrap w:val="0"/>
                  <w:vAlign w:val="center"/>
                </w:tcPr>
                <w:p w14:paraId="4B5BFF37">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715" w:type="dxa"/>
                  <w:vMerge w:val="continue"/>
                  <w:noWrap w:val="0"/>
                  <w:vAlign w:val="center"/>
                </w:tcPr>
                <w:p w14:paraId="192461C2">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647" w:type="dxa"/>
                  <w:vMerge w:val="continue"/>
                  <w:noWrap w:val="0"/>
                  <w:vAlign w:val="center"/>
                </w:tcPr>
                <w:p w14:paraId="4DD0772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676" w:type="dxa"/>
                  <w:vMerge w:val="continue"/>
                  <w:noWrap w:val="0"/>
                  <w:vAlign w:val="center"/>
                </w:tcPr>
                <w:p w14:paraId="576F5117">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rPr>
                  </w:pPr>
                </w:p>
              </w:tc>
              <w:tc>
                <w:tcPr>
                  <w:tcW w:w="706" w:type="dxa"/>
                  <w:vMerge w:val="continue"/>
                  <w:noWrap w:val="0"/>
                  <w:vAlign w:val="center"/>
                </w:tcPr>
                <w:p w14:paraId="0B5024C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kern w:val="2"/>
                      <w:sz w:val="21"/>
                      <w:szCs w:val="21"/>
                      <w:highlight w:val="none"/>
                      <w:lang w:val="en-US" w:eastAsia="zh-CN" w:bidi="ar-SA"/>
                    </w:rPr>
                  </w:pPr>
                </w:p>
              </w:tc>
              <w:tc>
                <w:tcPr>
                  <w:tcW w:w="1037" w:type="dxa"/>
                  <w:noWrap w:val="0"/>
                  <w:vAlign w:val="center"/>
                </w:tcPr>
                <w:p w14:paraId="03D8EDB8">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rPr>
                    <w:t>未进入</w:t>
                  </w:r>
                  <w:r>
                    <w:rPr>
                      <w:rFonts w:hint="eastAsia" w:eastAsia="宋体"/>
                      <w:color w:val="auto"/>
                      <w:sz w:val="21"/>
                      <w:szCs w:val="21"/>
                      <w:highlight w:val="none"/>
                      <w:lang w:val="en-US" w:eastAsia="zh-CN"/>
                    </w:rPr>
                    <w:t>环保设备</w:t>
                  </w:r>
                </w:p>
              </w:tc>
              <w:tc>
                <w:tcPr>
                  <w:tcW w:w="696" w:type="dxa"/>
                  <w:noWrap w:val="0"/>
                  <w:vAlign w:val="center"/>
                </w:tcPr>
                <w:p w14:paraId="40436C7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w:t>
                  </w:r>
                  <w:r>
                    <w:rPr>
                      <w:rFonts w:hint="eastAsia"/>
                      <w:color w:val="auto"/>
                      <w:sz w:val="21"/>
                      <w:szCs w:val="21"/>
                      <w:highlight w:val="none"/>
                      <w:lang w:val="en-US" w:eastAsia="zh-CN"/>
                    </w:rPr>
                    <w:t>61</w:t>
                  </w:r>
                </w:p>
              </w:tc>
              <w:tc>
                <w:tcPr>
                  <w:tcW w:w="619" w:type="dxa"/>
                  <w:noWrap w:val="0"/>
                  <w:vAlign w:val="center"/>
                </w:tcPr>
                <w:p w14:paraId="02C3944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762" w:type="dxa"/>
                  <w:noWrap w:val="0"/>
                  <w:vAlign w:val="center"/>
                </w:tcPr>
                <w:p w14:paraId="5997FAAB">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eastAsia="宋体"/>
                      <w:color w:val="auto"/>
                      <w:sz w:val="21"/>
                      <w:szCs w:val="21"/>
                      <w:highlight w:val="none"/>
                      <w:lang w:val="en-US" w:eastAsia="zh-CN"/>
                    </w:rPr>
                    <w:t>0.06</w:t>
                  </w:r>
                  <w:r>
                    <w:rPr>
                      <w:rFonts w:hint="eastAsia"/>
                      <w:color w:val="auto"/>
                      <w:sz w:val="21"/>
                      <w:szCs w:val="21"/>
                      <w:highlight w:val="none"/>
                      <w:lang w:val="en-US" w:eastAsia="zh-CN"/>
                    </w:rPr>
                    <w:t>1</w:t>
                  </w:r>
                </w:p>
              </w:tc>
              <w:tc>
                <w:tcPr>
                  <w:tcW w:w="798" w:type="dxa"/>
                  <w:noWrap w:val="0"/>
                  <w:vAlign w:val="center"/>
                </w:tcPr>
                <w:p w14:paraId="0DC2472A">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0.031</w:t>
                  </w:r>
                </w:p>
              </w:tc>
              <w:tc>
                <w:tcPr>
                  <w:tcW w:w="931" w:type="dxa"/>
                  <w:noWrap w:val="0"/>
                  <w:vAlign w:val="center"/>
                </w:tcPr>
                <w:p w14:paraId="6094F52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14:paraId="4FFEEF79">
            <w:pPr>
              <w:pStyle w:val="2"/>
              <w:rPr>
                <w:rFonts w:hint="eastAsia"/>
                <w:color w:val="auto"/>
                <w:sz w:val="24"/>
                <w:szCs w:val="24"/>
                <w:highlight w:val="none"/>
                <w:lang w:val="en-US" w:eastAsia="zh-CN"/>
              </w:rPr>
            </w:pPr>
            <w:r>
              <w:rPr>
                <w:rFonts w:hint="eastAsia"/>
                <w:color w:val="auto"/>
                <w:lang w:val="en-US" w:eastAsia="zh-CN"/>
              </w:rPr>
              <w:t>由上表可知，本项目调漆、喷漆、烘干/晾干、刮腻子、腻子打磨、除油、漆料及危废储存过程产生的废气经废气处理设施处理后，颗粒物排放浓度满足</w:t>
            </w:r>
            <w:r>
              <w:rPr>
                <w:rFonts w:hint="eastAsia"/>
                <w:color w:val="auto"/>
                <w:sz w:val="24"/>
                <w:szCs w:val="24"/>
                <w:highlight w:val="none"/>
                <w:lang w:val="en-US" w:eastAsia="zh-CN"/>
              </w:rPr>
              <w:t>《大气污染物综合排放标准》（GB16297-1996）表2中颗粒物相关排放限值，最高允许排放浓度18mg/m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，最高允许排放速率0.255kg/h（15m高排气筒最高允许排放速率一半），以及排气筒应高出周围200m半径范围的建筑5m以上，不能达到该要求的排气筒，应按其高度对应的表列排放速率标准值严格50%执行的要求。</w:t>
            </w:r>
            <w:r>
              <w:rPr>
                <w:rFonts w:hint="eastAsia"/>
                <w:b w:val="0"/>
                <w:bCs w:val="0"/>
                <w:color w:val="auto"/>
                <w:highlight w:val="none"/>
                <w:vertAlign w:val="baseline"/>
                <w:lang w:val="en-US" w:eastAsia="zh-CN"/>
              </w:rPr>
              <w:t>非甲烷总烃、</w:t>
            </w:r>
            <w:r>
              <w:rPr>
                <w:rFonts w:hint="eastAsia"/>
                <w:color w:val="auto"/>
                <w:highlight w:val="none"/>
                <w:lang w:val="en-US" w:eastAsia="zh-CN"/>
              </w:rPr>
              <w:t>甲苯与二甲苯合计满足</w:t>
            </w:r>
            <w:r>
              <w:rPr>
                <w:rFonts w:hint="eastAsia"/>
                <w:color w:val="auto"/>
                <w:sz w:val="24"/>
                <w:szCs w:val="24"/>
                <w:highlight w:val="none"/>
              </w:rPr>
              <w:t>《工业企业挥发性有机物排放控制标准》（DB13/2322-2016）</w:t>
            </w:r>
            <w:r>
              <w:rPr>
                <w:rFonts w:hint="eastAsia"/>
                <w:color w:val="auto"/>
                <w:sz w:val="24"/>
                <w:szCs w:val="24"/>
                <w:highlight w:val="none"/>
                <w:lang w:val="en-US" w:eastAsia="zh-CN"/>
              </w:rPr>
              <w:t>表1中表面涂装业非甲烷总烃最高允许排放浓度30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按表面涂装业最高允许排放浓度</w:t>
            </w:r>
            <w:r>
              <w:rPr>
                <w:rFonts w:hint="eastAsia"/>
                <w:color w:val="auto"/>
                <w:sz w:val="24"/>
                <w:szCs w:val="24"/>
                <w:highlight w:val="none"/>
                <w:lang w:val="en-US" w:eastAsia="zh-CN"/>
              </w:rPr>
              <w:t>60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val="en-US" w:eastAsia="zh-CN"/>
              </w:rPr>
              <w:t>的一半执行</w:t>
            </w:r>
            <w:r>
              <w:rPr>
                <w:rFonts w:hint="eastAsia"/>
                <w:color w:val="auto"/>
                <w:sz w:val="24"/>
                <w:szCs w:val="24"/>
                <w:highlight w:val="none"/>
                <w:vertAlign w:val="baseline"/>
                <w:lang w:eastAsia="zh-CN"/>
              </w:rPr>
              <w:t>）</w:t>
            </w:r>
            <w:r>
              <w:rPr>
                <w:rFonts w:hint="eastAsia"/>
                <w:color w:val="auto"/>
                <w:sz w:val="24"/>
                <w:szCs w:val="24"/>
                <w:highlight w:val="none"/>
              </w:rPr>
              <w:t>，</w:t>
            </w:r>
            <w:r>
              <w:rPr>
                <w:rFonts w:hint="eastAsia"/>
                <w:color w:val="auto"/>
                <w:sz w:val="24"/>
                <w:szCs w:val="24"/>
                <w:highlight w:val="none"/>
                <w:lang w:val="en-US" w:eastAsia="zh-CN"/>
              </w:rPr>
              <w:t>最低去除效率70%</w:t>
            </w:r>
            <w:r>
              <w:rPr>
                <w:rFonts w:hint="eastAsia"/>
                <w:color w:val="auto"/>
                <w:sz w:val="24"/>
                <w:szCs w:val="24"/>
                <w:highlight w:val="none"/>
              </w:rPr>
              <w:t>，</w:t>
            </w:r>
            <w:r>
              <w:rPr>
                <w:rFonts w:hint="eastAsia"/>
                <w:color w:val="auto"/>
                <w:sz w:val="24"/>
                <w:szCs w:val="24"/>
                <w:highlight w:val="none"/>
                <w:lang w:val="en-US" w:eastAsia="zh-CN"/>
              </w:rPr>
              <w:t>甲苯与二甲苯合计最高允许排放浓度10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按表面涂装业最高允许排放浓度</w:t>
            </w:r>
            <w:r>
              <w:rPr>
                <w:rFonts w:hint="eastAsia"/>
                <w:color w:val="auto"/>
                <w:sz w:val="24"/>
                <w:szCs w:val="24"/>
                <w:highlight w:val="none"/>
                <w:lang w:val="en-US" w:eastAsia="zh-CN"/>
              </w:rPr>
              <w:t>20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val="en-US" w:eastAsia="zh-CN"/>
              </w:rPr>
              <w:t>的一半执行</w:t>
            </w:r>
            <w:r>
              <w:rPr>
                <w:rFonts w:hint="eastAsia"/>
                <w:color w:val="auto"/>
                <w:sz w:val="24"/>
                <w:szCs w:val="24"/>
                <w:highlight w:val="none"/>
                <w:vertAlign w:val="baseline"/>
                <w:lang w:eastAsia="zh-CN"/>
              </w:rPr>
              <w:t>）</w:t>
            </w:r>
            <w:r>
              <w:rPr>
                <w:rFonts w:hint="eastAsia"/>
                <w:color w:val="auto"/>
                <w:sz w:val="24"/>
                <w:szCs w:val="24"/>
                <w:highlight w:val="none"/>
              </w:rPr>
              <w:t>，排气筒高度不低于15m</w:t>
            </w:r>
            <w:r>
              <w:rPr>
                <w:rFonts w:hint="eastAsia"/>
                <w:color w:val="auto"/>
                <w:sz w:val="24"/>
                <w:szCs w:val="24"/>
                <w:highlight w:val="none"/>
                <w:lang w:eastAsia="zh-CN"/>
              </w:rPr>
              <w:t>，排气筒高度应高出周围200m半径范围的建筑5m以上。高度如果达不到规定时，按排放限值的50%执行</w:t>
            </w:r>
            <w:r>
              <w:rPr>
                <w:rFonts w:hint="eastAsia"/>
                <w:color w:val="auto"/>
                <w:sz w:val="24"/>
                <w:szCs w:val="24"/>
                <w:highlight w:val="none"/>
                <w:lang w:val="en-US" w:eastAsia="zh-CN"/>
              </w:rPr>
              <w:t>的要求。</w:t>
            </w:r>
          </w:p>
          <w:p w14:paraId="296982A4">
            <w:pPr>
              <w:bidi w:val="0"/>
              <w:rPr>
                <w:rFonts w:hint="default"/>
                <w:color w:val="auto"/>
                <w:lang w:val="en-US" w:eastAsia="zh-CN"/>
              </w:rPr>
            </w:pPr>
            <w:r>
              <w:rPr>
                <w:rFonts w:hint="eastAsia"/>
                <w:color w:val="auto"/>
                <w:lang w:val="en-US" w:eastAsia="zh-CN"/>
              </w:rPr>
              <w:t>调漆、喷漆、烘干/晾干、刮腻子、腻子打磨、除油、漆料及危废储存过程未捕集废气于车间内无组织排放，颗粒物无组织排放量为0.086t/a，无组织最大排放速率为0.412kg/h，非甲烷总烃无组织排放量为0.091t/a，无组织排放速率为0.046kg/h，甲苯与二甲苯合计无组织排放量为0.061t/a，无组织排放速率为0.031kg/h。</w:t>
            </w:r>
          </w:p>
          <w:p w14:paraId="43ACA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b/>
                <w:bCs/>
                <w:color w:val="auto"/>
                <w:highlight w:val="none"/>
                <w:lang w:val="en-US" w:eastAsia="zh-CN"/>
              </w:rPr>
            </w:pPr>
            <w:r>
              <w:rPr>
                <w:rFonts w:hint="eastAsia"/>
                <w:b/>
                <w:bCs/>
                <w:color w:val="auto"/>
                <w:highlight w:val="none"/>
                <w:lang w:val="en-US" w:eastAsia="zh-CN"/>
              </w:rPr>
              <w:t>1.2.3食堂废气</w:t>
            </w:r>
          </w:p>
          <w:p w14:paraId="35DEE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eastAsia"/>
                <w:color w:val="auto"/>
                <w:highlight w:val="none"/>
              </w:rPr>
            </w:pPr>
            <w:r>
              <w:rPr>
                <w:rFonts w:hint="eastAsia"/>
                <w:color w:val="auto"/>
                <w:highlight w:val="none"/>
                <w:lang w:val="en-US" w:eastAsia="zh-CN"/>
              </w:rPr>
              <w:t>本项目</w:t>
            </w:r>
            <w:r>
              <w:rPr>
                <w:rFonts w:hint="eastAsia"/>
                <w:color w:val="auto"/>
                <w:highlight w:val="none"/>
              </w:rPr>
              <w:t>设置食堂，</w:t>
            </w:r>
            <w:r>
              <w:rPr>
                <w:rFonts w:hint="eastAsia"/>
                <w:color w:val="auto"/>
                <w:highlight w:val="none"/>
                <w:lang w:val="en-US" w:eastAsia="zh-CN"/>
              </w:rPr>
              <w:t>食堂做饭会产生一定量的饮食</w:t>
            </w:r>
            <w:r>
              <w:rPr>
                <w:rFonts w:hint="eastAsia"/>
                <w:color w:val="auto"/>
                <w:highlight w:val="none"/>
              </w:rPr>
              <w:t>油烟</w:t>
            </w:r>
            <w:r>
              <w:rPr>
                <w:rFonts w:hint="eastAsia"/>
                <w:color w:val="auto"/>
                <w:highlight w:val="none"/>
                <w:lang w:eastAsia="zh-CN"/>
              </w:rPr>
              <w:t>、</w:t>
            </w:r>
            <w:r>
              <w:rPr>
                <w:rFonts w:hint="eastAsia"/>
                <w:color w:val="auto"/>
                <w:highlight w:val="none"/>
                <w:lang w:val="en-US" w:eastAsia="zh-CN"/>
              </w:rPr>
              <w:t>非甲烷总烃</w:t>
            </w:r>
            <w:r>
              <w:rPr>
                <w:rFonts w:hint="eastAsia"/>
                <w:color w:val="auto"/>
                <w:highlight w:val="none"/>
                <w:lang w:eastAsia="zh-CN"/>
              </w:rPr>
              <w:t>，</w:t>
            </w:r>
            <w:r>
              <w:rPr>
                <w:rFonts w:hint="eastAsia"/>
                <w:color w:val="auto"/>
                <w:sz w:val="24"/>
                <w:highlight w:val="none"/>
                <w:lang w:val="en-US" w:eastAsia="zh-CN"/>
              </w:rPr>
              <w:t>经油烟净化器处理后经专用烟道排放</w:t>
            </w:r>
            <w:r>
              <w:rPr>
                <w:rFonts w:hint="eastAsia"/>
                <w:color w:val="auto"/>
                <w:highlight w:val="none"/>
              </w:rPr>
              <w:t>。</w:t>
            </w:r>
          </w:p>
          <w:p w14:paraId="33C8B8F0">
            <w:pPr>
              <w:pStyle w:val="3"/>
              <w:rPr>
                <w:rFonts w:hint="default" w:eastAsia="宋体"/>
                <w:color w:val="auto"/>
                <w:highlight w:val="none"/>
                <w:lang w:val="en-US" w:eastAsia="zh-CN"/>
              </w:rPr>
            </w:pPr>
            <w:r>
              <w:rPr>
                <w:rFonts w:hint="eastAsia"/>
                <w:color w:val="auto"/>
                <w:highlight w:val="none"/>
              </w:rPr>
              <w:t>油烟污染物主要由灶口菜肴制作过程中食物油和食物在高温条件下，产生的大量热氧化分解产物。食物烹调所产生的</w:t>
            </w:r>
            <w:bookmarkStart w:id="12" w:name="_GoBack"/>
            <w:bookmarkEnd w:id="12"/>
            <w:r>
              <w:rPr>
                <w:rFonts w:hint="eastAsia"/>
                <w:color w:val="auto"/>
                <w:highlight w:val="none"/>
              </w:rPr>
              <w:t>油烟对人体健康和环境的危害也日趋严重，需要加强治理。</w:t>
            </w:r>
            <w:r>
              <w:rPr>
                <w:rFonts w:hint="eastAsia"/>
                <w:color w:val="auto"/>
                <w:highlight w:val="none"/>
                <w:lang w:val="en-US" w:eastAsia="zh-CN"/>
              </w:rPr>
              <w:t>本项目建成后食堂用餐人数为300人，</w:t>
            </w:r>
            <w:r>
              <w:rPr>
                <w:rFonts w:hint="eastAsia"/>
                <w:color w:val="auto"/>
                <w:highlight w:val="none"/>
              </w:rPr>
              <w:t>项目设置</w:t>
            </w:r>
            <w:r>
              <w:rPr>
                <w:rFonts w:hint="eastAsia"/>
                <w:color w:val="auto"/>
                <w:highlight w:val="none"/>
                <w:lang w:val="en-US" w:eastAsia="zh-CN"/>
              </w:rPr>
              <w:t>5</w:t>
            </w:r>
            <w:r>
              <w:rPr>
                <w:rFonts w:hint="eastAsia"/>
                <w:color w:val="auto"/>
                <w:highlight w:val="none"/>
              </w:rPr>
              <w:t>个标准灶头，食堂为</w:t>
            </w:r>
            <w:r>
              <w:rPr>
                <w:rFonts w:hint="eastAsia"/>
                <w:color w:val="auto"/>
                <w:highlight w:val="none"/>
                <w:lang w:val="en-US" w:eastAsia="zh-CN"/>
              </w:rPr>
              <w:t>中</w:t>
            </w:r>
            <w:r>
              <w:rPr>
                <w:rFonts w:hint="eastAsia"/>
                <w:color w:val="auto"/>
                <w:highlight w:val="none"/>
              </w:rPr>
              <w:t>型规模。食堂的食用油耗油系数</w:t>
            </w:r>
            <w:r>
              <w:rPr>
                <w:rFonts w:hint="eastAsia"/>
                <w:color w:val="auto"/>
                <w:highlight w:val="none"/>
                <w:lang w:val="en-US" w:eastAsia="zh-CN"/>
              </w:rPr>
              <w:t>按10g/（人</w:t>
            </w:r>
            <w:r>
              <w:rPr>
                <w:rFonts w:hint="eastAsia" w:ascii="宋体" w:hAnsi="宋体" w:eastAsia="宋体" w:cs="宋体"/>
                <w:color w:val="auto"/>
                <w:highlight w:val="none"/>
                <w:lang w:val="en-US" w:eastAsia="zh-CN"/>
              </w:rPr>
              <w:t>·</w:t>
            </w:r>
            <w:r>
              <w:rPr>
                <w:rFonts w:hint="eastAsia"/>
                <w:color w:val="auto"/>
                <w:highlight w:val="none"/>
                <w:lang w:val="en-US" w:eastAsia="zh-CN"/>
              </w:rPr>
              <w:t>次）计</w:t>
            </w:r>
            <w:r>
              <w:rPr>
                <w:rFonts w:hint="eastAsia"/>
                <w:color w:val="auto"/>
                <w:highlight w:val="none"/>
              </w:rPr>
              <w:t>，</w:t>
            </w:r>
            <w:r>
              <w:rPr>
                <w:rFonts w:hint="eastAsia"/>
                <w:color w:val="auto"/>
                <w:highlight w:val="none"/>
                <w:lang w:val="en-US" w:eastAsia="zh-CN"/>
              </w:rPr>
              <w:t>每天三餐，</w:t>
            </w:r>
            <w:r>
              <w:rPr>
                <w:rFonts w:hint="eastAsia"/>
                <w:color w:val="auto"/>
                <w:highlight w:val="none"/>
              </w:rPr>
              <w:t>则食用油消耗量</w:t>
            </w:r>
            <w:r>
              <w:rPr>
                <w:rFonts w:hint="eastAsia"/>
                <w:color w:val="auto"/>
                <w:highlight w:val="none"/>
                <w:lang w:eastAsia="zh-CN"/>
              </w:rPr>
              <w:t>为</w:t>
            </w:r>
            <w:r>
              <w:rPr>
                <w:rFonts w:hint="eastAsia"/>
                <w:color w:val="auto"/>
                <w:highlight w:val="none"/>
                <w:lang w:val="en-US" w:eastAsia="zh-CN"/>
              </w:rPr>
              <w:t>9</w:t>
            </w:r>
            <w:r>
              <w:rPr>
                <w:rFonts w:hint="default"/>
                <w:color w:val="auto"/>
                <w:highlight w:val="none"/>
              </w:rPr>
              <w:t>kg</w:t>
            </w:r>
            <w:r>
              <w:rPr>
                <w:rFonts w:hint="eastAsia"/>
                <w:color w:val="auto"/>
                <w:highlight w:val="none"/>
                <w:lang w:val="en-US" w:eastAsia="zh-CN"/>
              </w:rPr>
              <w:t>/d</w:t>
            </w:r>
            <w:r>
              <w:rPr>
                <w:rFonts w:hint="eastAsia"/>
                <w:color w:val="auto"/>
                <w:highlight w:val="none"/>
              </w:rPr>
              <w:t>，一般油烟挥发量平均占总耗油量的2.81%</w:t>
            </w:r>
            <w:r>
              <w:rPr>
                <w:rFonts w:hint="eastAsia"/>
                <w:color w:val="auto"/>
                <w:highlight w:val="none"/>
                <w:lang w:val="en-US" w:eastAsia="zh-CN"/>
              </w:rPr>
              <w:t>，</w:t>
            </w:r>
            <w:r>
              <w:rPr>
                <w:rFonts w:hint="eastAsia"/>
                <w:color w:val="auto"/>
                <w:highlight w:val="none"/>
              </w:rPr>
              <w:t>则油烟的产生量约为</w:t>
            </w:r>
            <w:r>
              <w:rPr>
                <w:rFonts w:hint="eastAsia"/>
                <w:color w:val="auto"/>
                <w:highlight w:val="none"/>
                <w:lang w:val="en-US" w:eastAsia="zh-CN"/>
              </w:rPr>
              <w:t>0.253</w:t>
            </w:r>
            <w:r>
              <w:rPr>
                <w:rFonts w:hint="default"/>
                <w:color w:val="auto"/>
                <w:highlight w:val="none"/>
              </w:rPr>
              <w:t>kg</w:t>
            </w:r>
            <w:r>
              <w:rPr>
                <w:rFonts w:hint="eastAsia"/>
                <w:color w:val="auto"/>
                <w:highlight w:val="none"/>
                <w:lang w:val="en-US" w:eastAsia="zh-CN"/>
              </w:rPr>
              <w:t>/d（0.063t</w:t>
            </w:r>
            <w:r>
              <w:rPr>
                <w:rFonts w:hint="default"/>
                <w:color w:val="auto"/>
                <w:highlight w:val="none"/>
              </w:rPr>
              <w:t>/</w:t>
            </w:r>
            <w:r>
              <w:rPr>
                <w:rFonts w:hint="eastAsia"/>
                <w:color w:val="auto"/>
                <w:highlight w:val="none"/>
                <w:lang w:val="en-US" w:eastAsia="zh-CN"/>
              </w:rPr>
              <w:t>a）</w:t>
            </w:r>
            <w:r>
              <w:rPr>
                <w:rFonts w:hint="eastAsia"/>
                <w:color w:val="auto"/>
                <w:highlight w:val="none"/>
              </w:rPr>
              <w:t>。</w:t>
            </w:r>
            <w:r>
              <w:rPr>
                <w:rFonts w:hint="eastAsia"/>
                <w:color w:val="auto"/>
                <w:highlight w:val="none"/>
                <w:lang w:val="en-US" w:eastAsia="zh-CN"/>
              </w:rPr>
              <w:t>类比同类型项目，食堂废气中非甲烷总烃产生速率约0.15kg/h。</w:t>
            </w:r>
          </w:p>
          <w:p w14:paraId="63F921D3">
            <w:pPr>
              <w:pStyle w:val="3"/>
              <w:rPr>
                <w:rFonts w:hint="default"/>
                <w:color w:val="auto"/>
                <w:lang w:val="en-US" w:eastAsia="zh-CN"/>
              </w:rPr>
            </w:pPr>
            <w:r>
              <w:rPr>
                <w:rFonts w:hint="eastAsia"/>
                <w:color w:val="auto"/>
                <w:highlight w:val="none"/>
                <w:lang w:val="en-US" w:eastAsia="zh-CN"/>
              </w:rPr>
              <w:t>食堂</w:t>
            </w:r>
            <w:r>
              <w:rPr>
                <w:rFonts w:hint="eastAsia"/>
                <w:color w:val="auto"/>
                <w:highlight w:val="none"/>
              </w:rPr>
              <w:t>每天工作</w:t>
            </w:r>
            <w:r>
              <w:rPr>
                <w:rFonts w:hint="eastAsia"/>
                <w:color w:val="auto"/>
                <w:highlight w:val="none"/>
                <w:lang w:val="en-US" w:eastAsia="zh-CN"/>
              </w:rPr>
              <w:t>时间为4.5h，</w:t>
            </w:r>
            <w:r>
              <w:rPr>
                <w:rFonts w:hint="eastAsia"/>
                <w:color w:val="auto"/>
                <w:highlight w:val="none"/>
              </w:rPr>
              <w:t>则油烟产生速率为</w:t>
            </w:r>
            <w:r>
              <w:rPr>
                <w:rFonts w:hint="default"/>
                <w:color w:val="auto"/>
                <w:highlight w:val="none"/>
              </w:rPr>
              <w:t>0.</w:t>
            </w:r>
            <w:r>
              <w:rPr>
                <w:rFonts w:hint="eastAsia"/>
                <w:color w:val="auto"/>
                <w:highlight w:val="none"/>
                <w:lang w:val="en-US" w:eastAsia="zh-CN"/>
              </w:rPr>
              <w:t>056</w:t>
            </w:r>
            <w:r>
              <w:rPr>
                <w:rFonts w:hint="default"/>
                <w:color w:val="auto"/>
                <w:highlight w:val="none"/>
              </w:rPr>
              <w:t>kg/h</w:t>
            </w:r>
            <w:r>
              <w:rPr>
                <w:rFonts w:hint="eastAsia"/>
                <w:color w:val="auto"/>
                <w:highlight w:val="none"/>
                <w:lang w:eastAsia="zh-CN"/>
              </w:rPr>
              <w:t>，</w:t>
            </w:r>
            <w:r>
              <w:rPr>
                <w:rFonts w:hint="eastAsia"/>
                <w:color w:val="auto"/>
                <w:highlight w:val="none"/>
                <w:lang w:val="en-US" w:eastAsia="zh-CN"/>
              </w:rPr>
              <w:t>产生浓度为6.5</w:t>
            </w:r>
            <w:r>
              <w:rPr>
                <w:rFonts w:hint="default"/>
                <w:color w:val="auto"/>
                <w:highlight w:val="none"/>
              </w:rPr>
              <w:t>mg/m</w:t>
            </w:r>
            <w:r>
              <w:rPr>
                <w:rFonts w:hint="default"/>
                <w:color w:val="auto"/>
                <w:highlight w:val="none"/>
                <w:vertAlign w:val="superscript"/>
              </w:rPr>
              <w:t>3</w:t>
            </w:r>
            <w:r>
              <w:rPr>
                <w:rFonts w:hint="eastAsia"/>
                <w:color w:val="auto"/>
                <w:highlight w:val="none"/>
                <w:lang w:eastAsia="zh-CN"/>
              </w:rPr>
              <w:t>，</w:t>
            </w:r>
            <w:r>
              <w:rPr>
                <w:rFonts w:hint="eastAsia"/>
                <w:color w:val="auto"/>
                <w:highlight w:val="none"/>
                <w:lang w:val="en-US" w:eastAsia="zh-CN"/>
              </w:rPr>
              <w:t>非甲烷总烃产生量为0.169t/a，产生速率为0.15kg/h，产生浓度为15</w:t>
            </w:r>
            <w:r>
              <w:rPr>
                <w:rFonts w:hint="default"/>
                <w:color w:val="auto"/>
                <w:highlight w:val="none"/>
              </w:rPr>
              <w:t>mg/m</w:t>
            </w:r>
            <w:r>
              <w:rPr>
                <w:rFonts w:hint="default"/>
                <w:color w:val="auto"/>
                <w:highlight w:val="none"/>
                <w:vertAlign w:val="superscript"/>
              </w:rPr>
              <w:t>3</w:t>
            </w:r>
            <w:r>
              <w:rPr>
                <w:rFonts w:hint="eastAsia"/>
                <w:color w:val="auto"/>
                <w:highlight w:val="none"/>
                <w:lang w:eastAsia="zh-CN"/>
              </w:rPr>
              <w:t>，</w:t>
            </w:r>
            <w:r>
              <w:rPr>
                <w:rFonts w:hint="eastAsia"/>
                <w:color w:val="auto"/>
                <w:highlight w:val="none"/>
              </w:rPr>
              <w:t>食堂</w:t>
            </w:r>
            <w:r>
              <w:rPr>
                <w:rFonts w:hint="eastAsia"/>
                <w:color w:val="auto"/>
                <w:highlight w:val="none"/>
                <w:lang w:val="en-US" w:eastAsia="zh-CN"/>
              </w:rPr>
              <w:t>废气</w:t>
            </w:r>
            <w:r>
              <w:rPr>
                <w:rFonts w:hint="eastAsia"/>
                <w:color w:val="auto"/>
                <w:highlight w:val="none"/>
              </w:rPr>
              <w:t>经油烟净化器处理后</w:t>
            </w:r>
            <w:r>
              <w:rPr>
                <w:rFonts w:hint="eastAsia"/>
                <w:color w:val="auto"/>
                <w:highlight w:val="none"/>
                <w:lang w:val="en-US" w:eastAsia="zh-CN"/>
              </w:rPr>
              <w:t>通过专用烟道</w:t>
            </w:r>
            <w:r>
              <w:rPr>
                <w:rFonts w:hint="eastAsia"/>
                <w:color w:val="auto"/>
                <w:highlight w:val="none"/>
              </w:rPr>
              <w:t>排放，</w:t>
            </w:r>
            <w:r>
              <w:rPr>
                <w:rFonts w:hint="eastAsia"/>
                <w:color w:val="auto"/>
                <w:highlight w:val="none"/>
                <w:lang w:val="en-US" w:eastAsia="zh-CN"/>
              </w:rPr>
              <w:t>油烟净化器对饮食油烟的去除效率为85%，对非甲烷总烃的去除效率为50%，</w:t>
            </w:r>
            <w:r>
              <w:rPr>
                <w:rFonts w:hint="eastAsia"/>
                <w:color w:val="auto"/>
                <w:highlight w:val="none"/>
              </w:rPr>
              <w:t>引风机风量设计为</w:t>
            </w:r>
            <w:r>
              <w:rPr>
                <w:rFonts w:hint="eastAsia"/>
                <w:color w:val="auto"/>
                <w:highlight w:val="none"/>
                <w:lang w:val="en-US" w:eastAsia="zh-CN"/>
              </w:rPr>
              <w:t>10000</w:t>
            </w:r>
            <w:r>
              <w:rPr>
                <w:rFonts w:hint="default"/>
                <w:color w:val="auto"/>
                <w:highlight w:val="none"/>
              </w:rPr>
              <w:t>m</w:t>
            </w:r>
            <w:r>
              <w:rPr>
                <w:rFonts w:hint="default"/>
                <w:color w:val="auto"/>
                <w:highlight w:val="none"/>
                <w:vertAlign w:val="superscript"/>
              </w:rPr>
              <w:t>3</w:t>
            </w:r>
            <w:r>
              <w:rPr>
                <w:rFonts w:hint="default"/>
                <w:color w:val="auto"/>
                <w:highlight w:val="none"/>
              </w:rPr>
              <w:t>/h</w:t>
            </w:r>
            <w:r>
              <w:rPr>
                <w:rFonts w:hint="eastAsia"/>
                <w:color w:val="auto"/>
                <w:highlight w:val="none"/>
              </w:rPr>
              <w:t>，</w:t>
            </w:r>
            <w:r>
              <w:rPr>
                <w:rFonts w:hint="eastAsia"/>
                <w:color w:val="auto"/>
                <w:highlight w:val="none"/>
                <w:lang w:val="en-US" w:eastAsia="zh-CN"/>
              </w:rPr>
              <w:t>则</w:t>
            </w:r>
            <w:r>
              <w:rPr>
                <w:rFonts w:hint="eastAsia"/>
                <w:color w:val="auto"/>
                <w:highlight w:val="none"/>
              </w:rPr>
              <w:t>油烟排放量</w:t>
            </w:r>
            <w:r>
              <w:rPr>
                <w:rFonts w:hint="eastAsia"/>
                <w:color w:val="auto"/>
                <w:highlight w:val="none"/>
                <w:lang w:val="en-US" w:eastAsia="zh-CN"/>
              </w:rPr>
              <w:t>0.009t/a</w:t>
            </w:r>
            <w:r>
              <w:rPr>
                <w:rFonts w:hint="eastAsia"/>
                <w:color w:val="auto"/>
                <w:highlight w:val="none"/>
              </w:rPr>
              <w:t>，排放</w:t>
            </w:r>
            <w:r>
              <w:rPr>
                <w:rFonts w:hint="eastAsia"/>
                <w:color w:val="auto"/>
                <w:highlight w:val="none"/>
                <w:lang w:val="en-US" w:eastAsia="zh-CN"/>
              </w:rPr>
              <w:t>速率</w:t>
            </w:r>
            <w:r>
              <w:rPr>
                <w:rFonts w:hint="eastAsia"/>
                <w:color w:val="auto"/>
                <w:highlight w:val="none"/>
              </w:rPr>
              <w:t>为</w:t>
            </w:r>
            <w:r>
              <w:rPr>
                <w:rFonts w:hint="eastAsia"/>
                <w:color w:val="auto"/>
                <w:highlight w:val="none"/>
                <w:lang w:val="en-US" w:eastAsia="zh-CN"/>
              </w:rPr>
              <w:t>0.008kg/h，排放浓度为0.8</w:t>
            </w:r>
            <w:r>
              <w:rPr>
                <w:rFonts w:hint="default"/>
                <w:color w:val="auto"/>
                <w:highlight w:val="none"/>
              </w:rPr>
              <w:t>mg/m</w:t>
            </w:r>
            <w:r>
              <w:rPr>
                <w:rFonts w:hint="default"/>
                <w:color w:val="auto"/>
                <w:highlight w:val="none"/>
                <w:vertAlign w:val="superscript"/>
              </w:rPr>
              <w:t>3</w:t>
            </w:r>
            <w:r>
              <w:rPr>
                <w:rFonts w:hint="eastAsia"/>
                <w:color w:val="auto"/>
                <w:highlight w:val="none"/>
                <w:lang w:eastAsia="zh-CN"/>
              </w:rPr>
              <w:t>，</w:t>
            </w:r>
            <w:r>
              <w:rPr>
                <w:rFonts w:hint="eastAsia"/>
                <w:color w:val="auto"/>
                <w:highlight w:val="none"/>
                <w:lang w:val="en-US" w:eastAsia="zh-CN"/>
              </w:rPr>
              <w:t>非甲烷总烃排放量为0.085t/a，排放速率为0.075kg/h，排放浓度为7.5</w:t>
            </w:r>
            <w:r>
              <w:rPr>
                <w:rFonts w:hint="default"/>
                <w:color w:val="auto"/>
                <w:highlight w:val="none"/>
              </w:rPr>
              <w:t>mg/m</w:t>
            </w:r>
            <w:r>
              <w:rPr>
                <w:rFonts w:hint="default"/>
                <w:color w:val="auto"/>
                <w:highlight w:val="none"/>
                <w:vertAlign w:val="superscript"/>
              </w:rPr>
              <w:t>3</w:t>
            </w:r>
            <w:r>
              <w:rPr>
                <w:rFonts w:hint="eastAsia"/>
                <w:color w:val="auto"/>
                <w:highlight w:val="none"/>
                <w:lang w:eastAsia="zh-CN"/>
              </w:rPr>
              <w:t>，</w:t>
            </w:r>
            <w:r>
              <w:rPr>
                <w:rFonts w:hint="default"/>
                <w:color w:val="auto"/>
                <w:highlight w:val="none"/>
                <w:lang w:val="zh-CN"/>
              </w:rPr>
              <w:t>满足《</w:t>
            </w:r>
            <w:r>
              <w:rPr>
                <w:rFonts w:hint="eastAsia"/>
                <w:color w:val="auto"/>
                <w:highlight w:val="none"/>
                <w:lang w:val="en-US" w:eastAsia="zh-CN"/>
              </w:rPr>
              <w:t>餐饮业大气污染物排放标准</w:t>
            </w:r>
            <w:r>
              <w:rPr>
                <w:rFonts w:hint="default"/>
                <w:color w:val="auto"/>
                <w:highlight w:val="none"/>
                <w:lang w:val="zh-CN"/>
              </w:rPr>
              <w:t>》</w:t>
            </w:r>
            <w:r>
              <w:rPr>
                <w:rFonts w:hint="eastAsia"/>
                <w:color w:val="auto"/>
                <w:highlight w:val="none"/>
                <w:lang w:val="zh-CN"/>
              </w:rPr>
              <w:t>（</w:t>
            </w:r>
            <w:r>
              <w:rPr>
                <w:rFonts w:hint="eastAsia"/>
                <w:color w:val="auto"/>
                <w:highlight w:val="none"/>
                <w:lang w:val="en-US" w:eastAsia="zh-CN"/>
              </w:rPr>
              <w:t>DB13/5808-2023</w:t>
            </w:r>
            <w:r>
              <w:rPr>
                <w:rFonts w:hint="eastAsia"/>
                <w:color w:val="auto"/>
                <w:highlight w:val="none"/>
                <w:lang w:val="zh-CN"/>
              </w:rPr>
              <w:t>）</w:t>
            </w:r>
            <w:r>
              <w:rPr>
                <w:rFonts w:hint="default"/>
                <w:color w:val="auto"/>
                <w:highlight w:val="none"/>
                <w:lang w:val="zh-CN"/>
              </w:rPr>
              <w:t>中的油烟最高允许排放浓度</w:t>
            </w:r>
            <w:r>
              <w:rPr>
                <w:rFonts w:hint="eastAsia"/>
                <w:color w:val="auto"/>
                <w:highlight w:val="none"/>
                <w:lang w:val="en-US" w:eastAsia="zh-CN"/>
              </w:rPr>
              <w:t>1.2</w:t>
            </w:r>
            <w:r>
              <w:rPr>
                <w:rFonts w:hint="default"/>
                <w:color w:val="auto"/>
                <w:highlight w:val="none"/>
                <w:lang w:val="zh-CN"/>
              </w:rPr>
              <w:t>mg/m</w:t>
            </w:r>
            <w:r>
              <w:rPr>
                <w:rFonts w:hint="default"/>
                <w:color w:val="auto"/>
                <w:highlight w:val="none"/>
                <w:vertAlign w:val="superscript"/>
                <w:lang w:val="zh-CN"/>
              </w:rPr>
              <w:t>3</w:t>
            </w:r>
            <w:r>
              <w:rPr>
                <w:rFonts w:hint="default"/>
                <w:color w:val="auto"/>
                <w:highlight w:val="none"/>
                <w:lang w:val="zh-CN"/>
              </w:rPr>
              <w:t>、</w:t>
            </w:r>
            <w:r>
              <w:rPr>
                <w:rFonts w:hint="eastAsia"/>
                <w:color w:val="auto"/>
                <w:highlight w:val="none"/>
                <w:lang w:val="en-US" w:eastAsia="zh-CN"/>
              </w:rPr>
              <w:t>非甲烷总烃10.0mg/m</w:t>
            </w:r>
            <w:r>
              <w:rPr>
                <w:rFonts w:hint="eastAsia"/>
                <w:color w:val="auto"/>
                <w:highlight w:val="none"/>
                <w:vertAlign w:val="superscript"/>
                <w:lang w:val="en-US" w:eastAsia="zh-CN"/>
              </w:rPr>
              <w:t>3</w:t>
            </w:r>
            <w:r>
              <w:rPr>
                <w:rFonts w:hint="default"/>
                <w:color w:val="auto"/>
                <w:highlight w:val="none"/>
                <w:lang w:val="zh-CN"/>
              </w:rPr>
              <w:t>的要求。</w:t>
            </w:r>
          </w:p>
          <w:p w14:paraId="34CC3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b/>
                <w:bCs/>
                <w:color w:val="auto"/>
                <w:highlight w:val="none"/>
                <w:lang w:val="en-US" w:eastAsia="zh-CN"/>
              </w:rPr>
            </w:pPr>
            <w:r>
              <w:rPr>
                <w:rFonts w:hint="eastAsia"/>
                <w:b/>
                <w:bCs/>
                <w:color w:val="auto"/>
                <w:highlight w:val="none"/>
                <w:lang w:val="en-US" w:eastAsia="zh-CN"/>
              </w:rPr>
              <w:t>1.2.4无组织废气</w:t>
            </w:r>
          </w:p>
          <w:p w14:paraId="590ABD38">
            <w:pPr>
              <w:bidi w:val="0"/>
              <w:rPr>
                <w:rFonts w:hint="default"/>
                <w:color w:val="auto"/>
                <w:sz w:val="24"/>
                <w:szCs w:val="24"/>
                <w:highlight w:val="none"/>
                <w:vertAlign w:val="baseline"/>
                <w:lang w:val="en-US" w:eastAsia="zh-CN"/>
              </w:rPr>
            </w:pPr>
            <w:r>
              <w:rPr>
                <w:rFonts w:hint="eastAsia"/>
                <w:color w:val="auto"/>
                <w:lang w:val="en-US" w:eastAsia="zh-CN"/>
              </w:rPr>
              <w:t>本项目无组织废气主要为生产过程集气设施未捕集废气，未捕集废气于车间内无组织排放，综合1.2.1-1.2.2分析，颗粒物无组织排放量为0.130t/a，无组织最大排放速率为0.434kg/h，非甲烷总烃无组织排放量为0.091t/a，无组织排放速率为0.046kg/h，甲苯与二甲苯合计无组织排放量为0.061t/a，无组织排放速率为0.031kg/h。</w:t>
            </w:r>
            <w:r>
              <w:rPr>
                <w:rFonts w:ascii="Times New Roman" w:hAnsi="Times New Roman"/>
                <w:color w:val="auto"/>
                <w:sz w:val="24"/>
                <w:szCs w:val="24"/>
                <w:highlight w:val="none"/>
              </w:rPr>
              <w:t>经AERSCREEN预测</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颗粒物最大落地浓度为</w:t>
            </w:r>
            <w:r>
              <w:rPr>
                <w:rFonts w:hint="eastAsia"/>
                <w:color w:val="auto"/>
                <w:sz w:val="24"/>
                <w:szCs w:val="24"/>
                <w:highlight w:val="none"/>
                <w:lang w:val="en-US" w:eastAsia="zh-CN"/>
              </w:rPr>
              <w:t>0.122</w:t>
            </w:r>
            <w:r>
              <w:rPr>
                <w:rFonts w:hint="eastAsia" w:ascii="Times New Roman" w:hAnsi="Times New Roman"/>
                <w:color w:val="auto"/>
                <w:sz w:val="24"/>
                <w:szCs w:val="24"/>
                <w:highlight w:val="none"/>
                <w:lang w:val="en-US" w:eastAsia="zh-CN"/>
              </w:rPr>
              <w:t>mg/m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lang w:val="en-US" w:eastAsia="zh-CN"/>
              </w:rPr>
              <w:t>，满足</w:t>
            </w:r>
            <w:r>
              <w:rPr>
                <w:rFonts w:hint="eastAsia" w:ascii="Times New Roman" w:eastAsia="宋体"/>
                <w:color w:val="auto"/>
                <w:sz w:val="24"/>
                <w:szCs w:val="24"/>
                <w:highlight w:val="none"/>
                <w:lang w:val="en-US" w:eastAsia="zh-CN"/>
              </w:rPr>
              <w:t>《钢铁工业大气污染物超低排放标准》（DB13/2169-2018）表5中厂界颗粒物浓度限值1.0mg/m</w:t>
            </w:r>
            <w:r>
              <w:rPr>
                <w:rFonts w:hint="eastAsia" w:ascii="Times New Roman" w:eastAsia="宋体"/>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及</w:t>
            </w:r>
            <w:r>
              <w:rPr>
                <w:rFonts w:hint="eastAsia"/>
                <w:color w:val="auto"/>
                <w:highlight w:val="none"/>
                <w:lang w:val="en-US" w:eastAsia="zh-CN"/>
              </w:rPr>
              <w:t>表5中有厂房车间颗粒物排放限值8mg/m</w:t>
            </w:r>
            <w:r>
              <w:rPr>
                <w:rFonts w:hint="eastAsia"/>
                <w:color w:val="auto"/>
                <w:highlight w:val="none"/>
                <w:vertAlign w:val="superscript"/>
                <w:lang w:val="en-US" w:eastAsia="zh-CN"/>
              </w:rPr>
              <w:t>3</w:t>
            </w:r>
            <w:r>
              <w:rPr>
                <w:rFonts w:hint="eastAsia"/>
                <w:color w:val="auto"/>
                <w:highlight w:val="none"/>
                <w:vertAlign w:val="baseline"/>
                <w:lang w:val="en-US" w:eastAsia="zh-CN"/>
              </w:rPr>
              <w:t>的要求</w:t>
            </w:r>
            <w:r>
              <w:rPr>
                <w:rFonts w:hint="default"/>
                <w:color w:val="auto"/>
                <w:sz w:val="24"/>
                <w:szCs w:val="24"/>
                <w:highlight w:val="none"/>
              </w:rPr>
              <w:t>：</w:t>
            </w:r>
            <w:r>
              <w:rPr>
                <w:rFonts w:hint="eastAsia" w:ascii="Times New Roman" w:hAnsi="Times New Roman"/>
                <w:color w:val="auto"/>
                <w:sz w:val="24"/>
                <w:szCs w:val="24"/>
                <w:highlight w:val="none"/>
                <w:lang w:val="en-US" w:eastAsia="zh-CN"/>
              </w:rPr>
              <w:t>非甲烷总烃最大落地浓度为</w:t>
            </w:r>
            <w:r>
              <w:rPr>
                <w:rFonts w:hint="eastAsia"/>
                <w:color w:val="auto"/>
                <w:sz w:val="24"/>
                <w:szCs w:val="24"/>
                <w:highlight w:val="none"/>
                <w:lang w:val="en-US" w:eastAsia="zh-CN"/>
              </w:rPr>
              <w:t>0.0129</w:t>
            </w:r>
            <w:r>
              <w:rPr>
                <w:rFonts w:hint="eastAsia" w:ascii="Times New Roman" w:hAnsi="Times New Roman"/>
                <w:color w:val="auto"/>
                <w:sz w:val="24"/>
                <w:szCs w:val="24"/>
                <w:highlight w:val="none"/>
                <w:lang w:val="en-US" w:eastAsia="zh-CN"/>
              </w:rPr>
              <w:t>mg/m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lang w:val="en-US" w:eastAsia="zh-CN"/>
              </w:rPr>
              <w:t>，甲苯与二甲苯合计最大落地浓度为</w:t>
            </w:r>
            <w:r>
              <w:rPr>
                <w:rFonts w:hint="eastAsia"/>
                <w:color w:val="auto"/>
                <w:sz w:val="24"/>
                <w:szCs w:val="24"/>
                <w:highlight w:val="none"/>
                <w:lang w:val="en-US" w:eastAsia="zh-CN"/>
              </w:rPr>
              <w:t>0.00872</w:t>
            </w:r>
            <w:r>
              <w:rPr>
                <w:rFonts w:hint="eastAsia" w:ascii="Times New Roman" w:hAnsi="Times New Roman"/>
                <w:color w:val="auto"/>
                <w:sz w:val="24"/>
                <w:szCs w:val="24"/>
                <w:highlight w:val="none"/>
                <w:lang w:val="en-US" w:eastAsia="zh-CN"/>
              </w:rPr>
              <w:t>mg/m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lang w:val="en-US" w:eastAsia="zh-CN"/>
              </w:rPr>
              <w:t>，满足</w:t>
            </w:r>
            <w:r>
              <w:rPr>
                <w:color w:val="auto"/>
                <w:sz w:val="24"/>
                <w:szCs w:val="24"/>
                <w:highlight w:val="none"/>
              </w:rPr>
              <w:t>《工业企业挥发性有机物排放控制标准》（DB13/2322-2016）</w:t>
            </w:r>
            <w:r>
              <w:rPr>
                <w:rFonts w:hint="eastAsia"/>
                <w:color w:val="auto"/>
                <w:sz w:val="24"/>
                <w:szCs w:val="24"/>
                <w:highlight w:val="none"/>
              </w:rPr>
              <w:t>表</w:t>
            </w:r>
            <w:r>
              <w:rPr>
                <w:color w:val="auto"/>
                <w:sz w:val="24"/>
                <w:szCs w:val="24"/>
                <w:highlight w:val="none"/>
              </w:rPr>
              <w:t>2</w:t>
            </w:r>
            <w:r>
              <w:rPr>
                <w:rFonts w:hint="eastAsia"/>
                <w:color w:val="auto"/>
                <w:sz w:val="24"/>
                <w:szCs w:val="24"/>
                <w:highlight w:val="none"/>
              </w:rPr>
              <w:t>企业边界大气污染物浓度限值中其他企业：非甲烷总烃</w:t>
            </w:r>
            <w:r>
              <w:rPr>
                <w:color w:val="auto"/>
                <w:sz w:val="24"/>
                <w:szCs w:val="24"/>
                <w:highlight w:val="none"/>
              </w:rPr>
              <w:t>2.0mg/m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甲苯0.6</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二甲苯0.2</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highlight w:val="none"/>
                <w:lang w:val="en-US" w:eastAsia="zh-CN"/>
              </w:rPr>
              <w:t>表3生产车间或生产设备边界</w:t>
            </w:r>
            <w:r>
              <w:rPr>
                <w:rFonts w:hint="eastAsia"/>
                <w:color w:val="auto"/>
                <w:sz w:val="24"/>
                <w:szCs w:val="24"/>
                <w:highlight w:val="none"/>
                <w:lang w:val="en-US" w:eastAsia="zh-CN"/>
              </w:rPr>
              <w:t>：</w:t>
            </w:r>
            <w:r>
              <w:rPr>
                <w:rFonts w:hint="eastAsia"/>
                <w:color w:val="auto"/>
                <w:sz w:val="24"/>
                <w:szCs w:val="24"/>
                <w:highlight w:val="none"/>
              </w:rPr>
              <w:t>非甲烷总烃</w:t>
            </w:r>
            <w:r>
              <w:rPr>
                <w:rFonts w:hint="eastAsia"/>
                <w:color w:val="auto"/>
                <w:sz w:val="24"/>
                <w:szCs w:val="24"/>
                <w:highlight w:val="none"/>
                <w:lang w:val="en-US" w:eastAsia="zh-CN"/>
              </w:rPr>
              <w:t>4</w:t>
            </w:r>
            <w:r>
              <w:rPr>
                <w:color w:val="auto"/>
                <w:sz w:val="24"/>
                <w:szCs w:val="24"/>
                <w:highlight w:val="none"/>
              </w:rPr>
              <w:t>.0mg/m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lang w:val="en-US" w:eastAsia="zh-CN"/>
              </w:rPr>
              <w:t>甲苯1.0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二甲苯1.2</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rPr>
              <w:t>的要求</w:t>
            </w:r>
            <w:r>
              <w:rPr>
                <w:rFonts w:hint="eastAsia"/>
                <w:color w:val="auto"/>
                <w:sz w:val="24"/>
                <w:szCs w:val="24"/>
                <w:highlight w:val="none"/>
                <w:vertAlign w:val="baseline"/>
                <w:lang w:eastAsia="zh-CN"/>
              </w:rPr>
              <w:t>，</w:t>
            </w:r>
            <w:r>
              <w:rPr>
                <w:rFonts w:hint="eastAsia"/>
                <w:color w:val="auto"/>
                <w:sz w:val="24"/>
                <w:szCs w:val="24"/>
                <w:highlight w:val="none"/>
                <w:lang w:val="en-US" w:eastAsia="zh-CN"/>
              </w:rPr>
              <w:t>同时满足</w:t>
            </w:r>
            <w:r>
              <w:rPr>
                <w:rFonts w:hint="eastAsia"/>
                <w:color w:val="auto"/>
                <w:sz w:val="24"/>
                <w:szCs w:val="24"/>
                <w:highlight w:val="none"/>
                <w:lang w:eastAsia="zh-CN"/>
              </w:rPr>
              <w:t>《</w:t>
            </w:r>
            <w:r>
              <w:rPr>
                <w:rFonts w:hint="eastAsia"/>
                <w:color w:val="auto"/>
                <w:sz w:val="24"/>
                <w:szCs w:val="24"/>
                <w:highlight w:val="none"/>
                <w:lang w:val="en-US" w:eastAsia="zh-CN"/>
              </w:rPr>
              <w:t>挥发性有机物无组织排放控制标准</w:t>
            </w:r>
            <w:r>
              <w:rPr>
                <w:rFonts w:hint="eastAsia"/>
                <w:color w:val="auto"/>
                <w:sz w:val="24"/>
                <w:szCs w:val="24"/>
                <w:highlight w:val="none"/>
                <w:lang w:eastAsia="zh-CN"/>
              </w:rPr>
              <w:t>》（</w:t>
            </w:r>
            <w:r>
              <w:rPr>
                <w:rFonts w:hint="eastAsia"/>
                <w:color w:val="auto"/>
                <w:sz w:val="24"/>
                <w:szCs w:val="24"/>
                <w:highlight w:val="none"/>
                <w:lang w:val="en-US" w:eastAsia="zh-CN"/>
              </w:rPr>
              <w:t>GB37822-2019</w:t>
            </w:r>
            <w:r>
              <w:rPr>
                <w:rFonts w:hint="eastAsia"/>
                <w:color w:val="auto"/>
                <w:sz w:val="24"/>
                <w:szCs w:val="24"/>
                <w:highlight w:val="none"/>
                <w:lang w:eastAsia="zh-CN"/>
              </w:rPr>
              <w:t>）</w:t>
            </w:r>
            <w:r>
              <w:rPr>
                <w:rFonts w:hint="eastAsia"/>
                <w:color w:val="auto"/>
                <w:sz w:val="24"/>
                <w:szCs w:val="24"/>
                <w:highlight w:val="none"/>
                <w:lang w:val="en-US" w:eastAsia="zh-CN"/>
              </w:rPr>
              <w:t>附录A表A.1厂区内VOCs无组织排放限值中厂房外监控点1h平均浓度限值：非甲烷总烃6mg</w:t>
            </w:r>
            <w:r>
              <w:rPr>
                <w:rFonts w:hint="default"/>
                <w:color w:val="auto"/>
                <w:sz w:val="24"/>
                <w:szCs w:val="24"/>
                <w:highlight w:val="none"/>
              </w:rPr>
              <w:t>/m</w:t>
            </w:r>
            <w:r>
              <w:rPr>
                <w:rFonts w:hint="default"/>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任意一次浓度限值：非甲烷总烃20mg</w:t>
            </w:r>
            <w:r>
              <w:rPr>
                <w:rFonts w:hint="default"/>
                <w:color w:val="auto"/>
                <w:sz w:val="24"/>
                <w:szCs w:val="24"/>
                <w:highlight w:val="none"/>
              </w:rPr>
              <w:t>/m</w:t>
            </w:r>
            <w:r>
              <w:rPr>
                <w:rFonts w:hint="default"/>
                <w:color w:val="auto"/>
                <w:sz w:val="24"/>
                <w:szCs w:val="24"/>
                <w:highlight w:val="none"/>
                <w:vertAlign w:val="superscript"/>
              </w:rPr>
              <w:t>3</w:t>
            </w:r>
            <w:r>
              <w:rPr>
                <w:rFonts w:hint="eastAsia"/>
                <w:color w:val="auto"/>
                <w:sz w:val="24"/>
                <w:szCs w:val="24"/>
                <w:highlight w:val="none"/>
                <w:vertAlign w:val="baseline"/>
                <w:lang w:val="en-US" w:eastAsia="zh-CN"/>
              </w:rPr>
              <w:t>的要求。</w:t>
            </w:r>
          </w:p>
          <w:p w14:paraId="1C3F76C6">
            <w:pPr>
              <w:bidi w:val="0"/>
              <w:rPr>
                <w:rFonts w:hint="eastAsia"/>
                <w:color w:val="auto"/>
                <w:lang w:val="en-US" w:eastAsia="zh-CN"/>
              </w:rPr>
            </w:pPr>
            <w:r>
              <w:rPr>
                <w:rFonts w:hint="eastAsia"/>
                <w:color w:val="auto"/>
                <w:lang w:val="en-US" w:eastAsia="zh-CN"/>
              </w:rPr>
              <w:t>综上，本项目污染物排放情况见下表。</w:t>
            </w:r>
          </w:p>
          <w:p w14:paraId="59CC1B1D">
            <w:pPr>
              <w:pStyle w:val="33"/>
              <w:bidi w:val="0"/>
              <w:rPr>
                <w:rFonts w:hint="eastAsia"/>
                <w:color w:val="auto"/>
                <w:lang w:val="en-US" w:eastAsia="zh-CN"/>
              </w:rPr>
            </w:pPr>
            <w:r>
              <w:rPr>
                <w:rFonts w:hint="eastAsia"/>
                <w:color w:val="auto"/>
              </w:rPr>
              <w:t>表</w:t>
            </w:r>
            <w:r>
              <w:rPr>
                <w:rFonts w:hint="eastAsia"/>
                <w:color w:val="auto"/>
                <w:lang w:val="en-US" w:eastAsia="zh-CN"/>
              </w:rPr>
              <w:t xml:space="preserve">43 </w:t>
            </w:r>
            <w:r>
              <w:rPr>
                <w:rFonts w:hint="eastAsia"/>
                <w:color w:val="auto"/>
              </w:rPr>
              <w:t xml:space="preserve"> </w:t>
            </w:r>
            <w:r>
              <w:rPr>
                <w:rFonts w:hint="eastAsia"/>
                <w:color w:val="auto"/>
                <w:lang w:val="en-US" w:eastAsia="zh-CN"/>
              </w:rPr>
              <w:t>本项目污染物排放情况一览表</w:t>
            </w:r>
          </w:p>
          <w:tbl>
            <w:tblPr>
              <w:tblStyle w:val="25"/>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084"/>
              <w:gridCol w:w="943"/>
              <w:gridCol w:w="1191"/>
              <w:gridCol w:w="951"/>
              <w:gridCol w:w="1222"/>
              <w:gridCol w:w="1261"/>
            </w:tblGrid>
            <w:tr w14:paraId="7E3D3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822" w:type="dxa"/>
                  <w:gridSpan w:val="2"/>
                  <w:vMerge w:val="restart"/>
                  <w:tcBorders>
                    <w:tl2br w:val="nil"/>
                    <w:tr2bl w:val="nil"/>
                  </w:tcBorders>
                  <w:noWrap w:val="0"/>
                  <w:vAlign w:val="center"/>
                </w:tcPr>
                <w:p w14:paraId="68129AA1">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污染物</w:t>
                  </w:r>
                </w:p>
              </w:tc>
              <w:tc>
                <w:tcPr>
                  <w:tcW w:w="2134" w:type="dxa"/>
                  <w:gridSpan w:val="2"/>
                  <w:tcBorders>
                    <w:tl2br w:val="nil"/>
                    <w:tr2bl w:val="nil"/>
                  </w:tcBorders>
                  <w:noWrap w:val="0"/>
                  <w:vAlign w:val="center"/>
                </w:tcPr>
                <w:p w14:paraId="5738706F">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有组织</w:t>
                  </w:r>
                </w:p>
              </w:tc>
              <w:tc>
                <w:tcPr>
                  <w:tcW w:w="2173" w:type="dxa"/>
                  <w:gridSpan w:val="2"/>
                  <w:tcBorders>
                    <w:tl2br w:val="nil"/>
                    <w:tr2bl w:val="nil"/>
                  </w:tcBorders>
                  <w:noWrap w:val="0"/>
                  <w:vAlign w:val="center"/>
                </w:tcPr>
                <w:p w14:paraId="590CBCE0">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rFonts w:hint="eastAsia"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无组织</w:t>
                  </w:r>
                </w:p>
              </w:tc>
              <w:tc>
                <w:tcPr>
                  <w:tcW w:w="1261" w:type="dxa"/>
                  <w:vMerge w:val="restart"/>
                  <w:tcBorders>
                    <w:tl2br w:val="nil"/>
                    <w:tr2bl w:val="nil"/>
                  </w:tcBorders>
                  <w:noWrap w:val="0"/>
                  <w:vAlign w:val="center"/>
                </w:tcPr>
                <w:p w14:paraId="3FE8EA89">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合计排放量</w:t>
                  </w:r>
                  <w:r>
                    <w:rPr>
                      <w:rFonts w:hint="eastAsia" w:cs="Times New Roman"/>
                      <w:b w:val="0"/>
                      <w:bCs w:val="0"/>
                      <w:smallCaps w:val="0"/>
                      <w:color w:val="auto"/>
                      <w:spacing w:val="0"/>
                      <w:position w:val="0"/>
                      <w:sz w:val="21"/>
                      <w:szCs w:val="21"/>
                      <w:highlight w:val="none"/>
                      <w:vertAlign w:val="baseline"/>
                      <w:lang w:val="en-US" w:eastAsia="zh-CN"/>
                    </w:rPr>
                    <w:t>（t/a）</w:t>
                  </w:r>
                </w:p>
              </w:tc>
            </w:tr>
            <w:tr w14:paraId="3A68E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22" w:type="dxa"/>
                  <w:gridSpan w:val="2"/>
                  <w:vMerge w:val="continue"/>
                  <w:tcBorders>
                    <w:tl2br w:val="nil"/>
                    <w:tr2bl w:val="nil"/>
                  </w:tcBorders>
                  <w:noWrap w:val="0"/>
                  <w:vAlign w:val="center"/>
                </w:tcPr>
                <w:p w14:paraId="40FB6285">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color w:val="auto"/>
                      <w:highlight w:val="none"/>
                    </w:rPr>
                  </w:pPr>
                </w:p>
              </w:tc>
              <w:tc>
                <w:tcPr>
                  <w:tcW w:w="943" w:type="dxa"/>
                  <w:tcBorders>
                    <w:tl2br w:val="nil"/>
                    <w:tr2bl w:val="nil"/>
                  </w:tcBorders>
                  <w:noWrap w:val="0"/>
                  <w:vAlign w:val="center"/>
                </w:tcPr>
                <w:p w14:paraId="411EF296">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rFonts w:hint="eastAsia"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排放量</w:t>
                  </w:r>
                  <w:r>
                    <w:rPr>
                      <w:rFonts w:hint="eastAsia" w:cs="Times New Roman"/>
                      <w:b w:val="0"/>
                      <w:bCs w:val="0"/>
                      <w:smallCaps w:val="0"/>
                      <w:color w:val="auto"/>
                      <w:spacing w:val="0"/>
                      <w:position w:val="0"/>
                      <w:sz w:val="21"/>
                      <w:szCs w:val="21"/>
                      <w:highlight w:val="none"/>
                      <w:vertAlign w:val="baseline"/>
                      <w:lang w:val="en-US" w:eastAsia="zh-CN"/>
                    </w:rPr>
                    <w:t>（t/a）</w:t>
                  </w:r>
                </w:p>
              </w:tc>
              <w:tc>
                <w:tcPr>
                  <w:tcW w:w="1191" w:type="dxa"/>
                  <w:tcBorders>
                    <w:tl2br w:val="nil"/>
                    <w:tr2bl w:val="nil"/>
                  </w:tcBorders>
                  <w:noWrap w:val="0"/>
                  <w:vAlign w:val="center"/>
                </w:tcPr>
                <w:p w14:paraId="6ABB82DB">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rFonts w:hint="eastAsia"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最大</w:t>
                  </w: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排放速率（kg/h）</w:t>
                  </w:r>
                </w:p>
              </w:tc>
              <w:tc>
                <w:tcPr>
                  <w:tcW w:w="951" w:type="dxa"/>
                  <w:tcBorders>
                    <w:tl2br w:val="nil"/>
                    <w:tr2bl w:val="nil"/>
                  </w:tcBorders>
                  <w:noWrap w:val="0"/>
                  <w:vAlign w:val="center"/>
                </w:tcPr>
                <w:p w14:paraId="10221BF8">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rFonts w:hint="eastAsia"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排放量</w:t>
                  </w:r>
                  <w:r>
                    <w:rPr>
                      <w:rFonts w:hint="eastAsia" w:cs="Times New Roman"/>
                      <w:b w:val="0"/>
                      <w:bCs w:val="0"/>
                      <w:smallCaps w:val="0"/>
                      <w:color w:val="auto"/>
                      <w:spacing w:val="0"/>
                      <w:position w:val="0"/>
                      <w:sz w:val="21"/>
                      <w:szCs w:val="21"/>
                      <w:highlight w:val="none"/>
                      <w:vertAlign w:val="baseline"/>
                      <w:lang w:val="en-US" w:eastAsia="zh-CN"/>
                    </w:rPr>
                    <w:t>（t/a）</w:t>
                  </w:r>
                </w:p>
              </w:tc>
              <w:tc>
                <w:tcPr>
                  <w:tcW w:w="1222" w:type="dxa"/>
                  <w:tcBorders>
                    <w:tl2br w:val="nil"/>
                    <w:tr2bl w:val="nil"/>
                  </w:tcBorders>
                  <w:noWrap w:val="0"/>
                  <w:vAlign w:val="center"/>
                </w:tcPr>
                <w:p w14:paraId="76C34250">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rFonts w:hint="eastAsia"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最大排放速率（kg/h）</w:t>
                  </w:r>
                </w:p>
              </w:tc>
              <w:tc>
                <w:tcPr>
                  <w:tcW w:w="1261" w:type="dxa"/>
                  <w:vMerge w:val="continue"/>
                  <w:tcBorders>
                    <w:tl2br w:val="nil"/>
                    <w:tr2bl w:val="nil"/>
                  </w:tcBorders>
                  <w:noWrap w:val="0"/>
                  <w:vAlign w:val="center"/>
                </w:tcPr>
                <w:p w14:paraId="07FBEF2C">
                  <w:pPr>
                    <w:keepNext w:val="0"/>
                    <w:keepLines w:val="0"/>
                    <w:pageBreakBefore w:val="0"/>
                    <w:widowControl w:val="0"/>
                    <w:kinsoku/>
                    <w:wordWrap/>
                    <w:overflowPunct/>
                    <w:topLinePunct w:val="0"/>
                    <w:autoSpaceDE/>
                    <w:autoSpaceDN/>
                    <w:bidi w:val="0"/>
                    <w:adjustRightInd/>
                    <w:snapToGrid/>
                    <w:spacing w:line="0" w:lineRule="atLeast"/>
                    <w:ind w:left="-48" w:leftChars="-20" w:right="-48" w:rightChars="-20" w:firstLine="0" w:firstLineChars="0"/>
                    <w:jc w:val="center"/>
                    <w:textAlignment w:val="auto"/>
                    <w:outlineLvl w:val="9"/>
                    <w:rPr>
                      <w:rFonts w:hint="eastAsia" w:ascii="Times New Roman" w:hAnsi="Times New Roman" w:cs="Times New Roman"/>
                      <w:b w:val="0"/>
                      <w:bCs w:val="0"/>
                      <w:smallCaps w:val="0"/>
                      <w:color w:val="auto"/>
                      <w:spacing w:val="0"/>
                      <w:position w:val="0"/>
                      <w:sz w:val="21"/>
                      <w:szCs w:val="21"/>
                      <w:highlight w:val="none"/>
                      <w:vertAlign w:val="baseline"/>
                      <w:lang w:val="en-US" w:eastAsia="zh-CN"/>
                    </w:rPr>
                  </w:pPr>
                </w:p>
              </w:tc>
            </w:tr>
            <w:tr w14:paraId="03B65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38" w:type="dxa"/>
                  <w:vMerge w:val="restart"/>
                  <w:tcBorders>
                    <w:tl2br w:val="nil"/>
                    <w:tr2bl w:val="nil"/>
                  </w:tcBorders>
                  <w:noWrap w:val="0"/>
                  <w:vAlign w:val="center"/>
                </w:tcPr>
                <w:p w14:paraId="5AC74FB2">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eastAsiaTheme="minorEastAsia"/>
                      <w:snapToGrid w:val="0"/>
                      <w:color w:val="auto"/>
                      <w:kern w:val="21"/>
                      <w:sz w:val="21"/>
                      <w:szCs w:val="21"/>
                      <w:highlight w:val="none"/>
                      <w:lang w:val="en-US" w:eastAsia="zh-CN"/>
                    </w:rPr>
                    <w:t>颗粒物</w:t>
                  </w:r>
                </w:p>
              </w:tc>
              <w:tc>
                <w:tcPr>
                  <w:tcW w:w="2084" w:type="dxa"/>
                  <w:tcBorders>
                    <w:tl2br w:val="nil"/>
                    <w:tr2bl w:val="nil"/>
                  </w:tcBorders>
                  <w:noWrap w:val="0"/>
                  <w:vAlign w:val="center"/>
                </w:tcPr>
                <w:p w14:paraId="2C81524F">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cs="Times New Roman" w:eastAsiaTheme="minorEastAsia"/>
                      <w:snapToGrid w:val="0"/>
                      <w:color w:val="auto"/>
                      <w:kern w:val="21"/>
                      <w:sz w:val="21"/>
                      <w:szCs w:val="21"/>
                      <w:highlight w:val="none"/>
                      <w:lang w:val="en-US" w:eastAsia="zh-CN"/>
                    </w:rPr>
                  </w:pPr>
                  <w:r>
                    <w:rPr>
                      <w:rFonts w:hint="eastAsia" w:cs="Times New Roman" w:eastAsiaTheme="minorEastAsia"/>
                      <w:snapToGrid w:val="0"/>
                      <w:color w:val="auto"/>
                      <w:kern w:val="21"/>
                      <w:sz w:val="21"/>
                      <w:szCs w:val="21"/>
                      <w:highlight w:val="none"/>
                      <w:lang w:val="en-US" w:eastAsia="zh-CN"/>
                    </w:rPr>
                    <w:t>打磨过程</w:t>
                  </w:r>
                </w:p>
              </w:tc>
              <w:tc>
                <w:tcPr>
                  <w:tcW w:w="943" w:type="dxa"/>
                  <w:tcBorders>
                    <w:tl2br w:val="nil"/>
                    <w:tr2bl w:val="nil"/>
                  </w:tcBorders>
                  <w:noWrap w:val="0"/>
                  <w:vAlign w:val="center"/>
                </w:tcPr>
                <w:p w14:paraId="7CD2F920">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center"/>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0.083</w:t>
                  </w:r>
                </w:p>
              </w:tc>
              <w:tc>
                <w:tcPr>
                  <w:tcW w:w="1191" w:type="dxa"/>
                  <w:tcBorders>
                    <w:tl2br w:val="nil"/>
                    <w:tr2bl w:val="nil"/>
                  </w:tcBorders>
                  <w:noWrap w:val="0"/>
                  <w:vAlign w:val="center"/>
                </w:tcPr>
                <w:p w14:paraId="58738A43">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0.042</w:t>
                  </w:r>
                </w:p>
              </w:tc>
              <w:tc>
                <w:tcPr>
                  <w:tcW w:w="951" w:type="dxa"/>
                  <w:tcBorders>
                    <w:tl2br w:val="nil"/>
                    <w:tr2bl w:val="nil"/>
                  </w:tcBorders>
                  <w:noWrap w:val="0"/>
                  <w:vAlign w:val="center"/>
                </w:tcPr>
                <w:p w14:paraId="1B16D78E">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cs="Times New Roman"/>
                      <w:snapToGrid w:val="0"/>
                      <w:color w:val="auto"/>
                      <w:kern w:val="21"/>
                      <w:sz w:val="21"/>
                      <w:szCs w:val="21"/>
                      <w:highlight w:val="none"/>
                      <w:lang w:val="en-US" w:eastAsia="zh-CN"/>
                    </w:rPr>
                  </w:pPr>
                  <w:r>
                    <w:rPr>
                      <w:rFonts w:hint="eastAsia" w:eastAsia="宋体"/>
                      <w:color w:val="auto"/>
                      <w:sz w:val="21"/>
                      <w:szCs w:val="21"/>
                      <w:highlight w:val="none"/>
                      <w:lang w:val="en-US" w:eastAsia="zh-CN"/>
                    </w:rPr>
                    <w:t>0.044</w:t>
                  </w:r>
                </w:p>
              </w:tc>
              <w:tc>
                <w:tcPr>
                  <w:tcW w:w="1222" w:type="dxa"/>
                  <w:tcBorders>
                    <w:tl2br w:val="nil"/>
                    <w:tr2bl w:val="nil"/>
                  </w:tcBorders>
                  <w:noWrap w:val="0"/>
                  <w:vAlign w:val="center"/>
                </w:tcPr>
                <w:p w14:paraId="299C26F1">
                  <w:pPr>
                    <w:keepNext w:val="0"/>
                    <w:keepLines w:val="0"/>
                    <w:pageBreakBefore w:val="0"/>
                    <w:widowControl w:val="0"/>
                    <w:kinsoku/>
                    <w:wordWrap/>
                    <w:overflowPunct/>
                    <w:topLinePunct w:val="0"/>
                    <w:autoSpaceDE w:val="0"/>
                    <w:autoSpaceDN w:val="0"/>
                    <w:bidi w:val="0"/>
                    <w:adjustRightInd w:val="0"/>
                    <w:snapToGrid w:val="0"/>
                    <w:spacing w:line="240" w:lineRule="auto"/>
                    <w:ind w:left="-48" w:leftChars="-20" w:right="-48" w:rightChars="-20" w:firstLine="0" w:firstLineChars="0"/>
                    <w:jc w:val="center"/>
                    <w:textAlignment w:val="auto"/>
                    <w:rPr>
                      <w:rFonts w:hint="default" w:cs="Times New Roman"/>
                      <w:snapToGrid w:val="0"/>
                      <w:color w:val="auto"/>
                      <w:kern w:val="21"/>
                      <w:sz w:val="21"/>
                      <w:szCs w:val="21"/>
                      <w:highlight w:val="none"/>
                      <w:lang w:val="en-US" w:eastAsia="zh-CN"/>
                    </w:rPr>
                  </w:pPr>
                  <w:r>
                    <w:rPr>
                      <w:rFonts w:hint="eastAsia" w:eastAsia="宋体"/>
                      <w:color w:val="auto"/>
                      <w:sz w:val="21"/>
                      <w:szCs w:val="21"/>
                      <w:highlight w:val="none"/>
                      <w:lang w:val="en-US" w:eastAsia="zh-CN"/>
                    </w:rPr>
                    <w:t>0.022</w:t>
                  </w:r>
                </w:p>
              </w:tc>
              <w:tc>
                <w:tcPr>
                  <w:tcW w:w="1261" w:type="dxa"/>
                  <w:tcBorders>
                    <w:tl2br w:val="nil"/>
                    <w:tr2bl w:val="nil"/>
                  </w:tcBorders>
                  <w:noWrap w:val="0"/>
                  <w:vAlign w:val="center"/>
                </w:tcPr>
                <w:p w14:paraId="273C1F23">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0.127</w:t>
                  </w:r>
                </w:p>
              </w:tc>
            </w:tr>
            <w:tr w14:paraId="650EF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8" w:type="dxa"/>
                  <w:vMerge w:val="continue"/>
                  <w:tcBorders>
                    <w:tl2br w:val="nil"/>
                    <w:tr2bl w:val="nil"/>
                  </w:tcBorders>
                  <w:noWrap w:val="0"/>
                  <w:vAlign w:val="center"/>
                </w:tcPr>
                <w:p w14:paraId="423670B2">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cs="Times New Roman" w:eastAsiaTheme="minorEastAsia"/>
                      <w:snapToGrid w:val="0"/>
                      <w:color w:val="auto"/>
                      <w:kern w:val="21"/>
                      <w:sz w:val="21"/>
                      <w:szCs w:val="21"/>
                      <w:highlight w:val="none"/>
                      <w:lang w:val="en-US" w:eastAsia="zh-CN"/>
                    </w:rPr>
                  </w:pPr>
                </w:p>
              </w:tc>
              <w:tc>
                <w:tcPr>
                  <w:tcW w:w="2084" w:type="dxa"/>
                  <w:tcBorders>
                    <w:tl2br w:val="nil"/>
                    <w:tr2bl w:val="nil"/>
                  </w:tcBorders>
                  <w:noWrap w:val="0"/>
                  <w:vAlign w:val="center"/>
                </w:tcPr>
                <w:p w14:paraId="29CAD190">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cs="Times New Roman" w:eastAsiaTheme="minorEastAsia"/>
                      <w:snapToGrid w:val="0"/>
                      <w:color w:val="auto"/>
                      <w:kern w:val="21"/>
                      <w:sz w:val="21"/>
                      <w:szCs w:val="21"/>
                      <w:highlight w:val="none"/>
                      <w:lang w:val="en-US" w:eastAsia="zh-CN"/>
                    </w:rPr>
                  </w:pPr>
                  <w:r>
                    <w:rPr>
                      <w:rFonts w:hint="eastAsia" w:ascii="Times New Roman" w:hAnsi="Times New Roman" w:cs="Times New Roman" w:eastAsiaTheme="minorEastAsia"/>
                      <w:snapToGrid w:val="0"/>
                      <w:color w:val="auto"/>
                      <w:kern w:val="21"/>
                      <w:sz w:val="21"/>
                      <w:szCs w:val="21"/>
                      <w:highlight w:val="none"/>
                      <w:lang w:val="en-US" w:eastAsia="zh-CN"/>
                    </w:rPr>
                    <w:t>调漆、喷漆、烘干/晾干、刮腻子、腻子打磨、除油、漆料及危废储存</w:t>
                  </w:r>
                  <w:r>
                    <w:rPr>
                      <w:rFonts w:hint="eastAsia" w:cs="Times New Roman" w:eastAsiaTheme="minorEastAsia"/>
                      <w:snapToGrid w:val="0"/>
                      <w:color w:val="auto"/>
                      <w:kern w:val="21"/>
                      <w:sz w:val="21"/>
                      <w:szCs w:val="21"/>
                      <w:highlight w:val="none"/>
                      <w:lang w:val="en-US" w:eastAsia="zh-CN"/>
                    </w:rPr>
                    <w:t>过程</w:t>
                  </w:r>
                </w:p>
              </w:tc>
              <w:tc>
                <w:tcPr>
                  <w:tcW w:w="943" w:type="dxa"/>
                  <w:tcBorders>
                    <w:tl2br w:val="nil"/>
                    <w:tr2bl w:val="nil"/>
                  </w:tcBorders>
                  <w:noWrap w:val="0"/>
                  <w:vAlign w:val="center"/>
                </w:tcPr>
                <w:p w14:paraId="252C134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eastAsiaTheme="minorEastAsia"/>
                      <w:b w:val="0"/>
                      <w:bCs w:val="0"/>
                      <w:snapToGrid w:val="0"/>
                      <w:color w:val="auto"/>
                      <w:kern w:val="21"/>
                      <w:sz w:val="21"/>
                      <w:szCs w:val="21"/>
                      <w:highlight w:val="none"/>
                      <w:lang w:val="en-US" w:eastAsia="zh-CN"/>
                    </w:rPr>
                  </w:pPr>
                  <w:r>
                    <w:rPr>
                      <w:rFonts w:hint="eastAsia" w:eastAsia="宋体"/>
                      <w:b w:val="0"/>
                      <w:bCs w:val="0"/>
                      <w:color w:val="auto"/>
                      <w:sz w:val="21"/>
                      <w:szCs w:val="21"/>
                      <w:highlight w:val="none"/>
                      <w:lang w:val="en-US" w:eastAsia="zh-CN"/>
                    </w:rPr>
                    <w:t>0.00</w:t>
                  </w:r>
                  <w:r>
                    <w:rPr>
                      <w:rFonts w:hint="eastAsia"/>
                      <w:b w:val="0"/>
                      <w:bCs w:val="0"/>
                      <w:color w:val="auto"/>
                      <w:sz w:val="21"/>
                      <w:szCs w:val="21"/>
                      <w:highlight w:val="none"/>
                      <w:lang w:val="en-US" w:eastAsia="zh-CN"/>
                    </w:rPr>
                    <w:t>4</w:t>
                  </w:r>
                </w:p>
              </w:tc>
              <w:tc>
                <w:tcPr>
                  <w:tcW w:w="1191" w:type="dxa"/>
                  <w:tcBorders>
                    <w:tl2br w:val="nil"/>
                    <w:tr2bl w:val="nil"/>
                  </w:tcBorders>
                  <w:noWrap w:val="0"/>
                  <w:vAlign w:val="center"/>
                </w:tcPr>
                <w:p w14:paraId="0E760072">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b w:val="0"/>
                      <w:bCs w:val="0"/>
                      <w:snapToGrid w:val="0"/>
                      <w:color w:val="auto"/>
                      <w:kern w:val="21"/>
                      <w:sz w:val="21"/>
                      <w:szCs w:val="21"/>
                      <w:highlight w:val="none"/>
                      <w:lang w:val="en-US" w:eastAsia="zh-CN"/>
                    </w:rPr>
                  </w:pPr>
                  <w:r>
                    <w:rPr>
                      <w:rFonts w:hint="eastAsia" w:eastAsia="宋体"/>
                      <w:b w:val="0"/>
                      <w:bCs w:val="0"/>
                      <w:color w:val="auto"/>
                      <w:sz w:val="21"/>
                      <w:szCs w:val="21"/>
                      <w:highlight w:val="none"/>
                      <w:lang w:val="en-US" w:eastAsia="zh-CN"/>
                    </w:rPr>
                    <w:t>0.02</w:t>
                  </w:r>
                  <w:r>
                    <w:rPr>
                      <w:rFonts w:hint="eastAsia"/>
                      <w:b w:val="0"/>
                      <w:bCs w:val="0"/>
                      <w:color w:val="auto"/>
                      <w:sz w:val="21"/>
                      <w:szCs w:val="21"/>
                      <w:highlight w:val="none"/>
                      <w:lang w:val="en-US" w:eastAsia="zh-CN"/>
                    </w:rPr>
                    <w:t>1</w:t>
                  </w:r>
                </w:p>
              </w:tc>
              <w:tc>
                <w:tcPr>
                  <w:tcW w:w="951" w:type="dxa"/>
                  <w:tcBorders>
                    <w:tl2br w:val="nil"/>
                    <w:tr2bl w:val="nil"/>
                  </w:tcBorders>
                  <w:noWrap w:val="0"/>
                  <w:vAlign w:val="center"/>
                </w:tcPr>
                <w:p w14:paraId="277E3AFC">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b w:val="0"/>
                      <w:bCs w:val="0"/>
                      <w:snapToGrid w:val="0"/>
                      <w:color w:val="auto"/>
                      <w:kern w:val="21"/>
                      <w:sz w:val="21"/>
                      <w:szCs w:val="21"/>
                      <w:highlight w:val="none"/>
                      <w:lang w:val="en-US" w:eastAsia="zh-CN"/>
                    </w:rPr>
                  </w:pPr>
                  <w:r>
                    <w:rPr>
                      <w:rFonts w:hint="eastAsia" w:eastAsia="宋体"/>
                      <w:b w:val="0"/>
                      <w:bCs w:val="0"/>
                      <w:color w:val="auto"/>
                      <w:sz w:val="21"/>
                      <w:szCs w:val="21"/>
                      <w:highlight w:val="none"/>
                      <w:lang w:val="en-US" w:eastAsia="zh-CN"/>
                    </w:rPr>
                    <w:t>0.08</w:t>
                  </w:r>
                  <w:r>
                    <w:rPr>
                      <w:rFonts w:hint="eastAsia"/>
                      <w:b w:val="0"/>
                      <w:bCs w:val="0"/>
                      <w:color w:val="auto"/>
                      <w:sz w:val="21"/>
                      <w:szCs w:val="21"/>
                      <w:highlight w:val="none"/>
                      <w:lang w:val="en-US" w:eastAsia="zh-CN"/>
                    </w:rPr>
                    <w:t>6</w:t>
                  </w:r>
                </w:p>
              </w:tc>
              <w:tc>
                <w:tcPr>
                  <w:tcW w:w="1222" w:type="dxa"/>
                  <w:tcBorders>
                    <w:tl2br w:val="nil"/>
                    <w:tr2bl w:val="nil"/>
                  </w:tcBorders>
                  <w:noWrap w:val="0"/>
                  <w:vAlign w:val="center"/>
                </w:tcPr>
                <w:p w14:paraId="6A2F67CD">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b w:val="0"/>
                      <w:bCs w:val="0"/>
                      <w:snapToGrid w:val="0"/>
                      <w:color w:val="auto"/>
                      <w:kern w:val="21"/>
                      <w:sz w:val="21"/>
                      <w:szCs w:val="21"/>
                      <w:highlight w:val="none"/>
                      <w:lang w:val="en-US" w:eastAsia="zh-CN"/>
                    </w:rPr>
                  </w:pPr>
                  <w:r>
                    <w:rPr>
                      <w:rFonts w:hint="eastAsia"/>
                      <w:b w:val="0"/>
                      <w:bCs w:val="0"/>
                      <w:color w:val="auto"/>
                      <w:sz w:val="21"/>
                      <w:szCs w:val="21"/>
                      <w:highlight w:val="none"/>
                      <w:lang w:val="en-US" w:eastAsia="zh-CN"/>
                    </w:rPr>
                    <w:t>0.412</w:t>
                  </w:r>
                </w:p>
              </w:tc>
              <w:tc>
                <w:tcPr>
                  <w:tcW w:w="1261" w:type="dxa"/>
                  <w:tcBorders>
                    <w:tl2br w:val="nil"/>
                    <w:tr2bl w:val="nil"/>
                  </w:tcBorders>
                  <w:noWrap w:val="0"/>
                  <w:vAlign w:val="center"/>
                </w:tcPr>
                <w:p w14:paraId="3BA096F0">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0.09</w:t>
                  </w:r>
                  <w:r>
                    <w:rPr>
                      <w:rFonts w:hint="eastAsia" w:cs="Times New Roman"/>
                      <w:snapToGrid w:val="0"/>
                      <w:color w:val="auto"/>
                      <w:kern w:val="21"/>
                      <w:sz w:val="21"/>
                      <w:szCs w:val="21"/>
                      <w:highlight w:val="none"/>
                      <w:lang w:val="en-US" w:eastAsia="zh-CN"/>
                    </w:rPr>
                    <w:t>0</w:t>
                  </w:r>
                </w:p>
              </w:tc>
            </w:tr>
            <w:tr w14:paraId="0BB16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38" w:type="dxa"/>
                  <w:vMerge w:val="continue"/>
                  <w:tcBorders>
                    <w:tl2br w:val="nil"/>
                    <w:tr2bl w:val="nil"/>
                  </w:tcBorders>
                  <w:noWrap w:val="0"/>
                  <w:vAlign w:val="center"/>
                </w:tcPr>
                <w:p w14:paraId="29C73B55">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cs="Times New Roman" w:eastAsiaTheme="minorEastAsia"/>
                      <w:snapToGrid w:val="0"/>
                      <w:color w:val="auto"/>
                      <w:kern w:val="21"/>
                      <w:sz w:val="21"/>
                      <w:szCs w:val="21"/>
                      <w:highlight w:val="none"/>
                      <w:lang w:val="en-US" w:eastAsia="zh-CN"/>
                    </w:rPr>
                  </w:pPr>
                </w:p>
              </w:tc>
              <w:tc>
                <w:tcPr>
                  <w:tcW w:w="2084" w:type="dxa"/>
                  <w:tcBorders>
                    <w:tl2br w:val="nil"/>
                    <w:tr2bl w:val="nil"/>
                  </w:tcBorders>
                  <w:noWrap w:val="0"/>
                  <w:vAlign w:val="center"/>
                </w:tcPr>
                <w:p w14:paraId="37FA28A1">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cs="Times New Roman" w:eastAsiaTheme="minorEastAsia"/>
                      <w:b/>
                      <w:bCs/>
                      <w:snapToGrid w:val="0"/>
                      <w:color w:val="auto"/>
                      <w:kern w:val="21"/>
                      <w:sz w:val="21"/>
                      <w:szCs w:val="21"/>
                      <w:highlight w:val="none"/>
                      <w:lang w:val="en-US" w:eastAsia="zh-CN"/>
                    </w:rPr>
                  </w:pPr>
                  <w:r>
                    <w:rPr>
                      <w:rFonts w:hint="eastAsia" w:cs="Times New Roman" w:eastAsiaTheme="minorEastAsia"/>
                      <w:b/>
                      <w:bCs/>
                      <w:snapToGrid w:val="0"/>
                      <w:color w:val="auto"/>
                      <w:kern w:val="21"/>
                      <w:sz w:val="21"/>
                      <w:szCs w:val="21"/>
                      <w:highlight w:val="none"/>
                      <w:lang w:val="en-US" w:eastAsia="zh-CN"/>
                    </w:rPr>
                    <w:t>合计</w:t>
                  </w:r>
                </w:p>
              </w:tc>
              <w:tc>
                <w:tcPr>
                  <w:tcW w:w="943" w:type="dxa"/>
                  <w:tcBorders>
                    <w:tl2br w:val="nil"/>
                    <w:tr2bl w:val="nil"/>
                  </w:tcBorders>
                  <w:noWrap w:val="0"/>
                  <w:vAlign w:val="center"/>
                </w:tcPr>
                <w:p w14:paraId="58A9846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b/>
                      <w:bCs/>
                      <w:color w:val="auto"/>
                      <w:sz w:val="21"/>
                      <w:szCs w:val="21"/>
                      <w:highlight w:val="none"/>
                      <w:lang w:val="en-US" w:eastAsia="zh-CN"/>
                    </w:rPr>
                  </w:pPr>
                  <w:r>
                    <w:rPr>
                      <w:rFonts w:hint="default"/>
                      <w:b/>
                      <w:bCs/>
                      <w:color w:val="auto"/>
                      <w:sz w:val="21"/>
                      <w:szCs w:val="21"/>
                      <w:highlight w:val="none"/>
                      <w:lang w:val="en-US" w:eastAsia="zh-CN"/>
                    </w:rPr>
                    <w:t>0.087</w:t>
                  </w:r>
                </w:p>
              </w:tc>
              <w:tc>
                <w:tcPr>
                  <w:tcW w:w="1191" w:type="dxa"/>
                  <w:tcBorders>
                    <w:tl2br w:val="nil"/>
                    <w:tr2bl w:val="nil"/>
                  </w:tcBorders>
                  <w:noWrap w:val="0"/>
                  <w:vAlign w:val="center"/>
                </w:tcPr>
                <w:p w14:paraId="5191D2D2">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b/>
                      <w:bCs/>
                      <w:color w:val="auto"/>
                      <w:sz w:val="21"/>
                      <w:szCs w:val="21"/>
                      <w:highlight w:val="none"/>
                      <w:lang w:val="en-US" w:eastAsia="zh-CN"/>
                    </w:rPr>
                  </w:pPr>
                  <w:r>
                    <w:rPr>
                      <w:rFonts w:hint="default"/>
                      <w:b/>
                      <w:bCs/>
                      <w:color w:val="auto"/>
                      <w:sz w:val="21"/>
                      <w:szCs w:val="21"/>
                      <w:highlight w:val="none"/>
                      <w:lang w:val="en-US" w:eastAsia="zh-CN"/>
                    </w:rPr>
                    <w:t>0.063</w:t>
                  </w:r>
                </w:p>
              </w:tc>
              <w:tc>
                <w:tcPr>
                  <w:tcW w:w="951" w:type="dxa"/>
                  <w:tcBorders>
                    <w:tl2br w:val="nil"/>
                    <w:tr2bl w:val="nil"/>
                  </w:tcBorders>
                  <w:noWrap w:val="0"/>
                  <w:vAlign w:val="center"/>
                </w:tcPr>
                <w:p w14:paraId="3DF7967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b/>
                      <w:bCs/>
                      <w:color w:val="auto"/>
                      <w:sz w:val="21"/>
                      <w:szCs w:val="21"/>
                      <w:highlight w:val="none"/>
                      <w:lang w:val="en-US" w:eastAsia="zh-CN"/>
                    </w:rPr>
                  </w:pPr>
                  <w:r>
                    <w:rPr>
                      <w:rFonts w:hint="default"/>
                      <w:b/>
                      <w:bCs/>
                      <w:color w:val="auto"/>
                      <w:sz w:val="21"/>
                      <w:szCs w:val="21"/>
                      <w:highlight w:val="none"/>
                      <w:lang w:val="en-US" w:eastAsia="zh-CN"/>
                    </w:rPr>
                    <w:t>0.13</w:t>
                  </w:r>
                  <w:r>
                    <w:rPr>
                      <w:rFonts w:hint="eastAsia"/>
                      <w:b/>
                      <w:bCs/>
                      <w:color w:val="auto"/>
                      <w:sz w:val="21"/>
                      <w:szCs w:val="21"/>
                      <w:highlight w:val="none"/>
                      <w:lang w:val="en-US" w:eastAsia="zh-CN"/>
                    </w:rPr>
                    <w:t>0</w:t>
                  </w:r>
                </w:p>
              </w:tc>
              <w:tc>
                <w:tcPr>
                  <w:tcW w:w="1222" w:type="dxa"/>
                  <w:tcBorders>
                    <w:tl2br w:val="nil"/>
                    <w:tr2bl w:val="nil"/>
                  </w:tcBorders>
                  <w:noWrap w:val="0"/>
                  <w:vAlign w:val="center"/>
                </w:tcPr>
                <w:p w14:paraId="1D87867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b/>
                      <w:bCs/>
                      <w:color w:val="auto"/>
                      <w:sz w:val="21"/>
                      <w:szCs w:val="21"/>
                      <w:highlight w:val="none"/>
                      <w:lang w:val="en-US" w:eastAsia="zh-CN"/>
                    </w:rPr>
                  </w:pPr>
                  <w:r>
                    <w:rPr>
                      <w:rFonts w:hint="default"/>
                      <w:b/>
                      <w:bCs/>
                      <w:color w:val="auto"/>
                      <w:sz w:val="21"/>
                      <w:szCs w:val="21"/>
                      <w:highlight w:val="none"/>
                      <w:lang w:val="en-US" w:eastAsia="zh-CN"/>
                    </w:rPr>
                    <w:t>0.434</w:t>
                  </w:r>
                </w:p>
              </w:tc>
              <w:tc>
                <w:tcPr>
                  <w:tcW w:w="1261" w:type="dxa"/>
                  <w:tcBorders>
                    <w:tl2br w:val="nil"/>
                    <w:tr2bl w:val="nil"/>
                  </w:tcBorders>
                  <w:noWrap w:val="0"/>
                  <w:vAlign w:val="center"/>
                </w:tcPr>
                <w:p w14:paraId="150A3D1A">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b/>
                      <w:bCs/>
                      <w:color w:val="auto"/>
                      <w:sz w:val="21"/>
                      <w:szCs w:val="21"/>
                      <w:highlight w:val="none"/>
                      <w:lang w:val="en-US" w:eastAsia="zh-CN"/>
                    </w:rPr>
                  </w:pPr>
                  <w:r>
                    <w:rPr>
                      <w:rFonts w:hint="default"/>
                      <w:b/>
                      <w:bCs/>
                      <w:color w:val="auto"/>
                      <w:sz w:val="21"/>
                      <w:szCs w:val="21"/>
                      <w:highlight w:val="none"/>
                      <w:lang w:val="en-US" w:eastAsia="zh-CN"/>
                    </w:rPr>
                    <w:t>0.2</w:t>
                  </w:r>
                  <w:r>
                    <w:rPr>
                      <w:rFonts w:hint="eastAsia"/>
                      <w:b/>
                      <w:bCs/>
                      <w:color w:val="auto"/>
                      <w:sz w:val="21"/>
                      <w:szCs w:val="21"/>
                      <w:highlight w:val="none"/>
                      <w:lang w:val="en-US" w:eastAsia="zh-CN"/>
                    </w:rPr>
                    <w:t>17</w:t>
                  </w:r>
                </w:p>
              </w:tc>
            </w:tr>
            <w:tr w14:paraId="32844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38" w:type="dxa"/>
                  <w:vMerge w:val="restart"/>
                  <w:tcBorders>
                    <w:tl2br w:val="nil"/>
                    <w:tr2bl w:val="nil"/>
                  </w:tcBorders>
                  <w:noWrap w:val="0"/>
                  <w:vAlign w:val="center"/>
                </w:tcPr>
                <w:p w14:paraId="383FD78F">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cs="Times New Roman" w:eastAsiaTheme="minorEastAsia"/>
                      <w:snapToGrid w:val="0"/>
                      <w:color w:val="auto"/>
                      <w:kern w:val="21"/>
                      <w:sz w:val="21"/>
                      <w:szCs w:val="21"/>
                      <w:highlight w:val="none"/>
                      <w:lang w:val="en-US" w:eastAsia="zh-CN"/>
                    </w:rPr>
                  </w:pPr>
                  <w:r>
                    <w:rPr>
                      <w:rFonts w:hint="eastAsia" w:cs="Times New Roman" w:eastAsiaTheme="minorEastAsia"/>
                      <w:snapToGrid w:val="0"/>
                      <w:color w:val="auto"/>
                      <w:kern w:val="21"/>
                      <w:sz w:val="21"/>
                      <w:szCs w:val="21"/>
                      <w:highlight w:val="none"/>
                      <w:lang w:val="en-US" w:eastAsia="zh-CN"/>
                    </w:rPr>
                    <w:t>非甲烷总烃</w:t>
                  </w:r>
                </w:p>
              </w:tc>
              <w:tc>
                <w:tcPr>
                  <w:tcW w:w="2084" w:type="dxa"/>
                  <w:tcBorders>
                    <w:tl2br w:val="nil"/>
                    <w:tr2bl w:val="nil"/>
                  </w:tcBorders>
                  <w:noWrap w:val="0"/>
                  <w:vAlign w:val="center"/>
                </w:tcPr>
                <w:p w14:paraId="600326C9">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cs="Times New Roman" w:eastAsiaTheme="minorEastAsia"/>
                      <w:snapToGrid w:val="0"/>
                      <w:color w:val="auto"/>
                      <w:kern w:val="21"/>
                      <w:sz w:val="21"/>
                      <w:szCs w:val="21"/>
                      <w:highlight w:val="none"/>
                      <w:lang w:val="en-US" w:eastAsia="zh-CN"/>
                    </w:rPr>
                  </w:pPr>
                  <w:r>
                    <w:rPr>
                      <w:rFonts w:hint="eastAsia" w:ascii="Times New Roman" w:hAnsi="Times New Roman" w:cs="Times New Roman" w:eastAsiaTheme="minorEastAsia"/>
                      <w:snapToGrid w:val="0"/>
                      <w:color w:val="auto"/>
                      <w:kern w:val="21"/>
                      <w:sz w:val="21"/>
                      <w:szCs w:val="21"/>
                      <w:highlight w:val="none"/>
                      <w:lang w:val="en-US" w:eastAsia="zh-CN"/>
                    </w:rPr>
                    <w:t>调漆、喷漆、烘干/晾干、刮腻子、腻子打磨、除油、漆料及危废储存</w:t>
                  </w:r>
                  <w:r>
                    <w:rPr>
                      <w:rFonts w:hint="eastAsia" w:cs="Times New Roman" w:eastAsiaTheme="minorEastAsia"/>
                      <w:snapToGrid w:val="0"/>
                      <w:color w:val="auto"/>
                      <w:kern w:val="21"/>
                      <w:sz w:val="21"/>
                      <w:szCs w:val="21"/>
                      <w:highlight w:val="none"/>
                      <w:lang w:val="en-US" w:eastAsia="zh-CN"/>
                    </w:rPr>
                    <w:t>过程</w:t>
                  </w:r>
                </w:p>
              </w:tc>
              <w:tc>
                <w:tcPr>
                  <w:tcW w:w="943" w:type="dxa"/>
                  <w:tcBorders>
                    <w:tl2br w:val="nil"/>
                    <w:tr2bl w:val="nil"/>
                  </w:tcBorders>
                  <w:noWrap w:val="0"/>
                  <w:vAlign w:val="center"/>
                </w:tcPr>
                <w:p w14:paraId="7678E35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eastAsia="宋体"/>
                      <w:color w:val="auto"/>
                      <w:sz w:val="21"/>
                      <w:szCs w:val="21"/>
                      <w:highlight w:val="none"/>
                      <w:lang w:val="en-US" w:eastAsia="zh-CN"/>
                    </w:rPr>
                    <w:t>0.17</w:t>
                  </w:r>
                  <w:r>
                    <w:rPr>
                      <w:rFonts w:hint="eastAsia"/>
                      <w:color w:val="auto"/>
                      <w:sz w:val="21"/>
                      <w:szCs w:val="21"/>
                      <w:highlight w:val="none"/>
                      <w:lang w:val="en-US" w:eastAsia="zh-CN"/>
                    </w:rPr>
                    <w:t>3</w:t>
                  </w:r>
                </w:p>
              </w:tc>
              <w:tc>
                <w:tcPr>
                  <w:tcW w:w="1191" w:type="dxa"/>
                  <w:tcBorders>
                    <w:tl2br w:val="nil"/>
                    <w:tr2bl w:val="nil"/>
                  </w:tcBorders>
                  <w:noWrap w:val="0"/>
                  <w:vAlign w:val="center"/>
                </w:tcPr>
                <w:p w14:paraId="64D25D7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snapToGrid w:val="0"/>
                      <w:color w:val="auto"/>
                      <w:kern w:val="21"/>
                      <w:sz w:val="21"/>
                      <w:szCs w:val="21"/>
                      <w:highlight w:val="none"/>
                      <w:lang w:val="en-US" w:eastAsia="zh-CN"/>
                    </w:rPr>
                  </w:pPr>
                  <w:r>
                    <w:rPr>
                      <w:rFonts w:hint="eastAsia" w:eastAsia="宋体"/>
                      <w:color w:val="auto"/>
                      <w:sz w:val="21"/>
                      <w:szCs w:val="21"/>
                      <w:highlight w:val="none"/>
                      <w:lang w:val="en-US" w:eastAsia="zh-CN"/>
                    </w:rPr>
                    <w:t>0.08</w:t>
                  </w:r>
                  <w:r>
                    <w:rPr>
                      <w:rFonts w:hint="eastAsia"/>
                      <w:color w:val="auto"/>
                      <w:sz w:val="21"/>
                      <w:szCs w:val="21"/>
                      <w:highlight w:val="none"/>
                      <w:lang w:val="en-US" w:eastAsia="zh-CN"/>
                    </w:rPr>
                    <w:t>7</w:t>
                  </w:r>
                </w:p>
              </w:tc>
              <w:tc>
                <w:tcPr>
                  <w:tcW w:w="951" w:type="dxa"/>
                  <w:tcBorders>
                    <w:tl2br w:val="nil"/>
                    <w:tr2bl w:val="nil"/>
                  </w:tcBorders>
                  <w:noWrap w:val="0"/>
                  <w:vAlign w:val="center"/>
                </w:tcPr>
                <w:p w14:paraId="1859A6DC">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snapToGrid w:val="0"/>
                      <w:color w:val="auto"/>
                      <w:kern w:val="21"/>
                      <w:sz w:val="21"/>
                      <w:szCs w:val="21"/>
                      <w:highlight w:val="none"/>
                      <w:lang w:val="en-US" w:eastAsia="zh-CN"/>
                    </w:rPr>
                  </w:pPr>
                  <w:r>
                    <w:rPr>
                      <w:rFonts w:hint="eastAsia" w:eastAsia="宋体"/>
                      <w:color w:val="auto"/>
                      <w:sz w:val="21"/>
                      <w:szCs w:val="21"/>
                      <w:highlight w:val="none"/>
                      <w:lang w:val="en-US" w:eastAsia="zh-CN"/>
                    </w:rPr>
                    <w:t>0.0</w:t>
                  </w:r>
                  <w:r>
                    <w:rPr>
                      <w:rFonts w:hint="eastAsia"/>
                      <w:color w:val="auto"/>
                      <w:sz w:val="21"/>
                      <w:szCs w:val="21"/>
                      <w:highlight w:val="none"/>
                      <w:lang w:val="en-US" w:eastAsia="zh-CN"/>
                    </w:rPr>
                    <w:t>91</w:t>
                  </w:r>
                </w:p>
              </w:tc>
              <w:tc>
                <w:tcPr>
                  <w:tcW w:w="1222" w:type="dxa"/>
                  <w:tcBorders>
                    <w:tl2br w:val="nil"/>
                    <w:tr2bl w:val="nil"/>
                  </w:tcBorders>
                  <w:noWrap w:val="0"/>
                  <w:vAlign w:val="center"/>
                </w:tcPr>
                <w:p w14:paraId="3EE96E6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snapToGrid w:val="0"/>
                      <w:color w:val="auto"/>
                      <w:kern w:val="21"/>
                      <w:sz w:val="21"/>
                      <w:szCs w:val="21"/>
                      <w:highlight w:val="none"/>
                      <w:lang w:val="en-US" w:eastAsia="zh-CN"/>
                    </w:rPr>
                  </w:pPr>
                  <w:r>
                    <w:rPr>
                      <w:rFonts w:hint="eastAsia" w:eastAsia="宋体"/>
                      <w:color w:val="auto"/>
                      <w:sz w:val="21"/>
                      <w:szCs w:val="21"/>
                      <w:highlight w:val="none"/>
                      <w:lang w:val="en-US" w:eastAsia="zh-CN"/>
                    </w:rPr>
                    <w:t>0.04</w:t>
                  </w:r>
                  <w:r>
                    <w:rPr>
                      <w:rFonts w:hint="eastAsia"/>
                      <w:color w:val="auto"/>
                      <w:sz w:val="21"/>
                      <w:szCs w:val="21"/>
                      <w:highlight w:val="none"/>
                      <w:lang w:val="en-US" w:eastAsia="zh-CN"/>
                    </w:rPr>
                    <w:t>6</w:t>
                  </w:r>
                </w:p>
              </w:tc>
              <w:tc>
                <w:tcPr>
                  <w:tcW w:w="1261" w:type="dxa"/>
                  <w:tcBorders>
                    <w:tl2br w:val="nil"/>
                    <w:tr2bl w:val="nil"/>
                  </w:tcBorders>
                  <w:noWrap w:val="0"/>
                  <w:vAlign w:val="center"/>
                </w:tcPr>
                <w:p w14:paraId="2AFD687B">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0.264</w:t>
                  </w:r>
                </w:p>
              </w:tc>
            </w:tr>
            <w:tr w14:paraId="484B4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38" w:type="dxa"/>
                  <w:vMerge w:val="continue"/>
                  <w:tcBorders>
                    <w:tl2br w:val="nil"/>
                    <w:tr2bl w:val="nil"/>
                  </w:tcBorders>
                  <w:noWrap w:val="0"/>
                  <w:vAlign w:val="center"/>
                </w:tcPr>
                <w:p w14:paraId="63D93649">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cs="Times New Roman" w:eastAsiaTheme="minorEastAsia"/>
                      <w:snapToGrid w:val="0"/>
                      <w:color w:val="auto"/>
                      <w:kern w:val="21"/>
                      <w:sz w:val="21"/>
                      <w:szCs w:val="21"/>
                      <w:highlight w:val="none"/>
                      <w:lang w:val="en-US" w:eastAsia="zh-CN"/>
                    </w:rPr>
                  </w:pPr>
                </w:p>
              </w:tc>
              <w:tc>
                <w:tcPr>
                  <w:tcW w:w="2084" w:type="dxa"/>
                  <w:tcBorders>
                    <w:tl2br w:val="nil"/>
                    <w:tr2bl w:val="nil"/>
                  </w:tcBorders>
                  <w:noWrap w:val="0"/>
                  <w:vAlign w:val="center"/>
                </w:tcPr>
                <w:p w14:paraId="55AB47BC">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cs="Times New Roman" w:eastAsiaTheme="minorEastAsia"/>
                      <w:snapToGrid w:val="0"/>
                      <w:color w:val="auto"/>
                      <w:kern w:val="21"/>
                      <w:sz w:val="21"/>
                      <w:szCs w:val="21"/>
                      <w:highlight w:val="none"/>
                      <w:lang w:val="en-US" w:eastAsia="zh-CN"/>
                    </w:rPr>
                  </w:pPr>
                  <w:r>
                    <w:rPr>
                      <w:rFonts w:hint="eastAsia" w:cs="Times New Roman" w:eastAsiaTheme="minorEastAsia"/>
                      <w:snapToGrid w:val="0"/>
                      <w:color w:val="auto"/>
                      <w:kern w:val="21"/>
                      <w:sz w:val="21"/>
                      <w:szCs w:val="21"/>
                      <w:highlight w:val="none"/>
                      <w:lang w:val="en-US" w:eastAsia="zh-CN"/>
                    </w:rPr>
                    <w:t>食堂</w:t>
                  </w:r>
                </w:p>
              </w:tc>
              <w:tc>
                <w:tcPr>
                  <w:tcW w:w="943" w:type="dxa"/>
                  <w:tcBorders>
                    <w:tl2br w:val="nil"/>
                    <w:tr2bl w:val="nil"/>
                  </w:tcBorders>
                  <w:noWrap w:val="0"/>
                  <w:vAlign w:val="center"/>
                </w:tcPr>
                <w:p w14:paraId="2651019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0.085</w:t>
                  </w:r>
                </w:p>
              </w:tc>
              <w:tc>
                <w:tcPr>
                  <w:tcW w:w="1191" w:type="dxa"/>
                  <w:tcBorders>
                    <w:tl2br w:val="nil"/>
                    <w:tr2bl w:val="nil"/>
                  </w:tcBorders>
                  <w:noWrap w:val="0"/>
                  <w:vAlign w:val="center"/>
                </w:tcPr>
                <w:p w14:paraId="3A5E9259">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0.075</w:t>
                  </w:r>
                </w:p>
              </w:tc>
              <w:tc>
                <w:tcPr>
                  <w:tcW w:w="951" w:type="dxa"/>
                  <w:tcBorders>
                    <w:tl2br w:val="nil"/>
                    <w:tr2bl w:val="nil"/>
                  </w:tcBorders>
                  <w:noWrap w:val="0"/>
                  <w:vAlign w:val="center"/>
                </w:tcPr>
                <w:p w14:paraId="68BCCE0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222" w:type="dxa"/>
                  <w:tcBorders>
                    <w:tl2br w:val="nil"/>
                    <w:tr2bl w:val="nil"/>
                  </w:tcBorders>
                  <w:noWrap w:val="0"/>
                  <w:vAlign w:val="center"/>
                </w:tcPr>
                <w:p w14:paraId="12D866D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261" w:type="dxa"/>
                  <w:tcBorders>
                    <w:tl2br w:val="nil"/>
                    <w:tr2bl w:val="nil"/>
                  </w:tcBorders>
                  <w:noWrap w:val="0"/>
                  <w:vAlign w:val="center"/>
                </w:tcPr>
                <w:p w14:paraId="3B24FF63">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0.085</w:t>
                  </w:r>
                </w:p>
              </w:tc>
            </w:tr>
            <w:tr w14:paraId="2E9A4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38" w:type="dxa"/>
                  <w:vMerge w:val="continue"/>
                  <w:tcBorders>
                    <w:tl2br w:val="nil"/>
                    <w:tr2bl w:val="nil"/>
                  </w:tcBorders>
                  <w:noWrap w:val="0"/>
                  <w:vAlign w:val="center"/>
                </w:tcPr>
                <w:p w14:paraId="6523204A">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cs="Times New Roman" w:eastAsiaTheme="minorEastAsia"/>
                      <w:snapToGrid w:val="0"/>
                      <w:color w:val="auto"/>
                      <w:kern w:val="21"/>
                      <w:sz w:val="21"/>
                      <w:szCs w:val="21"/>
                      <w:highlight w:val="none"/>
                      <w:lang w:val="en-US" w:eastAsia="zh-CN"/>
                    </w:rPr>
                  </w:pPr>
                </w:p>
              </w:tc>
              <w:tc>
                <w:tcPr>
                  <w:tcW w:w="2084" w:type="dxa"/>
                  <w:tcBorders>
                    <w:tl2br w:val="nil"/>
                    <w:tr2bl w:val="nil"/>
                  </w:tcBorders>
                  <w:noWrap w:val="0"/>
                  <w:vAlign w:val="center"/>
                </w:tcPr>
                <w:p w14:paraId="2656EC16">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cs="Times New Roman" w:eastAsiaTheme="minorEastAsia"/>
                      <w:snapToGrid w:val="0"/>
                      <w:color w:val="auto"/>
                      <w:kern w:val="21"/>
                      <w:sz w:val="21"/>
                      <w:szCs w:val="21"/>
                      <w:highlight w:val="none"/>
                      <w:lang w:val="en-US" w:eastAsia="zh-CN"/>
                    </w:rPr>
                  </w:pPr>
                  <w:r>
                    <w:rPr>
                      <w:rFonts w:hint="eastAsia" w:cs="Times New Roman" w:eastAsiaTheme="minorEastAsia"/>
                      <w:b/>
                      <w:bCs/>
                      <w:snapToGrid w:val="0"/>
                      <w:color w:val="auto"/>
                      <w:kern w:val="21"/>
                      <w:sz w:val="21"/>
                      <w:szCs w:val="21"/>
                      <w:highlight w:val="none"/>
                      <w:lang w:val="en-US" w:eastAsia="zh-CN"/>
                    </w:rPr>
                    <w:t>合计</w:t>
                  </w:r>
                </w:p>
              </w:tc>
              <w:tc>
                <w:tcPr>
                  <w:tcW w:w="943" w:type="dxa"/>
                  <w:tcBorders>
                    <w:tl2br w:val="nil"/>
                    <w:tr2bl w:val="nil"/>
                  </w:tcBorders>
                  <w:noWrap w:val="0"/>
                  <w:vAlign w:val="center"/>
                </w:tcPr>
                <w:p w14:paraId="376E00B5">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0.258</w:t>
                  </w:r>
                </w:p>
              </w:tc>
              <w:tc>
                <w:tcPr>
                  <w:tcW w:w="1191" w:type="dxa"/>
                  <w:tcBorders>
                    <w:tl2br w:val="nil"/>
                    <w:tr2bl w:val="nil"/>
                  </w:tcBorders>
                  <w:noWrap w:val="0"/>
                  <w:vAlign w:val="center"/>
                </w:tcPr>
                <w:p w14:paraId="5F017F66">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0.162</w:t>
                  </w:r>
                </w:p>
              </w:tc>
              <w:tc>
                <w:tcPr>
                  <w:tcW w:w="951" w:type="dxa"/>
                  <w:tcBorders>
                    <w:tl2br w:val="nil"/>
                    <w:tr2bl w:val="nil"/>
                  </w:tcBorders>
                  <w:noWrap w:val="0"/>
                  <w:vAlign w:val="center"/>
                </w:tcPr>
                <w:p w14:paraId="3124395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0.091</w:t>
                  </w:r>
                </w:p>
              </w:tc>
              <w:tc>
                <w:tcPr>
                  <w:tcW w:w="1222" w:type="dxa"/>
                  <w:tcBorders>
                    <w:tl2br w:val="nil"/>
                    <w:tr2bl w:val="nil"/>
                  </w:tcBorders>
                  <w:noWrap w:val="0"/>
                  <w:vAlign w:val="center"/>
                </w:tcPr>
                <w:p w14:paraId="67ACAA4B">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0.046</w:t>
                  </w:r>
                </w:p>
              </w:tc>
              <w:tc>
                <w:tcPr>
                  <w:tcW w:w="1261" w:type="dxa"/>
                  <w:tcBorders>
                    <w:tl2br w:val="nil"/>
                    <w:tr2bl w:val="nil"/>
                  </w:tcBorders>
                  <w:noWrap w:val="0"/>
                  <w:vAlign w:val="center"/>
                </w:tcPr>
                <w:p w14:paraId="0B7D0BD7">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cs="Times New Roman"/>
                      <w:b/>
                      <w:bCs/>
                      <w:smallCaps w:val="0"/>
                      <w:color w:val="auto"/>
                      <w:spacing w:val="0"/>
                      <w:position w:val="0"/>
                      <w:sz w:val="21"/>
                      <w:szCs w:val="21"/>
                      <w:highlight w:val="none"/>
                      <w:vertAlign w:val="baseline"/>
                      <w:lang w:val="en-US" w:eastAsia="zh-CN"/>
                    </w:rPr>
                  </w:pPr>
                  <w:r>
                    <w:rPr>
                      <w:rFonts w:hint="eastAsia" w:cs="Times New Roman"/>
                      <w:b/>
                      <w:bCs/>
                      <w:smallCaps w:val="0"/>
                      <w:color w:val="auto"/>
                      <w:spacing w:val="0"/>
                      <w:position w:val="0"/>
                      <w:sz w:val="21"/>
                      <w:szCs w:val="21"/>
                      <w:highlight w:val="none"/>
                      <w:vertAlign w:val="baseline"/>
                      <w:lang w:val="en-US" w:eastAsia="zh-CN"/>
                    </w:rPr>
                    <w:t>0.349</w:t>
                  </w:r>
                </w:p>
              </w:tc>
            </w:tr>
            <w:tr w14:paraId="522EC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822" w:type="dxa"/>
                  <w:gridSpan w:val="2"/>
                  <w:tcBorders>
                    <w:tl2br w:val="nil"/>
                    <w:tr2bl w:val="nil"/>
                  </w:tcBorders>
                  <w:noWrap w:val="0"/>
                  <w:vAlign w:val="center"/>
                </w:tcPr>
                <w:p w14:paraId="04E7A143">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cs="Times New Roman" w:eastAsiaTheme="minorEastAsia"/>
                      <w:snapToGrid w:val="0"/>
                      <w:color w:val="auto"/>
                      <w:kern w:val="21"/>
                      <w:sz w:val="21"/>
                      <w:szCs w:val="21"/>
                      <w:highlight w:val="none"/>
                      <w:lang w:val="en-US" w:eastAsia="zh-CN"/>
                    </w:rPr>
                  </w:pPr>
                  <w:r>
                    <w:rPr>
                      <w:rFonts w:hint="eastAsia" w:cs="Times New Roman" w:eastAsiaTheme="minorEastAsia"/>
                      <w:snapToGrid w:val="0"/>
                      <w:color w:val="auto"/>
                      <w:kern w:val="21"/>
                      <w:sz w:val="21"/>
                      <w:szCs w:val="21"/>
                      <w:highlight w:val="none"/>
                      <w:lang w:val="en-US" w:eastAsia="zh-CN"/>
                    </w:rPr>
                    <w:t>甲苯与二甲苯合计</w:t>
                  </w:r>
                </w:p>
              </w:tc>
              <w:tc>
                <w:tcPr>
                  <w:tcW w:w="943" w:type="dxa"/>
                  <w:tcBorders>
                    <w:tl2br w:val="nil"/>
                    <w:tr2bl w:val="nil"/>
                  </w:tcBorders>
                  <w:noWrap w:val="0"/>
                  <w:vAlign w:val="center"/>
                </w:tcPr>
                <w:p w14:paraId="50CAB044">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olor w:val="auto"/>
                      <w:sz w:val="21"/>
                      <w:szCs w:val="21"/>
                      <w:highlight w:val="none"/>
                      <w:lang w:val="en-US" w:eastAsia="zh-CN"/>
                    </w:rPr>
                    <w:t>0.116</w:t>
                  </w:r>
                </w:p>
              </w:tc>
              <w:tc>
                <w:tcPr>
                  <w:tcW w:w="1191" w:type="dxa"/>
                  <w:tcBorders>
                    <w:tl2br w:val="nil"/>
                    <w:tr2bl w:val="nil"/>
                  </w:tcBorders>
                  <w:noWrap w:val="0"/>
                  <w:vAlign w:val="center"/>
                </w:tcPr>
                <w:p w14:paraId="3D162BB1">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snapToGrid w:val="0"/>
                      <w:color w:val="auto"/>
                      <w:kern w:val="21"/>
                      <w:sz w:val="21"/>
                      <w:szCs w:val="21"/>
                      <w:highlight w:val="none"/>
                      <w:lang w:val="en-US" w:eastAsia="zh-CN"/>
                    </w:rPr>
                  </w:pPr>
                  <w:r>
                    <w:rPr>
                      <w:rFonts w:hint="eastAsia"/>
                      <w:color w:val="auto"/>
                      <w:sz w:val="21"/>
                      <w:szCs w:val="21"/>
                      <w:highlight w:val="none"/>
                      <w:lang w:val="en-US" w:eastAsia="zh-CN"/>
                    </w:rPr>
                    <w:t>0.058</w:t>
                  </w:r>
                </w:p>
              </w:tc>
              <w:tc>
                <w:tcPr>
                  <w:tcW w:w="951" w:type="dxa"/>
                  <w:tcBorders>
                    <w:tl2br w:val="nil"/>
                    <w:tr2bl w:val="nil"/>
                  </w:tcBorders>
                  <w:noWrap w:val="0"/>
                  <w:vAlign w:val="center"/>
                </w:tcPr>
                <w:p w14:paraId="33AA262A">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snapToGrid w:val="0"/>
                      <w:color w:val="auto"/>
                      <w:kern w:val="21"/>
                      <w:sz w:val="21"/>
                      <w:szCs w:val="21"/>
                      <w:highlight w:val="none"/>
                      <w:lang w:val="en-US" w:eastAsia="zh-CN"/>
                    </w:rPr>
                  </w:pPr>
                  <w:r>
                    <w:rPr>
                      <w:rFonts w:hint="eastAsia" w:eastAsia="宋体"/>
                      <w:color w:val="auto"/>
                      <w:sz w:val="21"/>
                      <w:szCs w:val="21"/>
                      <w:highlight w:val="none"/>
                      <w:lang w:val="en-US" w:eastAsia="zh-CN"/>
                    </w:rPr>
                    <w:t>0.06</w:t>
                  </w:r>
                  <w:r>
                    <w:rPr>
                      <w:rFonts w:hint="eastAsia"/>
                      <w:color w:val="auto"/>
                      <w:sz w:val="21"/>
                      <w:szCs w:val="21"/>
                      <w:highlight w:val="none"/>
                      <w:lang w:val="en-US" w:eastAsia="zh-CN"/>
                    </w:rPr>
                    <w:t>1</w:t>
                  </w:r>
                </w:p>
              </w:tc>
              <w:tc>
                <w:tcPr>
                  <w:tcW w:w="1222" w:type="dxa"/>
                  <w:tcBorders>
                    <w:tl2br w:val="nil"/>
                    <w:tr2bl w:val="nil"/>
                  </w:tcBorders>
                  <w:noWrap w:val="0"/>
                  <w:vAlign w:val="center"/>
                </w:tcPr>
                <w:p w14:paraId="5C43EBE0">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snapToGrid w:val="0"/>
                      <w:color w:val="auto"/>
                      <w:kern w:val="21"/>
                      <w:sz w:val="21"/>
                      <w:szCs w:val="21"/>
                      <w:highlight w:val="none"/>
                      <w:lang w:val="en-US" w:eastAsia="zh-CN"/>
                    </w:rPr>
                  </w:pPr>
                  <w:r>
                    <w:rPr>
                      <w:rFonts w:hint="eastAsia"/>
                      <w:color w:val="auto"/>
                      <w:sz w:val="21"/>
                      <w:szCs w:val="21"/>
                      <w:highlight w:val="none"/>
                      <w:lang w:val="en-US" w:eastAsia="zh-CN"/>
                    </w:rPr>
                    <w:t>0.031</w:t>
                  </w:r>
                </w:p>
              </w:tc>
              <w:tc>
                <w:tcPr>
                  <w:tcW w:w="1261" w:type="dxa"/>
                  <w:tcBorders>
                    <w:tl2br w:val="nil"/>
                    <w:tr2bl w:val="nil"/>
                  </w:tcBorders>
                  <w:noWrap w:val="0"/>
                  <w:vAlign w:val="center"/>
                </w:tcPr>
                <w:p w14:paraId="232E1B06">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0.177</w:t>
                  </w:r>
                </w:p>
              </w:tc>
            </w:tr>
            <w:tr w14:paraId="114EA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822" w:type="dxa"/>
                  <w:gridSpan w:val="2"/>
                  <w:tcBorders>
                    <w:tl2br w:val="nil"/>
                    <w:tr2bl w:val="nil"/>
                  </w:tcBorders>
                  <w:noWrap w:val="0"/>
                  <w:vAlign w:val="center"/>
                </w:tcPr>
                <w:p w14:paraId="162A55B6">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cs="Times New Roman" w:eastAsiaTheme="minorEastAsia"/>
                      <w:snapToGrid w:val="0"/>
                      <w:color w:val="auto"/>
                      <w:kern w:val="21"/>
                      <w:sz w:val="21"/>
                      <w:szCs w:val="21"/>
                      <w:highlight w:val="none"/>
                      <w:lang w:val="en-US" w:eastAsia="zh-CN"/>
                    </w:rPr>
                  </w:pPr>
                  <w:r>
                    <w:rPr>
                      <w:rFonts w:hint="eastAsia" w:cs="Times New Roman" w:eastAsiaTheme="minorEastAsia"/>
                      <w:snapToGrid w:val="0"/>
                      <w:color w:val="auto"/>
                      <w:kern w:val="21"/>
                      <w:sz w:val="21"/>
                      <w:szCs w:val="21"/>
                      <w:highlight w:val="none"/>
                      <w:lang w:val="en-US" w:eastAsia="zh-CN"/>
                    </w:rPr>
                    <w:t>油烟</w:t>
                  </w:r>
                </w:p>
              </w:tc>
              <w:tc>
                <w:tcPr>
                  <w:tcW w:w="943" w:type="dxa"/>
                  <w:tcBorders>
                    <w:tl2br w:val="nil"/>
                    <w:tr2bl w:val="nil"/>
                  </w:tcBorders>
                  <w:noWrap w:val="0"/>
                  <w:vAlign w:val="center"/>
                </w:tcPr>
                <w:p w14:paraId="73CE89BE">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0.009</w:t>
                  </w:r>
                </w:p>
              </w:tc>
              <w:tc>
                <w:tcPr>
                  <w:tcW w:w="1191" w:type="dxa"/>
                  <w:tcBorders>
                    <w:tl2br w:val="nil"/>
                    <w:tr2bl w:val="nil"/>
                  </w:tcBorders>
                  <w:noWrap w:val="0"/>
                  <w:vAlign w:val="center"/>
                </w:tcPr>
                <w:p w14:paraId="0DFB487F">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0.008</w:t>
                  </w:r>
                </w:p>
              </w:tc>
              <w:tc>
                <w:tcPr>
                  <w:tcW w:w="951" w:type="dxa"/>
                  <w:tcBorders>
                    <w:tl2br w:val="nil"/>
                    <w:tr2bl w:val="nil"/>
                  </w:tcBorders>
                  <w:noWrap w:val="0"/>
                  <w:vAlign w:val="center"/>
                </w:tcPr>
                <w:p w14:paraId="497774BA">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eastAsia="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222" w:type="dxa"/>
                  <w:tcBorders>
                    <w:tl2br w:val="nil"/>
                    <w:tr2bl w:val="nil"/>
                  </w:tcBorders>
                  <w:noWrap w:val="0"/>
                  <w:vAlign w:val="center"/>
                </w:tcPr>
                <w:p w14:paraId="02D482F3">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261" w:type="dxa"/>
                  <w:tcBorders>
                    <w:tl2br w:val="nil"/>
                    <w:tr2bl w:val="nil"/>
                  </w:tcBorders>
                  <w:noWrap w:val="0"/>
                  <w:vAlign w:val="center"/>
                </w:tcPr>
                <w:p w14:paraId="33B588EC">
                  <w:pPr>
                    <w:pStyle w:val="31"/>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0.009</w:t>
                  </w:r>
                </w:p>
              </w:tc>
            </w:tr>
          </w:tbl>
          <w:p w14:paraId="37C67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b/>
                <w:bCs/>
                <w:color w:val="auto"/>
                <w:highlight w:val="none"/>
                <w:lang w:val="en-US" w:eastAsia="zh-CN"/>
              </w:rPr>
            </w:pPr>
            <w:r>
              <w:rPr>
                <w:rFonts w:hint="eastAsia"/>
                <w:b/>
                <w:bCs/>
                <w:color w:val="auto"/>
                <w:highlight w:val="none"/>
                <w:lang w:val="en-US" w:eastAsia="zh-CN"/>
              </w:rPr>
              <w:t>1.3非正常情况分析</w:t>
            </w:r>
          </w:p>
          <w:p w14:paraId="56EE681E">
            <w:pPr>
              <w:bidi w:val="0"/>
              <w:rPr>
                <w:rFonts w:hint="eastAsia"/>
                <w:color w:val="auto"/>
                <w:lang w:val="en-US" w:eastAsia="zh-CN"/>
              </w:rPr>
            </w:pPr>
            <w:r>
              <w:rPr>
                <w:rFonts w:hint="eastAsia"/>
                <w:color w:val="auto"/>
                <w:lang w:val="en-US" w:eastAsia="zh-CN"/>
              </w:rPr>
              <w:t>本项目可能发生的非正常工况主要为环保设施发生故障，发生故障时污染物不经过处理，直接排放至大气中，废气治理设施效率按0%计。故障频次按每年发生1次，每次持续0.5h计。环保设施发生故障后，立即停产，对故障设施进行检修，待故障设施恢复正常后恢复生产。本项目非正常工况污染物排放情况见下表。</w:t>
            </w:r>
          </w:p>
          <w:p w14:paraId="4C652144">
            <w:pPr>
              <w:pStyle w:val="6"/>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color w:val="auto"/>
                <w:sz w:val="21"/>
                <w:szCs w:val="21"/>
                <w:highlight w:val="none"/>
                <w:shd w:val="clear" w:color="auto" w:fill="auto"/>
              </w:rPr>
            </w:pPr>
            <w:r>
              <w:rPr>
                <w:rFonts w:hint="default"/>
                <w:color w:val="auto"/>
                <w:sz w:val="21"/>
                <w:szCs w:val="21"/>
                <w:highlight w:val="none"/>
                <w:shd w:val="clear" w:color="auto" w:fill="auto"/>
              </w:rPr>
              <w:t>表</w:t>
            </w:r>
            <w:r>
              <w:rPr>
                <w:rFonts w:hint="eastAsia"/>
                <w:color w:val="auto"/>
                <w:sz w:val="21"/>
                <w:szCs w:val="21"/>
                <w:highlight w:val="none"/>
                <w:shd w:val="clear" w:color="auto" w:fill="auto"/>
                <w:lang w:val="en-US" w:eastAsia="zh-CN"/>
              </w:rPr>
              <w:t>44</w:t>
            </w:r>
            <w:r>
              <w:rPr>
                <w:rFonts w:hint="default"/>
                <w:color w:val="auto"/>
                <w:sz w:val="21"/>
                <w:szCs w:val="21"/>
                <w:highlight w:val="none"/>
                <w:shd w:val="clear" w:color="auto" w:fill="auto"/>
              </w:rPr>
              <w:t xml:space="preserve">  </w:t>
            </w:r>
            <w:r>
              <w:rPr>
                <w:rFonts w:hint="eastAsia"/>
                <w:color w:val="auto"/>
                <w:sz w:val="21"/>
                <w:szCs w:val="21"/>
                <w:highlight w:val="none"/>
                <w:shd w:val="clear" w:color="auto" w:fill="auto"/>
                <w:lang w:eastAsia="zh-CN"/>
              </w:rPr>
              <w:t>非正常排放参数一</w:t>
            </w:r>
            <w:r>
              <w:rPr>
                <w:rFonts w:hint="default"/>
                <w:color w:val="auto"/>
                <w:sz w:val="21"/>
                <w:szCs w:val="21"/>
                <w:highlight w:val="none"/>
                <w:shd w:val="clear" w:color="auto" w:fill="auto"/>
              </w:rPr>
              <w:t>览表</w:t>
            </w:r>
          </w:p>
          <w:tbl>
            <w:tblPr>
              <w:tblStyle w:val="24"/>
              <w:tblW w:w="83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27"/>
              <w:gridCol w:w="878"/>
              <w:gridCol w:w="1318"/>
              <w:gridCol w:w="980"/>
              <w:gridCol w:w="1208"/>
              <w:gridCol w:w="1138"/>
              <w:gridCol w:w="1141"/>
            </w:tblGrid>
            <w:tr w14:paraId="1FCF7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534" w:hRule="atLeast"/>
                <w:jc w:val="center"/>
              </w:trPr>
              <w:tc>
                <w:tcPr>
                  <w:tcW w:w="1704" w:type="dxa"/>
                  <w:tcBorders>
                    <w:tl2br w:val="nil"/>
                    <w:tr2bl w:val="nil"/>
                  </w:tcBorders>
                  <w:noWrap w:val="0"/>
                  <w:vAlign w:val="center"/>
                </w:tcPr>
                <w:p w14:paraId="49594E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非正常排放源</w:t>
                  </w:r>
                </w:p>
              </w:tc>
              <w:tc>
                <w:tcPr>
                  <w:tcW w:w="866" w:type="dxa"/>
                  <w:tcBorders>
                    <w:tl2br w:val="nil"/>
                    <w:tr2bl w:val="nil"/>
                  </w:tcBorders>
                  <w:noWrap w:val="0"/>
                  <w:vAlign w:val="center"/>
                </w:tcPr>
                <w:p w14:paraId="4422AB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频次</w:t>
                  </w:r>
                </w:p>
              </w:tc>
              <w:tc>
                <w:tcPr>
                  <w:tcW w:w="1300" w:type="dxa"/>
                  <w:tcBorders>
                    <w:tl2br w:val="nil"/>
                    <w:tr2bl w:val="nil"/>
                  </w:tcBorders>
                  <w:noWrap w:val="0"/>
                  <w:vAlign w:val="center"/>
                </w:tcPr>
                <w:p w14:paraId="29DE43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排放浓度</w:t>
                  </w:r>
                </w:p>
              </w:tc>
              <w:tc>
                <w:tcPr>
                  <w:tcW w:w="967" w:type="dxa"/>
                  <w:tcBorders>
                    <w:tl2br w:val="nil"/>
                    <w:tr2bl w:val="nil"/>
                  </w:tcBorders>
                  <w:noWrap w:val="0"/>
                  <w:vAlign w:val="center"/>
                </w:tcPr>
                <w:p w14:paraId="1443D3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持续时间</w:t>
                  </w:r>
                </w:p>
              </w:tc>
              <w:tc>
                <w:tcPr>
                  <w:tcW w:w="1192" w:type="dxa"/>
                  <w:tcBorders>
                    <w:tl2br w:val="nil"/>
                    <w:tr2bl w:val="nil"/>
                  </w:tcBorders>
                  <w:noWrap w:val="0"/>
                  <w:vAlign w:val="center"/>
                </w:tcPr>
                <w:p w14:paraId="1022EF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val="en-US" w:eastAsia="zh-CN"/>
                    </w:rPr>
                    <w:t>污染物</w:t>
                  </w:r>
                </w:p>
              </w:tc>
              <w:tc>
                <w:tcPr>
                  <w:tcW w:w="1123" w:type="dxa"/>
                  <w:tcBorders>
                    <w:tl2br w:val="nil"/>
                    <w:tr2bl w:val="nil"/>
                  </w:tcBorders>
                  <w:noWrap w:val="0"/>
                  <w:vAlign w:val="center"/>
                </w:tcPr>
                <w:p w14:paraId="394FD6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排放量</w:t>
                  </w:r>
                </w:p>
              </w:tc>
              <w:tc>
                <w:tcPr>
                  <w:tcW w:w="1125" w:type="dxa"/>
                  <w:tcBorders>
                    <w:tl2br w:val="nil"/>
                    <w:tr2bl w:val="nil"/>
                  </w:tcBorders>
                  <w:noWrap w:val="0"/>
                  <w:vAlign w:val="center"/>
                </w:tcPr>
                <w:p w14:paraId="3076D8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措施</w:t>
                  </w:r>
                </w:p>
              </w:tc>
            </w:tr>
            <w:tr w14:paraId="4FB4E6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510" w:hRule="atLeast"/>
                <w:jc w:val="center"/>
              </w:trPr>
              <w:tc>
                <w:tcPr>
                  <w:tcW w:w="1704" w:type="dxa"/>
                  <w:tcBorders>
                    <w:tl2br w:val="nil"/>
                    <w:tr2bl w:val="nil"/>
                  </w:tcBorders>
                  <w:noWrap w:val="0"/>
                  <w:vAlign w:val="center"/>
                </w:tcPr>
                <w:p w14:paraId="204BF0FB">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vertAlign w:val="baseline"/>
                      <w:lang w:val="en-US" w:eastAsia="zh-CN"/>
                    </w:rPr>
                    <w:t>打磨废气排放口</w:t>
                  </w:r>
                </w:p>
              </w:tc>
              <w:tc>
                <w:tcPr>
                  <w:tcW w:w="866" w:type="dxa"/>
                  <w:tcBorders>
                    <w:tl2br w:val="nil"/>
                    <w:tr2bl w:val="nil"/>
                  </w:tcBorders>
                  <w:noWrap w:val="0"/>
                  <w:vAlign w:val="center"/>
                </w:tcPr>
                <w:p w14:paraId="2EA0C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1次/年</w:t>
                  </w:r>
                </w:p>
              </w:tc>
              <w:tc>
                <w:tcPr>
                  <w:tcW w:w="1300" w:type="dxa"/>
                  <w:tcBorders>
                    <w:tl2br w:val="nil"/>
                    <w:tr2bl w:val="nil"/>
                  </w:tcBorders>
                  <w:noWrap w:val="0"/>
                  <w:vAlign w:val="center"/>
                </w:tcPr>
                <w:p w14:paraId="3CF7A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52mg/m</w:t>
                  </w:r>
                  <w:r>
                    <w:rPr>
                      <w:rFonts w:hint="eastAsia" w:cs="Times New Roman"/>
                      <w:b w:val="0"/>
                      <w:bCs/>
                      <w:caps w:val="0"/>
                      <w:color w:val="auto"/>
                      <w:spacing w:val="0"/>
                      <w:position w:val="0"/>
                      <w:sz w:val="21"/>
                      <w:szCs w:val="21"/>
                      <w:highlight w:val="none"/>
                      <w:shd w:val="clear" w:color="auto" w:fill="auto"/>
                      <w:vertAlign w:val="superscript"/>
                      <w:lang w:val="en-US" w:eastAsia="zh-CN"/>
                    </w:rPr>
                    <w:t>3</w:t>
                  </w:r>
                </w:p>
              </w:tc>
              <w:tc>
                <w:tcPr>
                  <w:tcW w:w="967" w:type="dxa"/>
                  <w:tcBorders>
                    <w:tl2br w:val="nil"/>
                    <w:tr2bl w:val="nil"/>
                  </w:tcBorders>
                  <w:noWrap w:val="0"/>
                  <w:vAlign w:val="center"/>
                </w:tcPr>
                <w:p w14:paraId="33108B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单次</w:t>
                  </w:r>
                  <w:r>
                    <w:rPr>
                      <w:rFonts w:hint="eastAsia" w:cs="Times New Roman"/>
                      <w:b w:val="0"/>
                      <w:bCs/>
                      <w:caps w:val="0"/>
                      <w:color w:val="auto"/>
                      <w:spacing w:val="0"/>
                      <w:position w:val="0"/>
                      <w:sz w:val="21"/>
                      <w:szCs w:val="21"/>
                      <w:highlight w:val="none"/>
                      <w:shd w:val="clear" w:color="auto" w:fill="auto"/>
                      <w:lang w:val="en-US" w:eastAsia="zh-CN"/>
                    </w:rPr>
                    <w:t>0.5</w:t>
                  </w: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h</w:t>
                  </w:r>
                </w:p>
              </w:tc>
              <w:tc>
                <w:tcPr>
                  <w:tcW w:w="1192" w:type="dxa"/>
                  <w:tcBorders>
                    <w:tl2br w:val="nil"/>
                    <w:tr2bl w:val="nil"/>
                  </w:tcBorders>
                  <w:noWrap w:val="0"/>
                  <w:vAlign w:val="center"/>
                </w:tcPr>
                <w:p w14:paraId="3CFAFF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颗粒物</w:t>
                  </w:r>
                </w:p>
              </w:tc>
              <w:tc>
                <w:tcPr>
                  <w:tcW w:w="1123" w:type="dxa"/>
                  <w:tcBorders>
                    <w:tl2br w:val="nil"/>
                    <w:tr2bl w:val="nil"/>
                  </w:tcBorders>
                  <w:noWrap w:val="0"/>
                  <w:vAlign w:val="center"/>
                </w:tcPr>
                <w:p w14:paraId="7DF05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0.208kg</w:t>
                  </w:r>
                </w:p>
              </w:tc>
              <w:tc>
                <w:tcPr>
                  <w:tcW w:w="1125" w:type="dxa"/>
                  <w:tcBorders>
                    <w:tl2br w:val="nil"/>
                    <w:tr2bl w:val="nil"/>
                  </w:tcBorders>
                  <w:noWrap w:val="0"/>
                  <w:vAlign w:val="center"/>
                </w:tcPr>
                <w:p w14:paraId="254F2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停产、维修</w:t>
                  </w:r>
                </w:p>
              </w:tc>
            </w:tr>
            <w:tr w14:paraId="37F3ED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78" w:hRule="atLeast"/>
                <w:jc w:val="center"/>
              </w:trPr>
              <w:tc>
                <w:tcPr>
                  <w:tcW w:w="1704" w:type="dxa"/>
                  <w:vMerge w:val="restart"/>
                  <w:tcBorders>
                    <w:tl2br w:val="nil"/>
                    <w:tr2bl w:val="nil"/>
                  </w:tcBorders>
                  <w:noWrap w:val="0"/>
                  <w:vAlign w:val="center"/>
                </w:tcPr>
                <w:p w14:paraId="35AA6DE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vertAlign w:val="baseline"/>
                      <w:lang w:val="en-US" w:eastAsia="zh-CN"/>
                    </w:rPr>
                    <w:t>喷涂废气排放口</w:t>
                  </w:r>
                </w:p>
              </w:tc>
              <w:tc>
                <w:tcPr>
                  <w:tcW w:w="866" w:type="dxa"/>
                  <w:vMerge w:val="restart"/>
                  <w:tcBorders>
                    <w:tl2br w:val="nil"/>
                    <w:tr2bl w:val="nil"/>
                  </w:tcBorders>
                  <w:noWrap w:val="0"/>
                  <w:vAlign w:val="center"/>
                </w:tcPr>
                <w:p w14:paraId="4BFC4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1次/年</w:t>
                  </w:r>
                </w:p>
              </w:tc>
              <w:tc>
                <w:tcPr>
                  <w:tcW w:w="1300" w:type="dxa"/>
                  <w:tcBorders>
                    <w:tl2br w:val="nil"/>
                    <w:tr2bl w:val="nil"/>
                  </w:tcBorders>
                  <w:noWrap w:val="0"/>
                  <w:vAlign w:val="center"/>
                </w:tcPr>
                <w:p w14:paraId="051AC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262mg/m</w:t>
                  </w:r>
                  <w:r>
                    <w:rPr>
                      <w:rFonts w:hint="eastAsia" w:cs="Times New Roman"/>
                      <w:b w:val="0"/>
                      <w:bCs/>
                      <w:caps w:val="0"/>
                      <w:color w:val="auto"/>
                      <w:spacing w:val="0"/>
                      <w:position w:val="0"/>
                      <w:sz w:val="21"/>
                      <w:szCs w:val="21"/>
                      <w:highlight w:val="none"/>
                      <w:shd w:val="clear" w:color="auto" w:fill="auto"/>
                      <w:vertAlign w:val="superscript"/>
                      <w:lang w:val="en-US" w:eastAsia="zh-CN"/>
                    </w:rPr>
                    <w:t>3</w:t>
                  </w:r>
                </w:p>
              </w:tc>
              <w:tc>
                <w:tcPr>
                  <w:tcW w:w="967" w:type="dxa"/>
                  <w:vMerge w:val="restart"/>
                  <w:tcBorders>
                    <w:tl2br w:val="nil"/>
                    <w:tr2bl w:val="nil"/>
                  </w:tcBorders>
                  <w:noWrap w:val="0"/>
                  <w:vAlign w:val="center"/>
                </w:tcPr>
                <w:p w14:paraId="17805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单次</w:t>
                  </w:r>
                  <w:r>
                    <w:rPr>
                      <w:rFonts w:hint="eastAsia" w:cs="Times New Roman"/>
                      <w:b w:val="0"/>
                      <w:bCs/>
                      <w:caps w:val="0"/>
                      <w:color w:val="auto"/>
                      <w:spacing w:val="0"/>
                      <w:position w:val="0"/>
                      <w:sz w:val="21"/>
                      <w:szCs w:val="21"/>
                      <w:highlight w:val="none"/>
                      <w:shd w:val="clear" w:color="auto" w:fill="auto"/>
                      <w:lang w:val="en-US" w:eastAsia="zh-CN"/>
                    </w:rPr>
                    <w:t>0.5</w:t>
                  </w: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h</w:t>
                  </w:r>
                </w:p>
              </w:tc>
              <w:tc>
                <w:tcPr>
                  <w:tcW w:w="1192" w:type="dxa"/>
                  <w:tcBorders>
                    <w:tl2br w:val="nil"/>
                    <w:tr2bl w:val="nil"/>
                  </w:tcBorders>
                  <w:noWrap w:val="0"/>
                  <w:vAlign w:val="center"/>
                </w:tcPr>
                <w:p w14:paraId="0EC1CD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颗粒物</w:t>
                  </w:r>
                </w:p>
              </w:tc>
              <w:tc>
                <w:tcPr>
                  <w:tcW w:w="1123" w:type="dxa"/>
                  <w:tcBorders>
                    <w:tl2br w:val="nil"/>
                    <w:tr2bl w:val="nil"/>
                  </w:tcBorders>
                  <w:noWrap w:val="0"/>
                  <w:vAlign w:val="center"/>
                </w:tcPr>
                <w:p w14:paraId="2C0C7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3.930kg</w:t>
                  </w:r>
                </w:p>
              </w:tc>
              <w:tc>
                <w:tcPr>
                  <w:tcW w:w="1125" w:type="dxa"/>
                  <w:vMerge w:val="restart"/>
                  <w:tcBorders>
                    <w:tl2br w:val="nil"/>
                    <w:tr2bl w:val="nil"/>
                  </w:tcBorders>
                  <w:noWrap w:val="0"/>
                  <w:vAlign w:val="center"/>
                </w:tcPr>
                <w:p w14:paraId="60870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停产、维修</w:t>
                  </w:r>
                </w:p>
              </w:tc>
            </w:tr>
            <w:tr w14:paraId="74B8F3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78" w:hRule="atLeast"/>
                <w:jc w:val="center"/>
              </w:trPr>
              <w:tc>
                <w:tcPr>
                  <w:tcW w:w="1704" w:type="dxa"/>
                  <w:vMerge w:val="continue"/>
                  <w:tcBorders>
                    <w:tl2br w:val="nil"/>
                    <w:tr2bl w:val="nil"/>
                  </w:tcBorders>
                  <w:noWrap w:val="0"/>
                  <w:vAlign w:val="center"/>
                </w:tcPr>
                <w:p w14:paraId="6B4183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866" w:type="dxa"/>
                  <w:vMerge w:val="continue"/>
                  <w:tcBorders>
                    <w:tl2br w:val="nil"/>
                    <w:tr2bl w:val="nil"/>
                  </w:tcBorders>
                  <w:noWrap w:val="0"/>
                  <w:vAlign w:val="center"/>
                </w:tcPr>
                <w:p w14:paraId="2FBBE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300" w:type="dxa"/>
                  <w:tcBorders>
                    <w:tl2br w:val="nil"/>
                    <w:tr2bl w:val="nil"/>
                  </w:tcBorders>
                  <w:noWrap w:val="0"/>
                  <w:vAlign w:val="center"/>
                </w:tcPr>
                <w:p w14:paraId="042058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28.9mg/m</w:t>
                  </w:r>
                  <w:r>
                    <w:rPr>
                      <w:rFonts w:hint="eastAsia" w:cs="Times New Roman"/>
                      <w:b w:val="0"/>
                      <w:bCs/>
                      <w:caps w:val="0"/>
                      <w:color w:val="auto"/>
                      <w:spacing w:val="0"/>
                      <w:position w:val="0"/>
                      <w:sz w:val="21"/>
                      <w:szCs w:val="21"/>
                      <w:highlight w:val="none"/>
                      <w:shd w:val="clear" w:color="auto" w:fill="auto"/>
                      <w:vertAlign w:val="superscript"/>
                      <w:lang w:val="en-US" w:eastAsia="zh-CN"/>
                    </w:rPr>
                    <w:t>3</w:t>
                  </w:r>
                </w:p>
              </w:tc>
              <w:tc>
                <w:tcPr>
                  <w:tcW w:w="967" w:type="dxa"/>
                  <w:vMerge w:val="continue"/>
                  <w:tcBorders>
                    <w:tl2br w:val="nil"/>
                    <w:tr2bl w:val="nil"/>
                  </w:tcBorders>
                  <w:noWrap w:val="0"/>
                  <w:vAlign w:val="center"/>
                </w:tcPr>
                <w:p w14:paraId="2AE69C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aps w:val="0"/>
                      <w:color w:val="auto"/>
                      <w:spacing w:val="0"/>
                      <w:position w:val="0"/>
                      <w:sz w:val="21"/>
                      <w:szCs w:val="21"/>
                      <w:highlight w:val="none"/>
                      <w:shd w:val="clear" w:color="auto" w:fill="auto"/>
                      <w:lang w:val="en-US" w:eastAsia="zh-CN"/>
                    </w:rPr>
                  </w:pPr>
                </w:p>
              </w:tc>
              <w:tc>
                <w:tcPr>
                  <w:tcW w:w="1192" w:type="dxa"/>
                  <w:tcBorders>
                    <w:tl2br w:val="nil"/>
                    <w:tr2bl w:val="nil"/>
                  </w:tcBorders>
                  <w:noWrap w:val="0"/>
                  <w:vAlign w:val="center"/>
                </w:tcPr>
                <w:p w14:paraId="75CF2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非甲烷总烃</w:t>
                  </w:r>
                </w:p>
              </w:tc>
              <w:tc>
                <w:tcPr>
                  <w:tcW w:w="1123" w:type="dxa"/>
                  <w:tcBorders>
                    <w:tl2br w:val="nil"/>
                    <w:tr2bl w:val="nil"/>
                  </w:tcBorders>
                  <w:noWrap w:val="0"/>
                  <w:vAlign w:val="center"/>
                </w:tcPr>
                <w:p w14:paraId="5EF73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0.433kg</w:t>
                  </w:r>
                </w:p>
              </w:tc>
              <w:tc>
                <w:tcPr>
                  <w:tcW w:w="1125" w:type="dxa"/>
                  <w:vMerge w:val="continue"/>
                  <w:tcBorders>
                    <w:tl2br w:val="nil"/>
                    <w:tr2bl w:val="nil"/>
                  </w:tcBorders>
                  <w:noWrap w:val="0"/>
                  <w:vAlign w:val="center"/>
                </w:tcPr>
                <w:p w14:paraId="2E506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aps w:val="0"/>
                      <w:color w:val="auto"/>
                      <w:spacing w:val="0"/>
                      <w:position w:val="0"/>
                      <w:sz w:val="21"/>
                      <w:szCs w:val="21"/>
                      <w:highlight w:val="none"/>
                      <w:shd w:val="clear" w:color="auto" w:fill="auto"/>
                      <w:lang w:val="en-US" w:eastAsia="zh-CN"/>
                    </w:rPr>
                  </w:pPr>
                </w:p>
              </w:tc>
            </w:tr>
            <w:tr w14:paraId="415A86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26" w:hRule="atLeast"/>
                <w:jc w:val="center"/>
              </w:trPr>
              <w:tc>
                <w:tcPr>
                  <w:tcW w:w="1704" w:type="dxa"/>
                  <w:vMerge w:val="continue"/>
                  <w:tcBorders>
                    <w:tl2br w:val="nil"/>
                    <w:tr2bl w:val="nil"/>
                  </w:tcBorders>
                  <w:noWrap w:val="0"/>
                  <w:vAlign w:val="center"/>
                </w:tcPr>
                <w:p w14:paraId="15C42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aps w:val="0"/>
                      <w:color w:val="auto"/>
                      <w:spacing w:val="0"/>
                      <w:position w:val="0"/>
                      <w:sz w:val="21"/>
                      <w:szCs w:val="21"/>
                      <w:highlight w:val="none"/>
                      <w:shd w:val="clear" w:color="auto" w:fill="auto"/>
                      <w:lang w:val="en-US" w:eastAsia="zh-CN"/>
                    </w:rPr>
                  </w:pPr>
                </w:p>
              </w:tc>
              <w:tc>
                <w:tcPr>
                  <w:tcW w:w="866" w:type="dxa"/>
                  <w:vMerge w:val="continue"/>
                  <w:tcBorders>
                    <w:tl2br w:val="nil"/>
                    <w:tr2bl w:val="nil"/>
                  </w:tcBorders>
                  <w:noWrap w:val="0"/>
                  <w:vAlign w:val="center"/>
                </w:tcPr>
                <w:p w14:paraId="292818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aps w:val="0"/>
                      <w:color w:val="auto"/>
                      <w:spacing w:val="0"/>
                      <w:position w:val="0"/>
                      <w:sz w:val="21"/>
                      <w:szCs w:val="21"/>
                      <w:highlight w:val="none"/>
                      <w:shd w:val="clear" w:color="auto" w:fill="auto"/>
                      <w:lang w:val="en-US" w:eastAsia="zh-CN"/>
                    </w:rPr>
                  </w:pPr>
                </w:p>
              </w:tc>
              <w:tc>
                <w:tcPr>
                  <w:tcW w:w="1300" w:type="dxa"/>
                  <w:tcBorders>
                    <w:tl2br w:val="nil"/>
                    <w:tr2bl w:val="nil"/>
                  </w:tcBorders>
                  <w:noWrap w:val="0"/>
                  <w:vAlign w:val="center"/>
                </w:tcPr>
                <w:p w14:paraId="563C7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19.3mg/m</w:t>
                  </w:r>
                  <w:r>
                    <w:rPr>
                      <w:rFonts w:hint="eastAsia" w:cs="Times New Roman"/>
                      <w:b w:val="0"/>
                      <w:bCs/>
                      <w:caps w:val="0"/>
                      <w:color w:val="auto"/>
                      <w:spacing w:val="0"/>
                      <w:position w:val="0"/>
                      <w:sz w:val="21"/>
                      <w:szCs w:val="21"/>
                      <w:highlight w:val="none"/>
                      <w:shd w:val="clear" w:color="auto" w:fill="auto"/>
                      <w:vertAlign w:val="superscript"/>
                      <w:lang w:val="en-US" w:eastAsia="zh-CN"/>
                    </w:rPr>
                    <w:t>3</w:t>
                  </w:r>
                </w:p>
              </w:tc>
              <w:tc>
                <w:tcPr>
                  <w:tcW w:w="967" w:type="dxa"/>
                  <w:vMerge w:val="continue"/>
                  <w:tcBorders>
                    <w:tl2br w:val="nil"/>
                    <w:tr2bl w:val="nil"/>
                  </w:tcBorders>
                  <w:noWrap w:val="0"/>
                  <w:vAlign w:val="center"/>
                </w:tcPr>
                <w:p w14:paraId="4CF171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aps w:val="0"/>
                      <w:color w:val="auto"/>
                      <w:spacing w:val="0"/>
                      <w:position w:val="0"/>
                      <w:sz w:val="21"/>
                      <w:szCs w:val="21"/>
                      <w:highlight w:val="none"/>
                      <w:shd w:val="clear" w:color="auto" w:fill="auto"/>
                      <w:lang w:val="en-US" w:eastAsia="zh-CN"/>
                    </w:rPr>
                  </w:pPr>
                </w:p>
              </w:tc>
              <w:tc>
                <w:tcPr>
                  <w:tcW w:w="1192" w:type="dxa"/>
                  <w:tcBorders>
                    <w:tl2br w:val="nil"/>
                    <w:tr2bl w:val="nil"/>
                  </w:tcBorders>
                  <w:noWrap w:val="0"/>
                  <w:vAlign w:val="center"/>
                </w:tcPr>
                <w:p w14:paraId="2E943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甲苯与二甲苯合计</w:t>
                  </w:r>
                </w:p>
              </w:tc>
              <w:tc>
                <w:tcPr>
                  <w:tcW w:w="1123" w:type="dxa"/>
                  <w:tcBorders>
                    <w:tl2br w:val="nil"/>
                    <w:tr2bl w:val="nil"/>
                  </w:tcBorders>
                  <w:noWrap w:val="0"/>
                  <w:vAlign w:val="center"/>
                </w:tcPr>
                <w:p w14:paraId="74F4AF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0.290kg</w:t>
                  </w:r>
                </w:p>
              </w:tc>
              <w:tc>
                <w:tcPr>
                  <w:tcW w:w="1125" w:type="dxa"/>
                  <w:vMerge w:val="continue"/>
                  <w:tcBorders>
                    <w:tl2br w:val="nil"/>
                    <w:tr2bl w:val="nil"/>
                  </w:tcBorders>
                  <w:noWrap w:val="0"/>
                  <w:vAlign w:val="center"/>
                </w:tcPr>
                <w:p w14:paraId="1E207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caps w:val="0"/>
                      <w:color w:val="auto"/>
                      <w:spacing w:val="0"/>
                      <w:position w:val="0"/>
                      <w:sz w:val="21"/>
                      <w:szCs w:val="21"/>
                      <w:highlight w:val="none"/>
                      <w:shd w:val="clear" w:color="auto" w:fill="auto"/>
                      <w:lang w:val="en-US" w:eastAsia="zh-CN"/>
                    </w:rPr>
                  </w:pPr>
                </w:p>
              </w:tc>
            </w:tr>
          </w:tbl>
          <w:p w14:paraId="3A3C14FB">
            <w:pPr>
              <w:bidi w:val="0"/>
              <w:rPr>
                <w:rFonts w:hint="eastAsia"/>
                <w:b/>
                <w:bCs/>
                <w:color w:val="auto"/>
                <w:highlight w:val="none"/>
              </w:rPr>
            </w:pPr>
            <w:r>
              <w:rPr>
                <w:rFonts w:hint="default"/>
                <w:b/>
                <w:bCs/>
                <w:color w:val="auto"/>
                <w:highlight w:val="none"/>
              </w:rPr>
              <w:t>1.</w:t>
            </w:r>
            <w:r>
              <w:rPr>
                <w:rFonts w:hint="eastAsia"/>
                <w:b/>
                <w:bCs/>
                <w:color w:val="auto"/>
                <w:highlight w:val="none"/>
                <w:lang w:val="en-US" w:eastAsia="zh-CN"/>
              </w:rPr>
              <w:t>4</w:t>
            </w:r>
            <w:r>
              <w:rPr>
                <w:rFonts w:hint="eastAsia"/>
                <w:b/>
                <w:bCs/>
                <w:color w:val="auto"/>
                <w:highlight w:val="none"/>
              </w:rPr>
              <w:t>废气治理设施可行性分析</w:t>
            </w:r>
          </w:p>
          <w:p w14:paraId="1CC84535">
            <w:pPr>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布袋除尘器</w:t>
            </w:r>
          </w:p>
          <w:p w14:paraId="426F599A">
            <w:pPr>
              <w:bidi w:val="0"/>
              <w:rPr>
                <w:rFonts w:hint="default" w:ascii="Times New Roman" w:hAnsi="Times New Roman" w:eastAsia="宋体" w:cs="Times New Roman"/>
                <w:b w:val="0"/>
                <w:bCs w:val="0"/>
                <w:color w:val="auto"/>
                <w:sz w:val="24"/>
                <w:szCs w:val="22"/>
                <w:highlight w:val="none"/>
                <w:lang w:eastAsia="zh-CN"/>
              </w:rPr>
            </w:pPr>
            <w:r>
              <w:rPr>
                <w:rFonts w:hint="eastAsia" w:ascii="Times New Roman" w:hAnsi="Times New Roman" w:eastAsia="宋体" w:cs="Times New Roman"/>
                <w:color w:val="auto"/>
                <w:spacing w:val="0"/>
                <w:position w:val="0"/>
                <w:sz w:val="24"/>
                <w:highlight w:val="none"/>
                <w:lang w:val="en-US" w:eastAsia="zh-CN"/>
              </w:rPr>
              <w:t>项目打磨过程产生的颗粒物采用脉冲布袋除尘器处理。</w:t>
            </w:r>
            <w:r>
              <w:rPr>
                <w:rFonts w:hint="eastAsia" w:ascii="Times New Roman" w:hAnsi="Times New Roman" w:eastAsia="宋体" w:cs="Times New Roman"/>
                <w:color w:val="auto"/>
                <w:spacing w:val="0"/>
                <w:position w:val="0"/>
                <w:sz w:val="24"/>
                <w:highlight w:val="none"/>
              </w:rPr>
              <w:t>袋式除尘器是一种干式滤尘装置</w:t>
            </w:r>
            <w:r>
              <w:rPr>
                <w:rFonts w:hint="eastAsia" w:ascii="Times New Roman" w:hAnsi="Times New Roman" w:cs="Times New Roman"/>
                <w:color w:val="auto"/>
                <w:spacing w:val="0"/>
                <w:position w:val="0"/>
                <w:sz w:val="24"/>
                <w:highlight w:val="none"/>
                <w:lang w:eastAsia="zh-CN"/>
              </w:rPr>
              <w:t>，</w:t>
            </w:r>
            <w:r>
              <w:rPr>
                <w:rFonts w:hint="eastAsia" w:ascii="Times New Roman" w:hAnsi="Times New Roman" w:eastAsia="宋体" w:cs="Times New Roman"/>
                <w:color w:val="auto"/>
                <w:spacing w:val="0"/>
                <w:position w:val="0"/>
                <w:sz w:val="24"/>
                <w:highlight w:val="none"/>
              </w:rPr>
              <w:t>本体结构主要由上部箱体、中部箱体、下部箱体（灰斗）、清灰系统和排灰机构等部分组成</w:t>
            </w:r>
            <w:r>
              <w:rPr>
                <w:rFonts w:hint="eastAsia" w:ascii="Times New Roman" w:hAnsi="Times New Roman" w:cs="Times New Roman"/>
                <w:color w:val="auto"/>
                <w:spacing w:val="0"/>
                <w:position w:val="0"/>
                <w:sz w:val="24"/>
                <w:highlight w:val="none"/>
                <w:lang w:eastAsia="zh-CN"/>
              </w:rPr>
              <w:t>。</w:t>
            </w:r>
            <w:r>
              <w:rPr>
                <w:rFonts w:hint="eastAsia" w:ascii="Times New Roman" w:hAnsi="Times New Roman" w:cs="Times New Roman"/>
                <w:color w:val="auto"/>
                <w:spacing w:val="0"/>
                <w:position w:val="0"/>
                <w:sz w:val="24"/>
                <w:highlight w:val="none"/>
                <w:lang w:val="en-US" w:eastAsia="zh-CN"/>
              </w:rPr>
              <w:t>当含尘气体进入袋式除尘器后，颗粒大、比重大的粉尘，由于重力的作用沉降下来，落入灰斗，含有较细小粉尘的气体在通过滤料时，粉尘被阻留，使气体得到净化。</w:t>
            </w:r>
            <w:r>
              <w:rPr>
                <w:rFonts w:hint="eastAsia" w:ascii="Times New Roman" w:hAnsi="Times New Roman" w:eastAsia="宋体" w:cs="Times New Roman"/>
                <w:color w:val="auto"/>
                <w:spacing w:val="0"/>
                <w:position w:val="0"/>
                <w:sz w:val="24"/>
                <w:highlight w:val="none"/>
              </w:rPr>
              <w:t>滤料使用一段时间后，由于筛滤、碰撞、滞留、扩散、静电等效应，</w:t>
            </w:r>
            <w:r>
              <w:rPr>
                <w:rFonts w:ascii="Times New Roman" w:hAnsi="Times New Roman" w:eastAsia="宋体" w:cs="Times New Roman"/>
                <w:color w:val="auto"/>
                <w:spacing w:val="0"/>
                <w:position w:val="0"/>
                <w:sz w:val="24"/>
                <w:highlight w:val="none"/>
              </w:rPr>
              <w:fldChar w:fldCharType="begin"/>
            </w:r>
            <w:r>
              <w:rPr>
                <w:rFonts w:ascii="Times New Roman" w:hAnsi="Times New Roman" w:eastAsia="宋体" w:cs="Times New Roman"/>
                <w:color w:val="auto"/>
                <w:spacing w:val="0"/>
                <w:position w:val="0"/>
                <w:sz w:val="24"/>
                <w:highlight w:val="none"/>
              </w:rPr>
              <w:instrText xml:space="preserve"> HYPERLINK "http://baike.baidu.com/view/1007933.htm" \t "_blank" </w:instrText>
            </w:r>
            <w:r>
              <w:rPr>
                <w:rFonts w:ascii="Times New Roman" w:hAnsi="Times New Roman" w:eastAsia="宋体" w:cs="Times New Roman"/>
                <w:color w:val="auto"/>
                <w:spacing w:val="0"/>
                <w:position w:val="0"/>
                <w:sz w:val="24"/>
                <w:highlight w:val="none"/>
              </w:rPr>
              <w:fldChar w:fldCharType="separate"/>
            </w:r>
            <w:r>
              <w:rPr>
                <w:rFonts w:hint="eastAsia" w:ascii="Times New Roman" w:hAnsi="Times New Roman" w:eastAsia="宋体" w:cs="Times New Roman"/>
                <w:color w:val="auto"/>
                <w:spacing w:val="0"/>
                <w:position w:val="0"/>
                <w:sz w:val="24"/>
                <w:highlight w:val="none"/>
              </w:rPr>
              <w:t>滤袋</w:t>
            </w:r>
            <w:r>
              <w:rPr>
                <w:rFonts w:hint="eastAsia" w:ascii="Times New Roman" w:hAnsi="Times New Roman" w:eastAsia="宋体" w:cs="Times New Roman"/>
                <w:color w:val="auto"/>
                <w:spacing w:val="0"/>
                <w:position w:val="0"/>
                <w:sz w:val="24"/>
                <w:highlight w:val="none"/>
              </w:rPr>
              <w:fldChar w:fldCharType="end"/>
            </w:r>
            <w:r>
              <w:rPr>
                <w:rFonts w:hint="eastAsia" w:ascii="Times New Roman" w:hAnsi="Times New Roman" w:eastAsia="宋体" w:cs="Times New Roman"/>
                <w:color w:val="auto"/>
                <w:spacing w:val="0"/>
                <w:position w:val="0"/>
                <w:sz w:val="24"/>
                <w:highlight w:val="none"/>
              </w:rPr>
              <w:t>表面积聚了一层粉尘，这层粉尘称为初层，在此以后的运动过程中，初层成了滤料的主要过滤层，依靠初层的作用，网孔较大的滤料也能获得较高的过滤效率。随着粉尘在滤料表面的积聚，除尘器的效率和阻力都相应的增加，当滤料两侧的压力差很大时，会把有些已附着在滤料上的细小尘粒挤压过去，使收尘器效率下降。另外，收尘器的阻力过高会使收尘系统的风量显著下降。因此，</w:t>
            </w:r>
            <w:r>
              <w:rPr>
                <w:rFonts w:ascii="Times New Roman" w:hAnsi="Times New Roman" w:eastAsia="宋体" w:cs="Times New Roman"/>
                <w:color w:val="auto"/>
                <w:spacing w:val="0"/>
                <w:position w:val="0"/>
                <w:sz w:val="24"/>
                <w:highlight w:val="none"/>
              </w:rPr>
              <w:fldChar w:fldCharType="begin"/>
            </w:r>
            <w:r>
              <w:rPr>
                <w:rFonts w:ascii="Times New Roman" w:hAnsi="Times New Roman" w:eastAsia="宋体" w:cs="Times New Roman"/>
                <w:color w:val="auto"/>
                <w:spacing w:val="0"/>
                <w:position w:val="0"/>
                <w:sz w:val="24"/>
                <w:highlight w:val="none"/>
              </w:rPr>
              <w:instrText xml:space="preserve"> HYPERLINK "http://baike.baidu.com/view/20142.htm" \t "_blank" </w:instrText>
            </w:r>
            <w:r>
              <w:rPr>
                <w:rFonts w:ascii="Times New Roman" w:hAnsi="Times New Roman" w:eastAsia="宋体" w:cs="Times New Roman"/>
                <w:color w:val="auto"/>
                <w:spacing w:val="0"/>
                <w:position w:val="0"/>
                <w:sz w:val="24"/>
                <w:highlight w:val="none"/>
              </w:rPr>
              <w:fldChar w:fldCharType="separate"/>
            </w:r>
            <w:r>
              <w:rPr>
                <w:rFonts w:hint="eastAsia" w:ascii="Times New Roman" w:hAnsi="Times New Roman" w:eastAsia="宋体" w:cs="Times New Roman"/>
                <w:color w:val="auto"/>
                <w:spacing w:val="0"/>
                <w:position w:val="0"/>
                <w:sz w:val="24"/>
                <w:highlight w:val="none"/>
              </w:rPr>
              <w:t>收尘器</w:t>
            </w:r>
            <w:r>
              <w:rPr>
                <w:rFonts w:hint="eastAsia" w:ascii="Times New Roman" w:hAnsi="Times New Roman" w:eastAsia="宋体" w:cs="Times New Roman"/>
                <w:color w:val="auto"/>
                <w:spacing w:val="0"/>
                <w:position w:val="0"/>
                <w:sz w:val="24"/>
                <w:highlight w:val="none"/>
              </w:rPr>
              <w:fldChar w:fldCharType="end"/>
            </w:r>
            <w:r>
              <w:rPr>
                <w:rFonts w:hint="eastAsia" w:ascii="Times New Roman" w:hAnsi="Times New Roman" w:eastAsia="宋体" w:cs="Times New Roman"/>
                <w:color w:val="auto"/>
                <w:spacing w:val="0"/>
                <w:position w:val="0"/>
                <w:sz w:val="24"/>
                <w:highlight w:val="none"/>
              </w:rPr>
              <w:t>的阻力达到一定数值后，要及时清灰。清灰时不能破坏初层，以免效</w:t>
            </w:r>
            <w:r>
              <w:rPr>
                <w:rFonts w:hint="eastAsia" w:ascii="Times New Roman" w:hAnsi="Times New Roman" w:eastAsia="宋体" w:cs="Times New Roman"/>
                <w:color w:val="auto"/>
                <w:spacing w:val="0"/>
                <w:position w:val="0"/>
                <w:sz w:val="24"/>
                <w:szCs w:val="24"/>
                <w:highlight w:val="none"/>
              </w:rPr>
              <w:t>率下降。</w:t>
            </w:r>
            <w:r>
              <w:rPr>
                <w:rFonts w:hint="eastAsia" w:ascii="Times New Roman" w:hAnsi="Times New Roman" w:eastAsia="宋体" w:cs="Times New Roman"/>
                <w:color w:val="auto"/>
                <w:spacing w:val="0"/>
                <w:position w:val="0"/>
                <w:sz w:val="24"/>
                <w:szCs w:val="24"/>
                <w:highlight w:val="none"/>
                <w:lang w:val="en-US" w:eastAsia="zh-CN"/>
              </w:rPr>
              <w:t>项目</w:t>
            </w:r>
            <w:r>
              <w:rPr>
                <w:rFonts w:hint="eastAsia"/>
                <w:color w:val="auto"/>
                <w:sz w:val="24"/>
                <w:szCs w:val="24"/>
                <w:highlight w:val="none"/>
                <w:lang w:val="en-US" w:eastAsia="zh-CN"/>
              </w:rPr>
              <w:t>脉冲布袋除尘器技术参数见下表。</w:t>
            </w:r>
          </w:p>
          <w:p w14:paraId="75244363">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宋体" w:cs="Times New Roman"/>
                <w:b/>
                <w:color w:val="auto"/>
                <w:spacing w:val="0"/>
                <w:position w:val="0"/>
                <w:sz w:val="21"/>
                <w:szCs w:val="21"/>
                <w:highlight w:val="none"/>
              </w:rPr>
            </w:pPr>
          </w:p>
          <w:p w14:paraId="3884B23E">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宋体" w:cs="Times New Roman"/>
                <w:b/>
                <w:color w:val="auto"/>
                <w:spacing w:val="0"/>
                <w:position w:val="0"/>
                <w:sz w:val="21"/>
                <w:szCs w:val="21"/>
                <w:highlight w:val="none"/>
              </w:rPr>
            </w:pPr>
          </w:p>
          <w:p w14:paraId="7934C8B0">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宋体" w:cs="Times New Roman"/>
                <w:b/>
                <w:color w:val="auto"/>
                <w:spacing w:val="0"/>
                <w:position w:val="0"/>
                <w:sz w:val="21"/>
                <w:szCs w:val="21"/>
                <w:highlight w:val="none"/>
                <w:lang w:val="en-US" w:eastAsia="zh-CN"/>
              </w:rPr>
            </w:pPr>
            <w:r>
              <w:rPr>
                <w:rFonts w:hint="eastAsia" w:ascii="Times New Roman" w:hAnsi="Times New Roman" w:eastAsia="宋体" w:cs="Times New Roman"/>
                <w:b/>
                <w:color w:val="auto"/>
                <w:spacing w:val="0"/>
                <w:position w:val="0"/>
                <w:sz w:val="21"/>
                <w:szCs w:val="21"/>
                <w:highlight w:val="none"/>
              </w:rPr>
              <w:t>表</w:t>
            </w:r>
            <w:r>
              <w:rPr>
                <w:rFonts w:hint="eastAsia" w:cs="Times New Roman"/>
                <w:b/>
                <w:color w:val="auto"/>
                <w:spacing w:val="0"/>
                <w:position w:val="0"/>
                <w:sz w:val="21"/>
                <w:szCs w:val="21"/>
                <w:highlight w:val="none"/>
                <w:lang w:val="en-US" w:eastAsia="zh-CN"/>
              </w:rPr>
              <w:t>45</w:t>
            </w:r>
            <w:r>
              <w:rPr>
                <w:rFonts w:ascii="Times New Roman" w:hAnsi="Times New Roman" w:eastAsia="宋体" w:cs="Times New Roman"/>
                <w:b/>
                <w:color w:val="auto"/>
                <w:spacing w:val="0"/>
                <w:position w:val="0"/>
                <w:sz w:val="21"/>
                <w:szCs w:val="21"/>
                <w:highlight w:val="none"/>
              </w:rPr>
              <w:t xml:space="preserve"> </w:t>
            </w:r>
            <w:r>
              <w:rPr>
                <w:rFonts w:hint="eastAsia" w:ascii="Times New Roman" w:hAnsi="Times New Roman" w:eastAsia="宋体" w:cs="Times New Roman"/>
                <w:b/>
                <w:color w:val="auto"/>
                <w:spacing w:val="0"/>
                <w:position w:val="0"/>
                <w:sz w:val="21"/>
                <w:szCs w:val="21"/>
                <w:highlight w:val="none"/>
              </w:rPr>
              <w:t xml:space="preserve"> </w:t>
            </w:r>
            <w:r>
              <w:rPr>
                <w:rFonts w:hint="eastAsia" w:cs="Times New Roman"/>
                <w:b/>
                <w:color w:val="auto"/>
                <w:spacing w:val="0"/>
                <w:position w:val="0"/>
                <w:sz w:val="21"/>
                <w:szCs w:val="21"/>
                <w:highlight w:val="none"/>
                <w:lang w:val="en-US" w:eastAsia="zh-CN"/>
              </w:rPr>
              <w:t>脉冲布袋</w:t>
            </w:r>
            <w:r>
              <w:rPr>
                <w:rFonts w:hint="eastAsia" w:ascii="Times New Roman" w:hAnsi="Times New Roman" w:eastAsia="宋体" w:cs="Times New Roman"/>
                <w:b/>
                <w:color w:val="auto"/>
                <w:spacing w:val="0"/>
                <w:position w:val="0"/>
                <w:sz w:val="21"/>
                <w:szCs w:val="21"/>
                <w:highlight w:val="none"/>
                <w:lang w:val="en-US" w:eastAsia="zh-CN"/>
              </w:rPr>
              <w:t>除尘器</w:t>
            </w:r>
            <w:r>
              <w:rPr>
                <w:rFonts w:hint="eastAsia" w:ascii="Times New Roman" w:hAnsi="Times New Roman" w:eastAsia="宋体" w:cs="Times New Roman"/>
                <w:b/>
                <w:color w:val="auto"/>
                <w:spacing w:val="0"/>
                <w:position w:val="0"/>
                <w:sz w:val="21"/>
                <w:szCs w:val="21"/>
                <w:highlight w:val="none"/>
              </w:rPr>
              <w:t>技术参数</w:t>
            </w:r>
            <w:r>
              <w:rPr>
                <w:rFonts w:hint="eastAsia" w:cs="Times New Roman"/>
                <w:b/>
                <w:color w:val="auto"/>
                <w:spacing w:val="0"/>
                <w:position w:val="0"/>
                <w:sz w:val="21"/>
                <w:szCs w:val="21"/>
                <w:highlight w:val="none"/>
                <w:lang w:val="en-US" w:eastAsia="zh-CN"/>
              </w:rPr>
              <w:t>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521"/>
              <w:gridCol w:w="2494"/>
              <w:gridCol w:w="2392"/>
            </w:tblGrid>
            <w:tr w14:paraId="1BB2E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12" w:type="dxa"/>
                  <w:noWrap w:val="0"/>
                  <w:vAlign w:val="center"/>
                </w:tcPr>
                <w:p w14:paraId="6897A9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序号</w:t>
                  </w:r>
                </w:p>
              </w:tc>
              <w:tc>
                <w:tcPr>
                  <w:tcW w:w="2608" w:type="dxa"/>
                  <w:noWrap w:val="0"/>
                  <w:vAlign w:val="center"/>
                </w:tcPr>
                <w:p w14:paraId="375111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项目</w:t>
                  </w:r>
                </w:p>
              </w:tc>
              <w:tc>
                <w:tcPr>
                  <w:tcW w:w="2580" w:type="dxa"/>
                  <w:noWrap w:val="0"/>
                  <w:vAlign w:val="center"/>
                </w:tcPr>
                <w:p w14:paraId="5D4297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单位</w:t>
                  </w:r>
                </w:p>
              </w:tc>
              <w:tc>
                <w:tcPr>
                  <w:tcW w:w="2474" w:type="dxa"/>
                  <w:noWrap w:val="0"/>
                  <w:vAlign w:val="center"/>
                </w:tcPr>
                <w:p w14:paraId="720BDD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数据</w:t>
                  </w:r>
                </w:p>
              </w:tc>
            </w:tr>
            <w:tr w14:paraId="12CDC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2" w:type="dxa"/>
                  <w:noWrap w:val="0"/>
                  <w:vAlign w:val="center"/>
                </w:tcPr>
                <w:p w14:paraId="1BD10A25">
                  <w:pPr>
                    <w:keepNext w:val="0"/>
                    <w:keepLines w:val="0"/>
                    <w:pageBreakBefore w:val="0"/>
                    <w:widowControl w:val="0"/>
                    <w:numPr>
                      <w:ilvl w:val="0"/>
                      <w:numId w:val="29"/>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2608" w:type="dxa"/>
                  <w:noWrap w:val="0"/>
                  <w:vAlign w:val="center"/>
                </w:tcPr>
                <w:p w14:paraId="6ABE45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风机风量</w:t>
                  </w:r>
                </w:p>
              </w:tc>
              <w:tc>
                <w:tcPr>
                  <w:tcW w:w="2580" w:type="dxa"/>
                  <w:noWrap w:val="0"/>
                  <w:vAlign w:val="center"/>
                </w:tcPr>
                <w:p w14:paraId="619FBB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m</w:t>
                  </w:r>
                  <w:r>
                    <w:rPr>
                      <w:rFonts w:hint="eastAsia" w:cs="Times New Roman"/>
                      <w:color w:val="auto"/>
                      <w:spacing w:val="0"/>
                      <w:position w:val="0"/>
                      <w:sz w:val="21"/>
                      <w:szCs w:val="21"/>
                      <w:highlight w:val="none"/>
                      <w:vertAlign w:val="superscript"/>
                      <w:lang w:val="en-US" w:eastAsia="zh-CN"/>
                    </w:rPr>
                    <w:t>3</w:t>
                  </w:r>
                  <w:r>
                    <w:rPr>
                      <w:rFonts w:hint="eastAsia" w:cs="Times New Roman"/>
                      <w:color w:val="auto"/>
                      <w:spacing w:val="0"/>
                      <w:position w:val="0"/>
                      <w:sz w:val="21"/>
                      <w:szCs w:val="21"/>
                      <w:highlight w:val="none"/>
                      <w:lang w:val="en-US" w:eastAsia="zh-CN"/>
                    </w:rPr>
                    <w:t>/h</w:t>
                  </w:r>
                </w:p>
              </w:tc>
              <w:tc>
                <w:tcPr>
                  <w:tcW w:w="2474" w:type="dxa"/>
                  <w:noWrap w:val="0"/>
                  <w:vAlign w:val="center"/>
                </w:tcPr>
                <w:p w14:paraId="43F0BD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8000</w:t>
                  </w:r>
                </w:p>
              </w:tc>
            </w:tr>
            <w:tr w14:paraId="4D11E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12" w:type="dxa"/>
                  <w:noWrap w:val="0"/>
                  <w:vAlign w:val="center"/>
                </w:tcPr>
                <w:p w14:paraId="3E6B3A7E">
                  <w:pPr>
                    <w:keepNext w:val="0"/>
                    <w:keepLines w:val="0"/>
                    <w:pageBreakBefore w:val="0"/>
                    <w:widowControl w:val="0"/>
                    <w:numPr>
                      <w:ilvl w:val="0"/>
                      <w:numId w:val="29"/>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2608" w:type="dxa"/>
                  <w:noWrap w:val="0"/>
                  <w:vAlign w:val="center"/>
                </w:tcPr>
                <w:p w14:paraId="59245E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除尘效率</w:t>
                  </w:r>
                </w:p>
              </w:tc>
              <w:tc>
                <w:tcPr>
                  <w:tcW w:w="2580" w:type="dxa"/>
                  <w:noWrap w:val="0"/>
                  <w:vAlign w:val="center"/>
                </w:tcPr>
                <w:p w14:paraId="0ED111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2474" w:type="dxa"/>
                  <w:noWrap w:val="0"/>
                  <w:vAlign w:val="center"/>
                </w:tcPr>
                <w:p w14:paraId="3CB92B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90</w:t>
                  </w:r>
                </w:p>
              </w:tc>
            </w:tr>
            <w:tr w14:paraId="53EA3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12" w:type="dxa"/>
                  <w:noWrap w:val="0"/>
                  <w:vAlign w:val="center"/>
                </w:tcPr>
                <w:p w14:paraId="7DD61852">
                  <w:pPr>
                    <w:keepNext w:val="0"/>
                    <w:keepLines w:val="0"/>
                    <w:pageBreakBefore w:val="0"/>
                    <w:widowControl w:val="0"/>
                    <w:numPr>
                      <w:ilvl w:val="0"/>
                      <w:numId w:val="29"/>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2608" w:type="dxa"/>
                  <w:noWrap w:val="0"/>
                  <w:vAlign w:val="center"/>
                </w:tcPr>
                <w:p w14:paraId="7ECC32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过滤风速</w:t>
                  </w:r>
                </w:p>
              </w:tc>
              <w:tc>
                <w:tcPr>
                  <w:tcW w:w="2580" w:type="dxa"/>
                  <w:noWrap w:val="0"/>
                  <w:vAlign w:val="center"/>
                </w:tcPr>
                <w:p w14:paraId="4F753C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m/min</w:t>
                  </w:r>
                </w:p>
              </w:tc>
              <w:tc>
                <w:tcPr>
                  <w:tcW w:w="2474" w:type="dxa"/>
                  <w:noWrap w:val="0"/>
                  <w:vAlign w:val="center"/>
                </w:tcPr>
                <w:p w14:paraId="63C38C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rPr>
                    <w:t>﹤</w:t>
                  </w:r>
                  <w:r>
                    <w:rPr>
                      <w:rFonts w:hint="eastAsia" w:ascii="Times New Roman" w:hAnsi="Times New Roman" w:eastAsia="宋体" w:cs="Times New Roman"/>
                      <w:color w:val="auto"/>
                      <w:spacing w:val="0"/>
                      <w:position w:val="0"/>
                      <w:sz w:val="21"/>
                      <w:szCs w:val="21"/>
                      <w:highlight w:val="none"/>
                      <w:lang w:val="en-US" w:eastAsia="zh-CN"/>
                    </w:rPr>
                    <w:t>0.8</w:t>
                  </w:r>
                </w:p>
              </w:tc>
            </w:tr>
            <w:tr w14:paraId="4B078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2" w:type="dxa"/>
                  <w:noWrap w:val="0"/>
                  <w:vAlign w:val="center"/>
                </w:tcPr>
                <w:p w14:paraId="19B55107">
                  <w:pPr>
                    <w:keepNext w:val="0"/>
                    <w:keepLines w:val="0"/>
                    <w:pageBreakBefore w:val="0"/>
                    <w:widowControl w:val="0"/>
                    <w:numPr>
                      <w:ilvl w:val="0"/>
                      <w:numId w:val="29"/>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2608" w:type="dxa"/>
                  <w:noWrap w:val="0"/>
                  <w:vAlign w:val="center"/>
                </w:tcPr>
                <w:p w14:paraId="5CCA62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布袋材质</w:t>
                  </w:r>
                </w:p>
              </w:tc>
              <w:tc>
                <w:tcPr>
                  <w:tcW w:w="2580" w:type="dxa"/>
                  <w:noWrap w:val="0"/>
                  <w:vAlign w:val="center"/>
                </w:tcPr>
                <w:p w14:paraId="4B7437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w:t>
                  </w:r>
                </w:p>
              </w:tc>
              <w:tc>
                <w:tcPr>
                  <w:tcW w:w="2474" w:type="dxa"/>
                  <w:noWrap w:val="0"/>
                  <w:vAlign w:val="center"/>
                </w:tcPr>
                <w:p w14:paraId="793592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覆膜</w:t>
                  </w:r>
                  <w:r>
                    <w:rPr>
                      <w:rFonts w:ascii="Times New Roman" w:hAnsi="Times New Roman" w:eastAsia="宋体" w:cs="Times New Roman"/>
                      <w:color w:val="auto"/>
                      <w:spacing w:val="0"/>
                      <w:position w:val="0"/>
                      <w:sz w:val="21"/>
                      <w:szCs w:val="21"/>
                      <w:highlight w:val="none"/>
                    </w:rPr>
                    <w:t>针刺毡</w:t>
                  </w:r>
                </w:p>
              </w:tc>
            </w:tr>
            <w:tr w14:paraId="2F5B3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12" w:type="dxa"/>
                  <w:noWrap w:val="0"/>
                  <w:vAlign w:val="center"/>
                </w:tcPr>
                <w:p w14:paraId="76B36351">
                  <w:pPr>
                    <w:keepNext w:val="0"/>
                    <w:keepLines w:val="0"/>
                    <w:pageBreakBefore w:val="0"/>
                    <w:widowControl w:val="0"/>
                    <w:numPr>
                      <w:ilvl w:val="0"/>
                      <w:numId w:val="29"/>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2608" w:type="dxa"/>
                  <w:noWrap w:val="0"/>
                  <w:vAlign w:val="center"/>
                </w:tcPr>
                <w:p w14:paraId="00E6B9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清灰方式</w:t>
                  </w:r>
                </w:p>
              </w:tc>
              <w:tc>
                <w:tcPr>
                  <w:tcW w:w="2580" w:type="dxa"/>
                  <w:noWrap w:val="0"/>
                  <w:vAlign w:val="center"/>
                </w:tcPr>
                <w:p w14:paraId="75C7E0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rPr>
                    <w:t>－</w:t>
                  </w:r>
                </w:p>
              </w:tc>
              <w:tc>
                <w:tcPr>
                  <w:tcW w:w="2474" w:type="dxa"/>
                  <w:noWrap w:val="0"/>
                  <w:vAlign w:val="center"/>
                </w:tcPr>
                <w:p w14:paraId="61741D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脉冲喷吹式</w:t>
                  </w:r>
                </w:p>
              </w:tc>
            </w:tr>
          </w:tbl>
          <w:p w14:paraId="226A653C">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根据本项目工程分析结果可知，</w:t>
            </w:r>
            <w:r>
              <w:rPr>
                <w:rFonts w:hint="eastAsia" w:ascii="Times New Roman" w:hAnsi="Times New Roman" w:eastAsia="宋体" w:cs="Times New Roman"/>
                <w:color w:val="auto"/>
                <w:spacing w:val="0"/>
                <w:position w:val="0"/>
                <w:sz w:val="24"/>
                <w:highlight w:val="none"/>
                <w:lang w:val="en-US" w:eastAsia="zh-CN"/>
              </w:rPr>
              <w:t>打磨过程产生的颗粒物采用脉冲布袋除尘器处理后经排气筒排放，满足相应标准限值要求</w:t>
            </w:r>
            <w:r>
              <w:rPr>
                <w:rFonts w:hint="eastAsia" w:ascii="Times New Roman" w:hAnsi="Times New Roman" w:eastAsia="宋体" w:cs="Times New Roman"/>
                <w:b w:val="0"/>
                <w:bCs w:val="0"/>
                <w:color w:val="auto"/>
                <w:sz w:val="24"/>
                <w:szCs w:val="24"/>
                <w:highlight w:val="none"/>
                <w:vertAlign w:val="baseline"/>
                <w:lang w:eastAsia="zh-CN"/>
              </w:rPr>
              <w:t>，</w:t>
            </w:r>
            <w:r>
              <w:rPr>
                <w:rFonts w:hint="eastAsia" w:ascii="Times New Roman" w:hAnsi="Times New Roman" w:eastAsia="宋体" w:cs="Times New Roman"/>
                <w:b w:val="0"/>
                <w:bCs w:val="0"/>
                <w:color w:val="auto"/>
                <w:sz w:val="24"/>
                <w:szCs w:val="24"/>
                <w:highlight w:val="none"/>
                <w:vertAlign w:val="baseline"/>
                <w:lang w:val="en-US" w:eastAsia="zh-CN"/>
              </w:rPr>
              <w:t>同时，</w:t>
            </w:r>
            <w:r>
              <w:rPr>
                <w:rFonts w:hint="eastAsia"/>
                <w:b w:val="0"/>
                <w:bCs w:val="0"/>
                <w:color w:val="auto"/>
                <w:sz w:val="24"/>
                <w:szCs w:val="24"/>
                <w:highlight w:val="none"/>
                <w:lang w:val="en-US" w:eastAsia="zh-CN"/>
              </w:rPr>
              <w:t>根据《排污许可证申请与核发技术规范 铁路、船舶、航空航天和其他运输设备制造业》（HJ1124-2020）附录A，该治理措施为可行技术。</w:t>
            </w:r>
          </w:p>
          <w:p w14:paraId="4CBDCB5E">
            <w:pPr>
              <w:bidi w:val="0"/>
              <w:rPr>
                <w:rFonts w:hint="default"/>
                <w:color w:val="auto"/>
                <w:highlight w:val="none"/>
                <w:lang w:val="en-US" w:eastAsia="zh-CN"/>
              </w:rPr>
            </w:pPr>
            <w:r>
              <w:rPr>
                <w:rFonts w:hint="eastAsia"/>
                <w:color w:val="auto"/>
                <w:highlight w:val="none"/>
                <w:lang w:val="en-US" w:eastAsia="zh-CN"/>
              </w:rPr>
              <w:t>（2）干式喷漆柜+过滤棉箱过滤+沸石转轮+催化燃烧装置</w:t>
            </w:r>
          </w:p>
          <w:p w14:paraId="764B6388">
            <w:pPr>
              <w:bidi w:val="0"/>
              <w:rPr>
                <w:rFonts w:hint="default"/>
                <w:color w:val="auto"/>
                <w:highlight w:val="none"/>
                <w:lang w:val="en-US" w:eastAsia="zh-CN"/>
              </w:rPr>
            </w:pPr>
            <w:r>
              <w:rPr>
                <w:rFonts w:hint="eastAsia"/>
                <w:color w:val="auto"/>
                <w:highlight w:val="none"/>
                <w:lang w:val="en-US" w:eastAsia="zh-CN"/>
              </w:rPr>
              <w:t>本项目</w:t>
            </w:r>
            <w:r>
              <w:rPr>
                <w:rFonts w:hint="eastAsia"/>
                <w:color w:val="auto"/>
                <w:lang w:val="en-US" w:eastAsia="zh-CN"/>
              </w:rPr>
              <w:t>调漆、喷漆、刮腻子、腻子打磨、除油过程产生废气进入干式喷漆柜（纸盒）中去除大部分漆雾后，与烘干/晾干、漆料及危废储存过程产生的废气一起进入过滤棉箱过滤+沸石转轮+催化燃烧装置进行处理，处理后通过排气筒排放。</w:t>
            </w:r>
          </w:p>
          <w:p w14:paraId="3EB47833">
            <w:pPr>
              <w:bidi w:val="0"/>
              <w:rPr>
                <w:rFonts w:hint="default"/>
                <w:color w:val="auto"/>
                <w:lang w:val="en-US" w:eastAsia="zh-CN"/>
              </w:rPr>
            </w:pPr>
            <w:r>
              <w:rPr>
                <w:rFonts w:hint="default"/>
                <w:color w:val="auto"/>
                <w:lang w:val="en-US" w:eastAsia="zh-CN"/>
              </w:rPr>
              <w:t>①</w:t>
            </w:r>
            <w:r>
              <w:rPr>
                <w:rFonts w:hint="eastAsia"/>
                <w:color w:val="auto"/>
                <w:lang w:val="en-US" w:eastAsia="zh-CN"/>
              </w:rPr>
              <w:t>干式喷漆柜</w:t>
            </w:r>
          </w:p>
          <w:p w14:paraId="5FA7A457">
            <w:pPr>
              <w:bidi w:val="0"/>
              <w:rPr>
                <w:rFonts w:hint="eastAsia"/>
                <w:color w:val="auto"/>
                <w:lang w:val="en-US" w:eastAsia="zh-CN"/>
              </w:rPr>
            </w:pPr>
            <w:r>
              <w:rPr>
                <w:rFonts w:hint="eastAsia"/>
                <w:color w:val="auto"/>
                <w:lang w:val="en-US" w:eastAsia="zh-CN"/>
              </w:rPr>
              <w:t>本项目所用干式喷漆柜过滤材料为纸盒，设备由箱体、迷宫过滤纸箱、风机、电控箱等部分组成。漆雾过滤纸箱由牛皮纸板制作而成，内部有错综复杂的边缘和开孔构成，扩大了吸附表面，不同路径结构的排列组合以及对离心力的利用，使纸箱具有很强的吸附能力。迷宫式纸箱空气阻力低，过滤效果强，容尘量比漆雾棉要高4-5倍，容尘饱和时气流量不减少。另外纸箱过滤器为积木式组装，等到过滤器完全饱和后，可以更换单个过滤箱体，不用更换整个过滤面。</w:t>
            </w:r>
          </w:p>
          <w:p w14:paraId="195CB5CA">
            <w:pPr>
              <w:bidi w:val="0"/>
              <w:rPr>
                <w:rFonts w:hint="default"/>
                <w:color w:val="auto"/>
                <w:highlight w:val="none"/>
                <w:lang w:val="en-US" w:eastAsia="zh-CN"/>
              </w:rPr>
            </w:pPr>
            <w:r>
              <w:rPr>
                <w:rFonts w:hint="default"/>
                <w:color w:val="auto"/>
                <w:highlight w:val="none"/>
                <w:lang w:val="en-US" w:eastAsia="zh-CN"/>
              </w:rPr>
              <w:t>迷宫纸</w:t>
            </w:r>
            <w:r>
              <w:rPr>
                <w:rFonts w:hint="eastAsia"/>
                <w:color w:val="auto"/>
                <w:highlight w:val="none"/>
                <w:lang w:val="en-US" w:eastAsia="zh-CN"/>
              </w:rPr>
              <w:t>盒</w:t>
            </w:r>
            <w:r>
              <w:rPr>
                <w:rFonts w:hint="default"/>
                <w:color w:val="auto"/>
                <w:highlight w:val="none"/>
                <w:lang w:val="en-US" w:eastAsia="zh-CN"/>
              </w:rPr>
              <w:t>干式喷漆柜优点：迷宫式干式喷漆柜设备投资小、运行无噪音、安装及操作简单。对喷漆房漆雾颗粒及粉末处理效率高，且不会造成2次污染，省去了水帘式喷漆柜用水及后继污水排放，节约了维护成本</w:t>
            </w:r>
            <w:r>
              <w:rPr>
                <w:rFonts w:hint="eastAsia"/>
                <w:color w:val="auto"/>
                <w:highlight w:val="none"/>
                <w:lang w:val="en-US" w:eastAsia="zh-CN"/>
              </w:rPr>
              <w:t>。</w:t>
            </w:r>
          </w:p>
          <w:p w14:paraId="2447FD43">
            <w:pPr>
              <w:bidi w:val="0"/>
              <w:rPr>
                <w:rFonts w:hint="default"/>
                <w:color w:val="auto"/>
                <w:highlight w:val="none"/>
                <w:lang w:val="en-US"/>
              </w:rPr>
            </w:pPr>
            <w:r>
              <w:rPr>
                <w:rFonts w:hint="default"/>
                <w:color w:val="auto"/>
                <w:highlight w:val="none"/>
                <w:lang w:val="en-US" w:eastAsia="zh-CN"/>
              </w:rPr>
              <w:t>②过滤棉箱</w:t>
            </w:r>
          </w:p>
          <w:p w14:paraId="2AE1D1E2">
            <w:pPr>
              <w:bidi w:val="0"/>
              <w:rPr>
                <w:rFonts w:hint="default" w:eastAsia="宋体"/>
                <w:color w:val="auto"/>
                <w:highlight w:val="none"/>
                <w:lang w:val="en-US" w:eastAsia="zh-CN"/>
              </w:rPr>
            </w:pPr>
            <w:r>
              <w:rPr>
                <w:rFonts w:hint="default"/>
                <w:color w:val="auto"/>
                <w:highlight w:val="none"/>
              </w:rPr>
              <w:t>为了防止废气中的杂质进入到吸附净化装置系统，在</w:t>
            </w:r>
            <w:r>
              <w:rPr>
                <w:rFonts w:hint="eastAsia"/>
                <w:color w:val="auto"/>
                <w:highlight w:val="none"/>
                <w:lang w:val="en-US" w:eastAsia="zh-CN"/>
              </w:rPr>
              <w:t>沸石转轮</w:t>
            </w:r>
            <w:r>
              <w:rPr>
                <w:rFonts w:hint="default"/>
                <w:color w:val="auto"/>
                <w:highlight w:val="none"/>
              </w:rPr>
              <w:t>前设置干式除尘过滤器；其采用过滤净化、效率高、无二次污染的玻璃纤维阻燃过滤材料净化杂质，这种干式过滤材料是专门开发出来的适用空气净化特点的材料，由多层玻璃纤维复合而成，密度随着厚度逐渐增大。过滤时多层纤维对微小粒子起拦截、碰撞、扩散、吸收等作用，废气通过时将尘粒容纳在材料中。</w:t>
            </w:r>
            <w:r>
              <w:rPr>
                <w:rFonts w:hint="eastAsia"/>
                <w:color w:val="auto"/>
                <w:highlight w:val="none"/>
                <w:lang w:val="en-US" w:eastAsia="zh-CN"/>
              </w:rPr>
              <w:t>本项目共设置4道过滤棉去除废气中的颗粒物。</w:t>
            </w:r>
          </w:p>
          <w:p w14:paraId="32B03205">
            <w:pPr>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根据《吸附法工业有机废气治理工程技术规范》（HJ2026-2013）中相关要求，当废气中颗粒物含量超过1mg/m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时，应先采用过滤或洗涤等方式进行预处理，本项目喷漆、腻子打磨过程产生的颗粒物</w:t>
            </w:r>
            <w:r>
              <w:rPr>
                <w:rFonts w:hint="eastAsia" w:ascii="Times New Roman" w:hAnsi="Times New Roman" w:cs="Times New Roman"/>
                <w:b w:val="0"/>
                <w:bCs w:val="0"/>
                <w:color w:val="auto"/>
                <w:sz w:val="24"/>
                <w:szCs w:val="24"/>
                <w:highlight w:val="none"/>
                <w:lang w:val="en-US" w:eastAsia="zh-CN"/>
              </w:rPr>
              <w:t>先进入干式喷漆柜+过滤棉箱处理</w:t>
            </w:r>
            <w:r>
              <w:rPr>
                <w:rFonts w:hint="eastAsia" w:ascii="Times New Roman" w:hAnsi="Times New Roman" w:eastAsia="宋体" w:cs="Times New Roman"/>
                <w:color w:val="auto"/>
                <w:sz w:val="24"/>
                <w:szCs w:val="24"/>
                <w:highlight w:val="none"/>
                <w:lang w:val="en-US" w:eastAsia="zh-CN"/>
              </w:rPr>
              <w:t>，然后再进入</w:t>
            </w:r>
            <w:r>
              <w:rPr>
                <w:rFonts w:hint="eastAsia"/>
                <w:color w:val="auto"/>
                <w:lang w:val="en-US" w:eastAsia="zh-CN"/>
              </w:rPr>
              <w:t>沸石转轮+催化燃烧装置</w:t>
            </w:r>
            <w:r>
              <w:rPr>
                <w:rFonts w:hint="eastAsia" w:ascii="Times New Roman" w:hAnsi="Times New Roman" w:eastAsia="宋体" w:cs="Times New Roman"/>
                <w:color w:val="auto"/>
                <w:sz w:val="24"/>
                <w:szCs w:val="24"/>
                <w:highlight w:val="none"/>
                <w:lang w:val="en-US" w:eastAsia="zh-CN"/>
              </w:rPr>
              <w:t>处理有机废气。根据工程分析可知，</w:t>
            </w:r>
            <w:r>
              <w:rPr>
                <w:rFonts w:hint="eastAsia" w:ascii="Times New Roman" w:hAnsi="Times New Roman" w:cs="Times New Roman"/>
                <w:b w:val="0"/>
                <w:bCs w:val="0"/>
                <w:color w:val="auto"/>
                <w:sz w:val="24"/>
                <w:szCs w:val="24"/>
                <w:highlight w:val="none"/>
                <w:lang w:val="en-US" w:eastAsia="zh-CN"/>
              </w:rPr>
              <w:t>颗粒物</w:t>
            </w:r>
            <w:r>
              <w:rPr>
                <w:rFonts w:hint="eastAsia" w:ascii="Times New Roman" w:hAnsi="Times New Roman" w:eastAsia="宋体" w:cs="Times New Roman"/>
                <w:color w:val="auto"/>
                <w:sz w:val="24"/>
                <w:szCs w:val="24"/>
                <w:highlight w:val="none"/>
                <w:lang w:val="en-US" w:eastAsia="zh-CN"/>
              </w:rPr>
              <w:t>经</w:t>
            </w:r>
            <w:r>
              <w:rPr>
                <w:rFonts w:hint="eastAsia" w:ascii="Times New Roman" w:hAnsi="Times New Roman" w:cs="Times New Roman"/>
                <w:color w:val="auto"/>
                <w:sz w:val="24"/>
                <w:szCs w:val="24"/>
                <w:highlight w:val="none"/>
                <w:lang w:val="en-US" w:eastAsia="zh-CN"/>
              </w:rPr>
              <w:t>干式喷漆柜</w:t>
            </w:r>
            <w:r>
              <w:rPr>
                <w:rFonts w:hint="eastAsia" w:ascii="Times New Roman" w:hAnsi="Times New Roman" w:eastAsia="宋体" w:cs="Times New Roman"/>
                <w:color w:val="auto"/>
                <w:sz w:val="24"/>
                <w:szCs w:val="24"/>
                <w:highlight w:val="none"/>
                <w:lang w:val="en-US" w:eastAsia="zh-CN"/>
              </w:rPr>
              <w:t>和干式过滤棉箱处理后进入活性炭箱废气中颗粒物的浓度为</w:t>
            </w:r>
            <w:r>
              <w:rPr>
                <w:rFonts w:hint="eastAsia" w:ascii="Times New Roman" w:hAnsi="Times New Roman" w:cs="Times New Roman"/>
                <w:color w:val="auto"/>
                <w:sz w:val="24"/>
                <w:szCs w:val="24"/>
                <w:highlight w:val="none"/>
                <w:lang w:val="en-US" w:eastAsia="zh-CN"/>
              </w:rPr>
              <w:t>0.7</w:t>
            </w:r>
            <w:r>
              <w:rPr>
                <w:rFonts w:hint="eastAsia" w:ascii="Times New Roman" w:hAnsi="Times New Roman" w:eastAsia="宋体" w:cs="Times New Roman"/>
                <w:color w:val="auto"/>
                <w:sz w:val="24"/>
                <w:szCs w:val="24"/>
                <w:highlight w:val="none"/>
                <w:lang w:val="en-US" w:eastAsia="zh-CN"/>
              </w:rPr>
              <w:t>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，满足</w:t>
            </w:r>
            <w:r>
              <w:rPr>
                <w:rFonts w:hint="eastAsia" w:ascii="Times New Roman" w:hAnsi="Times New Roman" w:eastAsia="宋体" w:cs="Times New Roman"/>
                <w:color w:val="auto"/>
                <w:sz w:val="24"/>
                <w:szCs w:val="24"/>
                <w:highlight w:val="none"/>
                <w:lang w:val="en-US" w:eastAsia="zh-CN"/>
              </w:rPr>
              <w:t>《吸附法工业有机废气治理工程技术规范》（HJ2026-2013）中相关要求。</w:t>
            </w:r>
          </w:p>
          <w:p w14:paraId="0C854E24">
            <w:pPr>
              <w:bidi w:val="0"/>
              <w:rPr>
                <w:rFonts w:hint="default" w:eastAsia="宋体"/>
                <w:color w:val="auto"/>
                <w:lang w:val="en-US" w:eastAsia="zh-CN"/>
              </w:rPr>
            </w:pPr>
            <w:r>
              <w:rPr>
                <w:rFonts w:hint="eastAsia"/>
                <w:color w:val="auto"/>
              </w:rPr>
              <w:t>③</w:t>
            </w:r>
            <w:r>
              <w:rPr>
                <w:rFonts w:hint="eastAsia"/>
                <w:color w:val="auto"/>
                <w:lang w:val="en-US" w:eastAsia="zh-CN"/>
              </w:rPr>
              <w:t>沸石转轮+催化燃烧</w:t>
            </w:r>
          </w:p>
          <w:p w14:paraId="205D958C">
            <w:pPr>
              <w:bidi w:val="0"/>
              <w:rPr>
                <w:color w:val="auto"/>
              </w:rPr>
            </w:pPr>
            <w:r>
              <w:rPr>
                <w:color w:val="auto"/>
              </w:rPr>
              <w:t>沸石转轮设备是利用吸附－脱附－浓缩三项连续变温的吸、脱附程序，使VOCs废气通过转轮的旋转，同时完成气体的脱附和转轮的再生过程。进入浓缩转轮的有机废气经过沸石吸附净化后直接通过烟囱排放到大气中。被吸附的有机物质因转轮的持续转动（1-6 R/h）而进入脱附区，利用加热气体在此区域脱附，使得低浓度、大风量有机废气浓缩为高浓度、小风量的浓缩气体，进入催化燃烧设备（CO）进行燃烧转化成二氧化碳及水蒸气排放至大气中，如此循环工作。</w:t>
            </w:r>
          </w:p>
          <w:p w14:paraId="43C04DCD">
            <w:pPr>
              <w:bidi w:val="0"/>
              <w:rPr>
                <w:rFonts w:hint="eastAsia"/>
                <w:color w:val="auto"/>
              </w:rPr>
            </w:pPr>
            <w:r>
              <w:rPr>
                <w:color w:val="auto"/>
              </w:rPr>
              <w:t>沸石转轮设备分为处理区和再生区，为了保证吸附的整个过程是连续的，吸附区缓慢旋转（1-6 R/h）。含有挥发性有机化合物</w:t>
            </w:r>
            <w:r>
              <w:rPr>
                <w:rFonts w:hint="eastAsia"/>
                <w:color w:val="auto"/>
                <w:lang w:eastAsia="zh-CN"/>
              </w:rPr>
              <w:t>（</w:t>
            </w:r>
            <w:r>
              <w:rPr>
                <w:color w:val="auto"/>
              </w:rPr>
              <w:t>VOCs</w:t>
            </w:r>
            <w:r>
              <w:rPr>
                <w:rFonts w:hint="eastAsia"/>
                <w:color w:val="auto"/>
                <w:lang w:eastAsia="zh-CN"/>
              </w:rPr>
              <w:t>）</w:t>
            </w:r>
            <w:r>
              <w:rPr>
                <w:color w:val="auto"/>
              </w:rPr>
              <w:t>的废气经过轮子的处理区时，轮子内的废气组分被吸附剂吸附，轮子逐渐趋于饱和，处理后的废气净化排空。与此同时，在再生区，高温空气通过吸附饱和的转轮，使转轮上所吸附的废气被脱附并被高温空气带离，从而恢复了转轮的吸附能力，达到连续去除VOCs的效果，同时，提高了废气浓度，便于催化氧化处理。在催化燃烧室中产生的高温废气是高温脱附热风的来源。脱附过程中产生的浓缩废气在进入催化床前先用高温废气在热交换器中换热，对脱附废气进行预热后进入催化床。在催化床中，脱附气体上升到300℃，催化氧化反应时，有机废气氧化为C</w:t>
            </w:r>
            <w:r>
              <w:rPr>
                <w:rFonts w:hint="eastAsia"/>
                <w:color w:val="auto"/>
                <w:lang w:val="en-US" w:eastAsia="zh-CN"/>
              </w:rPr>
              <w:t>O</w:t>
            </w:r>
            <w:r>
              <w:rPr>
                <w:color w:val="auto"/>
                <w:vertAlign w:val="subscript"/>
              </w:rPr>
              <w:t>2</w:t>
            </w:r>
            <w:r>
              <w:rPr>
                <w:color w:val="auto"/>
              </w:rPr>
              <w:t>和H</w:t>
            </w:r>
            <w:r>
              <w:rPr>
                <w:color w:val="auto"/>
                <w:vertAlign w:val="subscript"/>
              </w:rPr>
              <w:t>2</w:t>
            </w:r>
            <w:r>
              <w:rPr>
                <w:rFonts w:hint="eastAsia"/>
                <w:color w:val="auto"/>
                <w:lang w:val="en-US" w:eastAsia="zh-CN"/>
              </w:rPr>
              <w:t>O</w:t>
            </w:r>
            <w:r>
              <w:rPr>
                <w:color w:val="auto"/>
              </w:rPr>
              <w:t>，且无毒性，释放热量。排出时所形成的废气</w:t>
            </w:r>
            <w:r>
              <w:rPr>
                <w:rFonts w:hint="eastAsia"/>
                <w:color w:val="auto"/>
                <w:lang w:eastAsia="zh-CN"/>
              </w:rPr>
              <w:t>（</w:t>
            </w:r>
            <w:r>
              <w:rPr>
                <w:color w:val="auto"/>
              </w:rPr>
              <w:t>&lt;650℃</w:t>
            </w:r>
            <w:r>
              <w:rPr>
                <w:rFonts w:hint="eastAsia"/>
                <w:color w:val="auto"/>
                <w:lang w:eastAsia="zh-CN"/>
              </w:rPr>
              <w:t>）</w:t>
            </w:r>
            <w:r>
              <w:rPr>
                <w:color w:val="auto"/>
              </w:rPr>
              <w:t>与进气进行热交换后，直接排入烟囱或分流作为分离热风使用。连续运行时，吸附转轮缓慢旋转，对连续或间断运行有较好的适应性。</w:t>
            </w:r>
          </w:p>
          <w:p w14:paraId="3F41647A">
            <w:pPr>
              <w:pStyle w:val="33"/>
              <w:bidi w:val="0"/>
              <w:rPr>
                <w:rFonts w:hint="default" w:ascii="Times New Roman" w:hAnsi="Times New Roman" w:eastAsia="宋体" w:cs="Times New Roman"/>
                <w:b/>
                <w:bCs/>
                <w:color w:val="auto"/>
                <w:highlight w:val="none"/>
                <w:lang w:val="en-US" w:eastAsia="zh-CN"/>
              </w:rPr>
            </w:pPr>
            <w:r>
              <w:rPr>
                <w:rFonts w:hint="default"/>
                <w:color w:val="auto"/>
                <w:highlight w:val="none"/>
              </w:rPr>
              <w:t>表</w:t>
            </w:r>
            <w:r>
              <w:rPr>
                <w:rFonts w:hint="eastAsia"/>
                <w:color w:val="auto"/>
                <w:highlight w:val="none"/>
                <w:lang w:val="en-US" w:eastAsia="zh-CN"/>
              </w:rPr>
              <w:t>46</w:t>
            </w:r>
            <w:r>
              <w:rPr>
                <w:rFonts w:hint="default"/>
                <w:color w:val="auto"/>
                <w:highlight w:val="none"/>
              </w:rPr>
              <w:t xml:space="preserve">  </w:t>
            </w:r>
            <w:r>
              <w:rPr>
                <w:rFonts w:hint="eastAsia"/>
                <w:color w:val="auto"/>
                <w:highlight w:val="none"/>
                <w:lang w:val="en-US" w:eastAsia="zh-CN"/>
              </w:rPr>
              <w:t>沸石转轮+催化燃烧装</w:t>
            </w:r>
            <w:r>
              <w:rPr>
                <w:rFonts w:hint="default"/>
                <w:color w:val="auto"/>
                <w:highlight w:val="none"/>
              </w:rPr>
              <w:t>置技术参数</w:t>
            </w:r>
            <w:r>
              <w:rPr>
                <w:rFonts w:hint="default"/>
                <w:color w:val="auto"/>
                <w:highlight w:val="none"/>
                <w:lang w:val="en-US" w:eastAsia="zh-CN"/>
              </w:rPr>
              <w:t>一览表</w:t>
            </w:r>
          </w:p>
          <w:tbl>
            <w:tblPr>
              <w:tblStyle w:val="25"/>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2197"/>
              <w:gridCol w:w="2040"/>
              <w:gridCol w:w="2970"/>
            </w:tblGrid>
            <w:tr w14:paraId="61B9F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3" w:type="dxa"/>
                  <w:tcBorders>
                    <w:tl2br w:val="nil"/>
                    <w:tr2bl w:val="nil"/>
                  </w:tcBorders>
                  <w:noWrap w:val="0"/>
                  <w:vAlign w:val="center"/>
                </w:tcPr>
                <w:p w14:paraId="30F6141F">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197" w:type="dxa"/>
                  <w:tcBorders>
                    <w:tl2br w:val="nil"/>
                    <w:tr2bl w:val="nil"/>
                  </w:tcBorders>
                  <w:noWrap w:val="0"/>
                  <w:vAlign w:val="center"/>
                </w:tcPr>
                <w:p w14:paraId="1823C98C">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2040" w:type="dxa"/>
                  <w:tcBorders>
                    <w:tl2br w:val="nil"/>
                    <w:tr2bl w:val="nil"/>
                  </w:tcBorders>
                  <w:noWrap w:val="0"/>
                  <w:vAlign w:val="center"/>
                </w:tcPr>
                <w:p w14:paraId="1E736374">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2970" w:type="dxa"/>
                  <w:tcBorders>
                    <w:tl2br w:val="nil"/>
                    <w:tr2bl w:val="nil"/>
                  </w:tcBorders>
                  <w:noWrap w:val="0"/>
                  <w:vAlign w:val="center"/>
                </w:tcPr>
                <w:p w14:paraId="0A6C0052">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参数</w:t>
                  </w:r>
                </w:p>
              </w:tc>
            </w:tr>
            <w:tr w14:paraId="65A32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3" w:type="dxa"/>
                  <w:tcBorders>
                    <w:tl2br w:val="nil"/>
                    <w:tr2bl w:val="nil"/>
                  </w:tcBorders>
                  <w:noWrap w:val="0"/>
                  <w:vAlign w:val="center"/>
                </w:tcPr>
                <w:p w14:paraId="2F8898E4">
                  <w:pPr>
                    <w:pStyle w:val="31"/>
                    <w:keepNext w:val="0"/>
                    <w:keepLines w:val="0"/>
                    <w:pageBreakBefore w:val="0"/>
                    <w:widowControl w:val="0"/>
                    <w:numPr>
                      <w:ilvl w:val="0"/>
                      <w:numId w:val="3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197" w:type="dxa"/>
                  <w:tcBorders>
                    <w:tl2br w:val="nil"/>
                    <w:tr2bl w:val="nil"/>
                  </w:tcBorders>
                  <w:noWrap w:val="0"/>
                  <w:vAlign w:val="center"/>
                </w:tcPr>
                <w:p w14:paraId="063090B1">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去除效率</w:t>
                  </w:r>
                </w:p>
              </w:tc>
              <w:tc>
                <w:tcPr>
                  <w:tcW w:w="2040" w:type="dxa"/>
                  <w:tcBorders>
                    <w:tl2br w:val="nil"/>
                    <w:tr2bl w:val="nil"/>
                  </w:tcBorders>
                  <w:noWrap w:val="0"/>
                  <w:vAlign w:val="center"/>
                </w:tcPr>
                <w:p w14:paraId="17B50B78">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w:t>
                  </w:r>
                </w:p>
              </w:tc>
              <w:tc>
                <w:tcPr>
                  <w:tcW w:w="2970" w:type="dxa"/>
                  <w:tcBorders>
                    <w:tl2br w:val="nil"/>
                    <w:tr2bl w:val="nil"/>
                  </w:tcBorders>
                  <w:noWrap w:val="0"/>
                  <w:vAlign w:val="center"/>
                </w:tcPr>
                <w:p w14:paraId="2E2D45C1">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90</w:t>
                  </w:r>
                </w:p>
              </w:tc>
            </w:tr>
            <w:tr w14:paraId="597DB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183" w:type="dxa"/>
                  <w:tcBorders>
                    <w:tl2br w:val="nil"/>
                    <w:tr2bl w:val="nil"/>
                  </w:tcBorders>
                  <w:noWrap w:val="0"/>
                  <w:vAlign w:val="center"/>
                </w:tcPr>
                <w:p w14:paraId="58804963">
                  <w:pPr>
                    <w:pStyle w:val="31"/>
                    <w:keepNext w:val="0"/>
                    <w:keepLines w:val="0"/>
                    <w:pageBreakBefore w:val="0"/>
                    <w:widowControl w:val="0"/>
                    <w:numPr>
                      <w:ilvl w:val="0"/>
                      <w:numId w:val="3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197" w:type="dxa"/>
                  <w:tcBorders>
                    <w:tl2br w:val="nil"/>
                    <w:tr2bl w:val="nil"/>
                  </w:tcBorders>
                  <w:noWrap w:val="0"/>
                  <w:vAlign w:val="center"/>
                </w:tcPr>
                <w:p w14:paraId="7A0539C8">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rPr>
                  </w:pPr>
                  <w:r>
                    <w:rPr>
                      <w:rFonts w:hint="eastAsia"/>
                      <w:color w:val="auto"/>
                      <w:sz w:val="21"/>
                      <w:szCs w:val="21"/>
                      <w:highlight w:val="none"/>
                      <w:lang w:val="en-US" w:eastAsia="zh-CN"/>
                    </w:rPr>
                    <w:t>沸石分子筛转轮吸附区表观流速</w:t>
                  </w:r>
                </w:p>
              </w:tc>
              <w:tc>
                <w:tcPr>
                  <w:tcW w:w="2040" w:type="dxa"/>
                  <w:tcBorders>
                    <w:tl2br w:val="nil"/>
                    <w:tr2bl w:val="nil"/>
                  </w:tcBorders>
                  <w:noWrap w:val="0"/>
                  <w:vAlign w:val="center"/>
                </w:tcPr>
                <w:p w14:paraId="18786E7C">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rPr>
                  </w:pPr>
                  <w:r>
                    <w:rPr>
                      <w:rFonts w:hint="eastAsia"/>
                      <w:color w:val="auto"/>
                      <w:sz w:val="21"/>
                      <w:szCs w:val="21"/>
                      <w:highlight w:val="none"/>
                      <w:lang w:val="en-US" w:eastAsia="zh-CN"/>
                    </w:rPr>
                    <w:t>m/s</w:t>
                  </w:r>
                </w:p>
              </w:tc>
              <w:tc>
                <w:tcPr>
                  <w:tcW w:w="2970" w:type="dxa"/>
                  <w:tcBorders>
                    <w:tl2br w:val="nil"/>
                    <w:tr2bl w:val="nil"/>
                  </w:tcBorders>
                  <w:noWrap w:val="0"/>
                  <w:vAlign w:val="center"/>
                </w:tcPr>
                <w:p w14:paraId="7503D3F4">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rPr>
                  </w:pPr>
                  <w:r>
                    <w:rPr>
                      <w:rFonts w:hint="eastAsia"/>
                      <w:color w:val="auto"/>
                      <w:sz w:val="21"/>
                      <w:szCs w:val="21"/>
                      <w:highlight w:val="none"/>
                      <w:lang w:val="en-US" w:eastAsia="zh-CN"/>
                    </w:rPr>
                    <w:t>&lt;4.5</w:t>
                  </w:r>
                </w:p>
              </w:tc>
            </w:tr>
            <w:tr w14:paraId="3B9C7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83" w:type="dxa"/>
                  <w:tcBorders>
                    <w:tl2br w:val="nil"/>
                    <w:tr2bl w:val="nil"/>
                  </w:tcBorders>
                  <w:noWrap w:val="0"/>
                  <w:vAlign w:val="center"/>
                </w:tcPr>
                <w:p w14:paraId="08A11F1D">
                  <w:pPr>
                    <w:pStyle w:val="31"/>
                    <w:keepNext w:val="0"/>
                    <w:keepLines w:val="0"/>
                    <w:pageBreakBefore w:val="0"/>
                    <w:widowControl w:val="0"/>
                    <w:numPr>
                      <w:ilvl w:val="0"/>
                      <w:numId w:val="3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197" w:type="dxa"/>
                  <w:tcBorders>
                    <w:tl2br w:val="nil"/>
                    <w:tr2bl w:val="nil"/>
                  </w:tcBorders>
                  <w:noWrap w:val="0"/>
                  <w:vAlign w:val="center"/>
                </w:tcPr>
                <w:p w14:paraId="012A2A31">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lang w:val="en-US"/>
                    </w:rPr>
                  </w:pPr>
                  <w:r>
                    <w:rPr>
                      <w:rFonts w:hint="eastAsia"/>
                      <w:color w:val="auto"/>
                      <w:sz w:val="21"/>
                      <w:szCs w:val="21"/>
                      <w:highlight w:val="none"/>
                      <w:lang w:val="en-US" w:eastAsia="zh-CN"/>
                    </w:rPr>
                    <w:t>催化剂类型</w:t>
                  </w:r>
                </w:p>
              </w:tc>
              <w:tc>
                <w:tcPr>
                  <w:tcW w:w="2040" w:type="dxa"/>
                  <w:tcBorders>
                    <w:tl2br w:val="nil"/>
                    <w:tr2bl w:val="nil"/>
                  </w:tcBorders>
                  <w:noWrap w:val="0"/>
                  <w:vAlign w:val="center"/>
                </w:tcPr>
                <w:p w14:paraId="4219F3C9">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rPr>
                  </w:pPr>
                  <w:r>
                    <w:rPr>
                      <w:rFonts w:hint="eastAsia" w:ascii="宋体" w:hAnsi="宋体" w:eastAsia="宋体" w:cs="宋体"/>
                      <w:b/>
                      <w:bCs/>
                      <w:color w:val="auto"/>
                      <w:sz w:val="21"/>
                      <w:szCs w:val="21"/>
                      <w:highlight w:val="none"/>
                    </w:rPr>
                    <w:t>－</w:t>
                  </w:r>
                </w:p>
              </w:tc>
              <w:tc>
                <w:tcPr>
                  <w:tcW w:w="2970" w:type="dxa"/>
                  <w:tcBorders>
                    <w:tl2br w:val="nil"/>
                    <w:tr2bl w:val="nil"/>
                  </w:tcBorders>
                  <w:noWrap w:val="0"/>
                  <w:vAlign w:val="center"/>
                </w:tcPr>
                <w:p w14:paraId="39CE4717">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default" w:ascii="Times New Roman" w:hAnsi="Times New Roman" w:eastAsia="宋体" w:cs="Times New Roman"/>
                      <w:b/>
                      <w:bCs/>
                      <w:color w:val="auto"/>
                      <w:sz w:val="21"/>
                      <w:szCs w:val="21"/>
                      <w:highlight w:val="none"/>
                    </w:rPr>
                  </w:pPr>
                  <w:r>
                    <w:rPr>
                      <w:rFonts w:hint="eastAsia"/>
                      <w:color w:val="auto"/>
                      <w:sz w:val="21"/>
                      <w:szCs w:val="21"/>
                      <w:highlight w:val="none"/>
                      <w:lang w:val="en-US" w:eastAsia="zh-CN"/>
                    </w:rPr>
                    <w:t>铂钯贵金属</w:t>
                  </w:r>
                </w:p>
              </w:tc>
            </w:tr>
            <w:tr w14:paraId="10A96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3" w:type="dxa"/>
                  <w:tcBorders>
                    <w:tl2br w:val="nil"/>
                    <w:tr2bl w:val="nil"/>
                  </w:tcBorders>
                  <w:noWrap w:val="0"/>
                  <w:vAlign w:val="center"/>
                </w:tcPr>
                <w:p w14:paraId="7D8CC78B">
                  <w:pPr>
                    <w:pStyle w:val="31"/>
                    <w:keepNext w:val="0"/>
                    <w:keepLines w:val="0"/>
                    <w:pageBreakBefore w:val="0"/>
                    <w:widowControl w:val="0"/>
                    <w:numPr>
                      <w:ilvl w:val="0"/>
                      <w:numId w:val="3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197" w:type="dxa"/>
                  <w:tcBorders>
                    <w:tl2br w:val="nil"/>
                    <w:tr2bl w:val="nil"/>
                  </w:tcBorders>
                  <w:noWrap w:val="0"/>
                  <w:vAlign w:val="center"/>
                </w:tcPr>
                <w:p w14:paraId="74BB9C0F">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催化剂负载量</w:t>
                  </w:r>
                </w:p>
              </w:tc>
              <w:tc>
                <w:tcPr>
                  <w:tcW w:w="2040" w:type="dxa"/>
                  <w:tcBorders>
                    <w:tl2br w:val="nil"/>
                    <w:tr2bl w:val="nil"/>
                  </w:tcBorders>
                  <w:noWrap w:val="0"/>
                  <w:vAlign w:val="center"/>
                </w:tcPr>
                <w:p w14:paraId="0E9D3FBB">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ascii="宋体" w:hAnsi="宋体" w:eastAsia="宋体" w:cs="宋体"/>
                      <w:b/>
                      <w:bCs/>
                      <w:color w:val="auto"/>
                      <w:sz w:val="21"/>
                      <w:szCs w:val="21"/>
                      <w:highlight w:val="none"/>
                    </w:rPr>
                  </w:pPr>
                  <w:r>
                    <w:rPr>
                      <w:rFonts w:hint="eastAsia"/>
                      <w:color w:val="auto"/>
                      <w:sz w:val="21"/>
                      <w:szCs w:val="21"/>
                      <w:highlight w:val="none"/>
                      <w:lang w:val="en-US" w:eastAsia="zh-CN"/>
                    </w:rPr>
                    <w:t>g/m</w:t>
                  </w:r>
                  <w:r>
                    <w:rPr>
                      <w:rFonts w:hint="eastAsia"/>
                      <w:color w:val="auto"/>
                      <w:sz w:val="21"/>
                      <w:szCs w:val="21"/>
                      <w:highlight w:val="none"/>
                      <w:vertAlign w:val="superscript"/>
                      <w:lang w:val="en-US" w:eastAsia="zh-CN"/>
                    </w:rPr>
                    <w:t>3</w:t>
                  </w:r>
                </w:p>
              </w:tc>
              <w:tc>
                <w:tcPr>
                  <w:tcW w:w="2970" w:type="dxa"/>
                  <w:tcBorders>
                    <w:tl2br w:val="nil"/>
                    <w:tr2bl w:val="nil"/>
                  </w:tcBorders>
                  <w:noWrap w:val="0"/>
                  <w:vAlign w:val="center"/>
                </w:tcPr>
                <w:p w14:paraId="2BE69DA8">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350-850</w:t>
                  </w:r>
                </w:p>
              </w:tc>
            </w:tr>
            <w:tr w14:paraId="2068C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83" w:type="dxa"/>
                  <w:tcBorders>
                    <w:tl2br w:val="nil"/>
                    <w:tr2bl w:val="nil"/>
                  </w:tcBorders>
                  <w:noWrap w:val="0"/>
                  <w:vAlign w:val="center"/>
                </w:tcPr>
                <w:p w14:paraId="64309AD6">
                  <w:pPr>
                    <w:pStyle w:val="31"/>
                    <w:keepNext w:val="0"/>
                    <w:keepLines w:val="0"/>
                    <w:pageBreakBefore w:val="0"/>
                    <w:widowControl w:val="0"/>
                    <w:numPr>
                      <w:ilvl w:val="0"/>
                      <w:numId w:val="3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197" w:type="dxa"/>
                  <w:tcBorders>
                    <w:tl2br w:val="nil"/>
                    <w:tr2bl w:val="nil"/>
                  </w:tcBorders>
                  <w:noWrap w:val="0"/>
                  <w:vAlign w:val="center"/>
                </w:tcPr>
                <w:p w14:paraId="50F9E801">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催化剂空速范围</w:t>
                  </w:r>
                </w:p>
              </w:tc>
              <w:tc>
                <w:tcPr>
                  <w:tcW w:w="2040" w:type="dxa"/>
                  <w:tcBorders>
                    <w:tl2br w:val="nil"/>
                    <w:tr2bl w:val="nil"/>
                  </w:tcBorders>
                  <w:noWrap w:val="0"/>
                  <w:vAlign w:val="center"/>
                </w:tcPr>
                <w:p w14:paraId="2C720D0E">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color w:val="auto"/>
                      <w:sz w:val="21"/>
                      <w:szCs w:val="21"/>
                      <w:highlight w:val="none"/>
                      <w:lang w:val="en-US" w:eastAsia="zh-CN"/>
                    </w:rPr>
                  </w:pPr>
                  <w:r>
                    <w:rPr>
                      <w:rFonts w:hint="eastAsia" w:ascii="宋体" w:hAnsi="宋体" w:eastAsia="宋体" w:cs="宋体"/>
                      <w:b/>
                      <w:bCs/>
                      <w:color w:val="auto"/>
                      <w:sz w:val="21"/>
                      <w:szCs w:val="21"/>
                      <w:highlight w:val="none"/>
                    </w:rPr>
                    <w:t>－</w:t>
                  </w:r>
                </w:p>
              </w:tc>
              <w:tc>
                <w:tcPr>
                  <w:tcW w:w="2970" w:type="dxa"/>
                  <w:tcBorders>
                    <w:tl2br w:val="nil"/>
                    <w:tr2bl w:val="nil"/>
                  </w:tcBorders>
                  <w:noWrap w:val="0"/>
                  <w:vAlign w:val="center"/>
                </w:tcPr>
                <w:p w14:paraId="3F56FEF0">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16000h</w:t>
                  </w:r>
                  <w:r>
                    <w:rPr>
                      <w:rFonts w:hint="eastAsia"/>
                      <w:color w:val="auto"/>
                      <w:sz w:val="21"/>
                      <w:szCs w:val="21"/>
                      <w:highlight w:val="none"/>
                      <w:vertAlign w:val="superscript"/>
                      <w:lang w:val="en-US" w:eastAsia="zh-CN"/>
                    </w:rPr>
                    <w:t>-1</w:t>
                  </w:r>
                  <w:r>
                    <w:rPr>
                      <w:rFonts w:hint="eastAsia"/>
                      <w:color w:val="auto"/>
                      <w:sz w:val="21"/>
                      <w:szCs w:val="21"/>
                      <w:highlight w:val="none"/>
                      <w:lang w:val="en-US" w:eastAsia="zh-CN"/>
                    </w:rPr>
                    <w:t>-25000h</w:t>
                  </w:r>
                  <w:r>
                    <w:rPr>
                      <w:rFonts w:hint="eastAsia"/>
                      <w:color w:val="auto"/>
                      <w:sz w:val="21"/>
                      <w:szCs w:val="21"/>
                      <w:highlight w:val="none"/>
                      <w:vertAlign w:val="superscript"/>
                      <w:lang w:val="en-US" w:eastAsia="zh-CN"/>
                    </w:rPr>
                    <w:t>-1</w:t>
                  </w:r>
                </w:p>
              </w:tc>
            </w:tr>
            <w:tr w14:paraId="6AEFF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83" w:type="dxa"/>
                  <w:tcBorders>
                    <w:tl2br w:val="nil"/>
                    <w:tr2bl w:val="nil"/>
                  </w:tcBorders>
                  <w:noWrap w:val="0"/>
                  <w:vAlign w:val="center"/>
                </w:tcPr>
                <w:p w14:paraId="6BC94762">
                  <w:pPr>
                    <w:pStyle w:val="31"/>
                    <w:keepNext w:val="0"/>
                    <w:keepLines w:val="0"/>
                    <w:pageBreakBefore w:val="0"/>
                    <w:widowControl w:val="0"/>
                    <w:numPr>
                      <w:ilvl w:val="0"/>
                      <w:numId w:val="3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2197" w:type="dxa"/>
                  <w:tcBorders>
                    <w:tl2br w:val="nil"/>
                    <w:tr2bl w:val="nil"/>
                  </w:tcBorders>
                  <w:noWrap w:val="0"/>
                  <w:vAlign w:val="center"/>
                </w:tcPr>
                <w:p w14:paraId="21A323CC">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催化床温度</w:t>
                  </w:r>
                </w:p>
              </w:tc>
              <w:tc>
                <w:tcPr>
                  <w:tcW w:w="2040" w:type="dxa"/>
                  <w:tcBorders>
                    <w:tl2br w:val="nil"/>
                    <w:tr2bl w:val="nil"/>
                  </w:tcBorders>
                  <w:noWrap w:val="0"/>
                  <w:vAlign w:val="center"/>
                </w:tcPr>
                <w:p w14:paraId="48597F33">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ascii="宋体" w:hAnsi="宋体" w:eastAsia="宋体" w:cs="宋体"/>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2970" w:type="dxa"/>
                  <w:tcBorders>
                    <w:tl2br w:val="nil"/>
                    <w:tr2bl w:val="nil"/>
                  </w:tcBorders>
                  <w:noWrap w:val="0"/>
                  <w:vAlign w:val="center"/>
                </w:tcPr>
                <w:p w14:paraId="2DDC4D10">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rPr>
                      <w:rFonts w:hint="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300</w:t>
                  </w:r>
                </w:p>
              </w:tc>
            </w:tr>
          </w:tbl>
          <w:p w14:paraId="6E2E84B6">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根据本项目工程分析结果可知，</w:t>
            </w:r>
            <w:r>
              <w:rPr>
                <w:rFonts w:hint="eastAsia"/>
                <w:color w:val="auto"/>
                <w:lang w:val="en-US" w:eastAsia="zh-CN"/>
              </w:rPr>
              <w:t>调漆、喷漆、刮腻子、腻子打磨、除油过程产生废气进入干式喷漆柜（纸盒）中去除大部分漆雾后，与烘干/晾干、漆料及危废储存过程产生的废气一起进入过滤棉箱过滤+沸石转轮+催化燃烧装置进行处理后可达标排放</w:t>
            </w:r>
            <w:r>
              <w:rPr>
                <w:rFonts w:hint="eastAsia" w:ascii="Times New Roman" w:hAnsi="Times New Roman" w:eastAsia="宋体" w:cs="Times New Roman"/>
                <w:b w:val="0"/>
                <w:bCs w:val="0"/>
                <w:color w:val="auto"/>
                <w:sz w:val="24"/>
                <w:szCs w:val="24"/>
                <w:highlight w:val="none"/>
                <w:vertAlign w:val="baseline"/>
                <w:lang w:eastAsia="zh-CN"/>
              </w:rPr>
              <w:t>，</w:t>
            </w:r>
            <w:r>
              <w:rPr>
                <w:rFonts w:hint="eastAsia" w:ascii="Times New Roman" w:hAnsi="Times New Roman" w:eastAsia="宋体" w:cs="Times New Roman"/>
                <w:b w:val="0"/>
                <w:bCs w:val="0"/>
                <w:color w:val="auto"/>
                <w:sz w:val="24"/>
                <w:szCs w:val="24"/>
                <w:highlight w:val="none"/>
                <w:vertAlign w:val="baseline"/>
                <w:lang w:val="en-US" w:eastAsia="zh-CN"/>
              </w:rPr>
              <w:t>同时，</w:t>
            </w:r>
            <w:r>
              <w:rPr>
                <w:rFonts w:hint="eastAsia"/>
                <w:b w:val="0"/>
                <w:bCs w:val="0"/>
                <w:color w:val="auto"/>
                <w:sz w:val="24"/>
                <w:szCs w:val="24"/>
                <w:highlight w:val="none"/>
                <w:lang w:val="en-US" w:eastAsia="zh-CN"/>
              </w:rPr>
              <w:t>根据《排污许可证申请与核发技术规范 铁路、船舶、航空航天和其他运输设备制造业》（HJ1124-2020）附录A，该治理措施为可行技术。</w:t>
            </w:r>
          </w:p>
          <w:p w14:paraId="62EF62D6">
            <w:pPr>
              <w:numPr>
                <w:ilvl w:val="0"/>
                <w:numId w:val="27"/>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食堂废气</w:t>
            </w:r>
          </w:p>
          <w:p w14:paraId="119A2901">
            <w:pPr>
              <w:bidi w:val="0"/>
              <w:rPr>
                <w:rFonts w:hint="default" w:eastAsia="宋体"/>
                <w:color w:val="auto"/>
                <w:lang w:val="en-US" w:eastAsia="zh-CN"/>
              </w:rPr>
            </w:pPr>
            <w:r>
              <w:rPr>
                <w:rFonts w:hint="eastAsia"/>
                <w:color w:val="auto"/>
                <w:kern w:val="24"/>
                <w:sz w:val="24"/>
              </w:rPr>
              <w:t>本项目拟建食堂属于中型规模，</w:t>
            </w:r>
            <w:r>
              <w:rPr>
                <w:rFonts w:hint="eastAsia"/>
                <w:color w:val="auto"/>
                <w:kern w:val="24"/>
                <w:sz w:val="24"/>
                <w:lang w:val="en-US" w:eastAsia="zh-CN"/>
              </w:rPr>
              <w:t>食堂产生的废气经油烟净化器处理后，排放浓度</w:t>
            </w:r>
            <w:r>
              <w:rPr>
                <w:color w:val="auto"/>
                <w:kern w:val="24"/>
                <w:sz w:val="24"/>
              </w:rPr>
              <w:t>可满足</w:t>
            </w:r>
            <w:r>
              <w:rPr>
                <w:rFonts w:hint="default"/>
                <w:color w:val="auto"/>
                <w:highlight w:val="none"/>
                <w:lang w:val="zh-CN"/>
              </w:rPr>
              <w:t>《</w:t>
            </w:r>
            <w:r>
              <w:rPr>
                <w:rFonts w:hint="eastAsia"/>
                <w:color w:val="auto"/>
                <w:highlight w:val="none"/>
                <w:lang w:val="en-US" w:eastAsia="zh-CN"/>
              </w:rPr>
              <w:t>餐饮业大气污染物排放标准</w:t>
            </w:r>
            <w:r>
              <w:rPr>
                <w:rFonts w:hint="default"/>
                <w:color w:val="auto"/>
                <w:highlight w:val="none"/>
                <w:lang w:val="zh-CN"/>
              </w:rPr>
              <w:t>》</w:t>
            </w:r>
            <w:r>
              <w:rPr>
                <w:rFonts w:hint="eastAsia"/>
                <w:color w:val="auto"/>
                <w:highlight w:val="none"/>
                <w:lang w:val="zh-CN"/>
              </w:rPr>
              <w:t>（</w:t>
            </w:r>
            <w:r>
              <w:rPr>
                <w:rFonts w:hint="eastAsia"/>
                <w:color w:val="auto"/>
                <w:highlight w:val="none"/>
                <w:lang w:val="en-US" w:eastAsia="zh-CN"/>
              </w:rPr>
              <w:t>DB13/5808-2023</w:t>
            </w:r>
            <w:r>
              <w:rPr>
                <w:rFonts w:hint="eastAsia"/>
                <w:color w:val="auto"/>
                <w:highlight w:val="none"/>
                <w:lang w:val="zh-CN"/>
              </w:rPr>
              <w:t>）</w:t>
            </w:r>
            <w:r>
              <w:rPr>
                <w:rFonts w:hint="default"/>
                <w:color w:val="auto"/>
                <w:highlight w:val="none"/>
                <w:lang w:val="zh-CN"/>
              </w:rPr>
              <w:t>中的油烟最高允许排放浓度</w:t>
            </w:r>
            <w:r>
              <w:rPr>
                <w:rFonts w:hint="eastAsia"/>
                <w:color w:val="auto"/>
                <w:highlight w:val="none"/>
                <w:lang w:val="en-US" w:eastAsia="zh-CN"/>
              </w:rPr>
              <w:t>1.2</w:t>
            </w:r>
            <w:r>
              <w:rPr>
                <w:rFonts w:hint="default"/>
                <w:color w:val="auto"/>
                <w:highlight w:val="none"/>
                <w:lang w:val="zh-CN"/>
              </w:rPr>
              <w:t>mg/m</w:t>
            </w:r>
            <w:r>
              <w:rPr>
                <w:rFonts w:hint="default"/>
                <w:color w:val="auto"/>
                <w:highlight w:val="none"/>
                <w:vertAlign w:val="superscript"/>
                <w:lang w:val="zh-CN"/>
              </w:rPr>
              <w:t>3</w:t>
            </w:r>
            <w:r>
              <w:rPr>
                <w:rFonts w:hint="default"/>
                <w:color w:val="auto"/>
                <w:highlight w:val="none"/>
                <w:lang w:val="zh-CN"/>
              </w:rPr>
              <w:t>、</w:t>
            </w:r>
            <w:r>
              <w:rPr>
                <w:rFonts w:hint="eastAsia"/>
                <w:color w:val="auto"/>
                <w:highlight w:val="none"/>
                <w:lang w:val="en-US" w:eastAsia="zh-CN"/>
              </w:rPr>
              <w:t>非甲烷总烃10.0mg/m</w:t>
            </w:r>
            <w:r>
              <w:rPr>
                <w:rFonts w:hint="eastAsia"/>
                <w:color w:val="auto"/>
                <w:highlight w:val="none"/>
                <w:vertAlign w:val="superscript"/>
                <w:lang w:val="en-US" w:eastAsia="zh-CN"/>
              </w:rPr>
              <w:t>3</w:t>
            </w:r>
            <w:r>
              <w:rPr>
                <w:rFonts w:hint="default"/>
                <w:color w:val="auto"/>
                <w:highlight w:val="none"/>
                <w:lang w:val="zh-CN"/>
              </w:rPr>
              <w:t>的要求</w:t>
            </w:r>
            <w:r>
              <w:rPr>
                <w:color w:val="auto"/>
                <w:kern w:val="24"/>
                <w:sz w:val="24"/>
              </w:rPr>
              <w:t>，对周围环境空气影响小</w:t>
            </w:r>
            <w:r>
              <w:rPr>
                <w:rFonts w:hint="eastAsia"/>
                <w:color w:val="auto"/>
                <w:kern w:val="24"/>
                <w:sz w:val="24"/>
                <w:lang w:eastAsia="zh-CN"/>
              </w:rPr>
              <w:t>，</w:t>
            </w:r>
            <w:r>
              <w:rPr>
                <w:rFonts w:hint="eastAsia"/>
                <w:color w:val="auto"/>
                <w:kern w:val="24"/>
                <w:sz w:val="24"/>
                <w:lang w:val="en-US" w:eastAsia="zh-CN"/>
              </w:rPr>
              <w:t>处理措施可行。</w:t>
            </w:r>
          </w:p>
          <w:p w14:paraId="011114C2">
            <w:pPr>
              <w:bidi w:val="0"/>
              <w:rPr>
                <w:rFonts w:hint="default"/>
                <w:color w:val="auto"/>
                <w:highlight w:val="none"/>
                <w:lang w:val="en-US" w:eastAsia="zh-CN"/>
              </w:rPr>
            </w:pPr>
            <w:r>
              <w:rPr>
                <w:rFonts w:hint="eastAsia"/>
                <w:color w:val="auto"/>
                <w:highlight w:val="none"/>
                <w:lang w:val="en-US" w:eastAsia="zh-CN"/>
              </w:rPr>
              <w:t>本项目风机风量设置合理性分析如下：</w:t>
            </w:r>
          </w:p>
          <w:p w14:paraId="5E82D75E">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val="0"/>
                <w:color w:val="auto"/>
                <w:highlight w:val="none"/>
                <w:lang w:val="en-US" w:eastAsia="zh-CN"/>
              </w:rPr>
            </w:pPr>
            <w:r>
              <w:rPr>
                <w:rFonts w:hint="eastAsia"/>
                <w:b w:val="0"/>
                <w:bCs w:val="0"/>
                <w:color w:val="auto"/>
                <w:highlight w:val="none"/>
                <w:lang w:val="en-US" w:eastAsia="zh-CN"/>
              </w:rPr>
              <w:t>根据</w:t>
            </w:r>
            <w:r>
              <w:rPr>
                <w:rFonts w:hint="default"/>
                <w:b w:val="0"/>
                <w:bCs w:val="0"/>
                <w:color w:val="auto"/>
                <w:highlight w:val="none"/>
                <w:lang w:val="en-US" w:eastAsia="zh-CN"/>
              </w:rPr>
              <w:t>《唐山市2021年挥发性有机物综合治理工作方案》</w:t>
            </w:r>
            <w:r>
              <w:rPr>
                <w:rFonts w:hint="eastAsia"/>
                <w:b w:val="0"/>
                <w:bCs w:val="0"/>
                <w:color w:val="auto"/>
                <w:highlight w:val="none"/>
                <w:lang w:val="en-US" w:eastAsia="zh-CN"/>
              </w:rPr>
              <w:t>，</w:t>
            </w:r>
            <w:r>
              <w:rPr>
                <w:rFonts w:hint="eastAsia" w:ascii="宋体" w:hAnsi="宋体" w:eastAsia="宋体" w:cs="宋体"/>
                <w:b w:val="0"/>
                <w:bCs w:val="0"/>
                <w:color w:val="auto"/>
                <w:highlight w:val="none"/>
                <w:lang w:val="en-US" w:eastAsia="zh-CN"/>
              </w:rPr>
              <w:t>“</w:t>
            </w:r>
            <w:r>
              <w:rPr>
                <w:rFonts w:hint="default"/>
                <w:b w:val="0"/>
                <w:bCs w:val="0"/>
                <w:color w:val="auto"/>
                <w:highlight w:val="none"/>
                <w:lang w:val="en-US" w:eastAsia="zh-CN"/>
              </w:rPr>
              <w:t>工业涂装生产线采用整体密闭的，密闭区域内换风次数原则上不少于20次/h，车间采用整体密闭的（如烘干、晾干车间、流平车间等），车间换风次数原则上不少于8次/h</w:t>
            </w:r>
            <w:r>
              <w:rPr>
                <w:rFonts w:hint="eastAsia"/>
                <w:b w:val="0"/>
                <w:bCs w:val="0"/>
                <w:color w:val="auto"/>
                <w:highlight w:val="none"/>
                <w:lang w:val="en-US" w:eastAsia="zh-CN"/>
              </w:rPr>
              <w:t>。</w:t>
            </w:r>
            <w:r>
              <w:rPr>
                <w:rFonts w:hint="eastAsia" w:ascii="宋体" w:hAnsi="宋体" w:eastAsia="宋体" w:cs="宋体"/>
                <w:b w:val="0"/>
                <w:bCs w:val="0"/>
                <w:color w:val="auto"/>
                <w:highlight w:val="none"/>
                <w:lang w:val="en-US" w:eastAsia="zh-CN"/>
              </w:rPr>
              <w:t>”</w:t>
            </w:r>
          </w:p>
          <w:p w14:paraId="2EFC22D9">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val="0"/>
                <w:color w:val="auto"/>
                <w:highlight w:val="none"/>
                <w:lang w:val="en-US" w:eastAsia="zh-CN"/>
              </w:rPr>
            </w:pPr>
          </w:p>
          <w:p w14:paraId="3C42699D">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val="0"/>
                <w:color w:val="auto"/>
                <w:highlight w:val="none"/>
                <w:lang w:val="en-US" w:eastAsia="zh-CN"/>
              </w:rPr>
            </w:pPr>
          </w:p>
          <w:p w14:paraId="155EFD1E">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val="0"/>
                <w:color w:val="auto"/>
                <w:highlight w:val="none"/>
                <w:lang w:val="en-US" w:eastAsia="zh-CN"/>
              </w:rPr>
            </w:pPr>
          </w:p>
          <w:p w14:paraId="5E25C2F2">
            <w:pPr>
              <w:pStyle w:val="13"/>
              <w:ind w:left="0" w:leftChars="0" w:firstLine="0" w:firstLineChars="0"/>
              <w:rPr>
                <w:rFonts w:hint="eastAsia"/>
                <w:color w:val="auto"/>
                <w:lang w:val="en-US" w:eastAsia="zh-CN"/>
              </w:rPr>
            </w:pPr>
          </w:p>
        </w:tc>
      </w:tr>
    </w:tbl>
    <w:p w14:paraId="2E848D13">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3285"/>
      </w:tblGrid>
      <w:tr w14:paraId="6F261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24" w:type="dxa"/>
            <w:tcBorders>
              <w:tl2br w:val="nil"/>
              <w:tr2bl w:val="nil"/>
            </w:tcBorders>
          </w:tcPr>
          <w:p w14:paraId="07BD8FA2">
            <w:pPr>
              <w:rPr>
                <w:color w:val="auto"/>
                <w:highlight w:val="none"/>
                <w:vertAlign w:val="baseline"/>
              </w:rPr>
            </w:pPr>
          </w:p>
        </w:tc>
        <w:tc>
          <w:tcPr>
            <w:tcW w:w="13150" w:type="dxa"/>
            <w:tcBorders>
              <w:tl2br w:val="nil"/>
              <w:tr2bl w:val="nil"/>
            </w:tcBorders>
          </w:tcPr>
          <w:p w14:paraId="14FD4694">
            <w:pPr>
              <w:pStyle w:val="33"/>
              <w:bidi w:val="0"/>
              <w:rPr>
                <w:rFonts w:hint="eastAsia"/>
                <w:color w:val="auto"/>
                <w:highlight w:val="none"/>
                <w:lang w:val="en-US" w:eastAsia="zh-CN"/>
              </w:rPr>
            </w:pPr>
            <w:r>
              <w:rPr>
                <w:rFonts w:hint="eastAsia"/>
                <w:color w:val="auto"/>
                <w:highlight w:val="none"/>
                <w:lang w:val="en-US" w:eastAsia="zh-CN"/>
              </w:rPr>
              <w:t>表47  风机风量设置情况一览表</w:t>
            </w:r>
          </w:p>
          <w:tbl>
            <w:tblPr>
              <w:tblStyle w:val="25"/>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928"/>
              <w:gridCol w:w="735"/>
              <w:gridCol w:w="2624"/>
              <w:gridCol w:w="1355"/>
              <w:gridCol w:w="2049"/>
              <w:gridCol w:w="1134"/>
              <w:gridCol w:w="1407"/>
              <w:gridCol w:w="968"/>
              <w:gridCol w:w="956"/>
            </w:tblGrid>
            <w:tr w14:paraId="623F4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811" w:type="dxa"/>
                  <w:gridSpan w:val="2"/>
                  <w:vMerge w:val="restart"/>
                  <w:tcBorders>
                    <w:tl2br w:val="nil"/>
                    <w:tr2bl w:val="nil"/>
                  </w:tcBorders>
                  <w:vAlign w:val="center"/>
                </w:tcPr>
                <w:p w14:paraId="703729CF">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产污环节</w:t>
                  </w:r>
                </w:p>
              </w:tc>
              <w:tc>
                <w:tcPr>
                  <w:tcW w:w="735" w:type="dxa"/>
                  <w:vMerge w:val="restart"/>
                  <w:tcBorders>
                    <w:tl2br w:val="nil"/>
                    <w:tr2bl w:val="nil"/>
                  </w:tcBorders>
                  <w:vAlign w:val="center"/>
                </w:tcPr>
                <w:p w14:paraId="755F565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数量</w:t>
                  </w:r>
                </w:p>
              </w:tc>
              <w:tc>
                <w:tcPr>
                  <w:tcW w:w="3979" w:type="dxa"/>
                  <w:gridSpan w:val="2"/>
                  <w:vMerge w:val="restart"/>
                  <w:tcBorders>
                    <w:tl2br w:val="nil"/>
                    <w:tr2bl w:val="nil"/>
                  </w:tcBorders>
                  <w:vAlign w:val="center"/>
                </w:tcPr>
                <w:p w14:paraId="5E5D5CCF">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废气收集措施</w:t>
                  </w:r>
                </w:p>
              </w:tc>
              <w:tc>
                <w:tcPr>
                  <w:tcW w:w="5558" w:type="dxa"/>
                  <w:gridSpan w:val="4"/>
                  <w:tcBorders>
                    <w:tl2br w:val="nil"/>
                    <w:tr2bl w:val="nil"/>
                  </w:tcBorders>
                  <w:vAlign w:val="center"/>
                </w:tcPr>
                <w:p w14:paraId="6376333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废气量</w:t>
                  </w:r>
                </w:p>
              </w:tc>
              <w:tc>
                <w:tcPr>
                  <w:tcW w:w="956" w:type="dxa"/>
                  <w:vMerge w:val="restart"/>
                  <w:tcBorders>
                    <w:tl2br w:val="nil"/>
                    <w:tr2bl w:val="nil"/>
                  </w:tcBorders>
                  <w:vAlign w:val="center"/>
                </w:tcPr>
                <w:p w14:paraId="00C80B2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风机风量（</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r>
                    <w:rPr>
                      <w:rFonts w:hint="eastAsia"/>
                      <w:color w:val="auto"/>
                      <w:sz w:val="21"/>
                      <w:szCs w:val="21"/>
                      <w:highlight w:val="none"/>
                      <w:lang w:val="en-US" w:eastAsia="zh-CN"/>
                    </w:rPr>
                    <w:t>）</w:t>
                  </w:r>
                </w:p>
              </w:tc>
            </w:tr>
            <w:tr w14:paraId="5E2F5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11" w:type="dxa"/>
                  <w:gridSpan w:val="2"/>
                  <w:vMerge w:val="continue"/>
                  <w:tcBorders>
                    <w:tl2br w:val="nil"/>
                    <w:tr2bl w:val="nil"/>
                  </w:tcBorders>
                  <w:vAlign w:val="center"/>
                </w:tcPr>
                <w:p w14:paraId="3C3B7CF1">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735" w:type="dxa"/>
                  <w:vMerge w:val="continue"/>
                  <w:tcBorders>
                    <w:tl2br w:val="nil"/>
                    <w:tr2bl w:val="nil"/>
                  </w:tcBorders>
                  <w:vAlign w:val="center"/>
                </w:tcPr>
                <w:p w14:paraId="09FD91CF">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3979" w:type="dxa"/>
                  <w:gridSpan w:val="2"/>
                  <w:vMerge w:val="continue"/>
                  <w:tcBorders>
                    <w:tl2br w:val="nil"/>
                    <w:tr2bl w:val="nil"/>
                  </w:tcBorders>
                  <w:vAlign w:val="center"/>
                </w:tcPr>
                <w:p w14:paraId="7DD5389D">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3183" w:type="dxa"/>
                  <w:gridSpan w:val="2"/>
                  <w:tcBorders>
                    <w:tl2br w:val="nil"/>
                    <w:tr2bl w:val="nil"/>
                  </w:tcBorders>
                  <w:vAlign w:val="center"/>
                </w:tcPr>
                <w:p w14:paraId="57F766FC">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依据</w:t>
                  </w:r>
                </w:p>
              </w:tc>
              <w:tc>
                <w:tcPr>
                  <w:tcW w:w="2375" w:type="dxa"/>
                  <w:gridSpan w:val="2"/>
                  <w:tcBorders>
                    <w:tl2br w:val="nil"/>
                    <w:tr2bl w:val="nil"/>
                  </w:tcBorders>
                  <w:vAlign w:val="center"/>
                </w:tcPr>
                <w:p w14:paraId="4A64E67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废气量（</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r>
                    <w:rPr>
                      <w:rFonts w:hint="eastAsia"/>
                      <w:color w:val="auto"/>
                      <w:sz w:val="21"/>
                      <w:szCs w:val="21"/>
                      <w:highlight w:val="none"/>
                      <w:lang w:val="en-US" w:eastAsia="zh-CN"/>
                    </w:rPr>
                    <w:t>）</w:t>
                  </w:r>
                </w:p>
              </w:tc>
              <w:tc>
                <w:tcPr>
                  <w:tcW w:w="956" w:type="dxa"/>
                  <w:vMerge w:val="continue"/>
                  <w:tcBorders>
                    <w:tl2br w:val="nil"/>
                    <w:tr2bl w:val="nil"/>
                  </w:tcBorders>
                  <w:vAlign w:val="center"/>
                </w:tcPr>
                <w:p w14:paraId="7915804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p>
              </w:tc>
            </w:tr>
            <w:tr w14:paraId="5B102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83" w:type="dxa"/>
                  <w:vMerge w:val="restart"/>
                  <w:tcBorders>
                    <w:tl2br w:val="nil"/>
                    <w:tr2bl w:val="nil"/>
                  </w:tcBorders>
                  <w:vAlign w:val="center"/>
                </w:tcPr>
                <w:p w14:paraId="791854E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s="Times New Roman"/>
                      <w:bCs/>
                      <w:caps w:val="0"/>
                      <w:color w:val="auto"/>
                      <w:spacing w:val="0"/>
                      <w:position w:val="0"/>
                      <w:sz w:val="21"/>
                      <w:szCs w:val="21"/>
                      <w:highlight w:val="none"/>
                      <w:lang w:val="en-US" w:eastAsia="zh-CN"/>
                    </w:rPr>
                    <w:t>打磨过程</w:t>
                  </w:r>
                </w:p>
              </w:tc>
              <w:tc>
                <w:tcPr>
                  <w:tcW w:w="928" w:type="dxa"/>
                  <w:vMerge w:val="restart"/>
                  <w:tcBorders>
                    <w:tl2br w:val="nil"/>
                    <w:tr2bl w:val="nil"/>
                  </w:tcBorders>
                  <w:vAlign w:val="center"/>
                </w:tcPr>
                <w:p w14:paraId="056FC84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打磨房</w:t>
                  </w:r>
                </w:p>
              </w:tc>
              <w:tc>
                <w:tcPr>
                  <w:tcW w:w="735" w:type="dxa"/>
                  <w:vMerge w:val="restart"/>
                  <w:tcBorders>
                    <w:tl2br w:val="nil"/>
                    <w:tr2bl w:val="nil"/>
                  </w:tcBorders>
                  <w:vAlign w:val="center"/>
                </w:tcPr>
                <w:p w14:paraId="02E9C72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624" w:type="dxa"/>
                  <w:vMerge w:val="restart"/>
                  <w:tcBorders>
                    <w:tl2br w:val="nil"/>
                    <w:tr2bl w:val="nil"/>
                  </w:tcBorders>
                  <w:vAlign w:val="center"/>
                </w:tcPr>
                <w:p w14:paraId="7CA5DCB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s="Times New Roman"/>
                      <w:color w:val="auto"/>
                      <w:kern w:val="2"/>
                      <w:sz w:val="21"/>
                      <w:szCs w:val="21"/>
                      <w:highlight w:val="none"/>
                      <w:lang w:val="en-US" w:eastAsia="zh-CN" w:bidi="ar-SA"/>
                    </w:rPr>
                  </w:pPr>
                  <w:r>
                    <w:rPr>
                      <w:rFonts w:hint="default" w:cs="Times New Roman"/>
                      <w:bCs/>
                      <w:caps w:val="0"/>
                      <w:color w:val="auto"/>
                      <w:spacing w:val="0"/>
                      <w:position w:val="0"/>
                      <w:sz w:val="21"/>
                      <w:szCs w:val="21"/>
                      <w:highlight w:val="none"/>
                      <w:lang w:val="en-US" w:eastAsia="zh-CN"/>
                    </w:rPr>
                    <w:t>打磨过程在封闭打磨房内进行，打磨房连接管道，采用风量为8000m</w:t>
                  </w:r>
                  <w:r>
                    <w:rPr>
                      <w:rFonts w:hint="default" w:cs="Times New Roman"/>
                      <w:bCs/>
                      <w:caps w:val="0"/>
                      <w:color w:val="auto"/>
                      <w:spacing w:val="0"/>
                      <w:position w:val="0"/>
                      <w:sz w:val="21"/>
                      <w:szCs w:val="21"/>
                      <w:highlight w:val="none"/>
                      <w:vertAlign w:val="superscript"/>
                      <w:lang w:val="en-US" w:eastAsia="zh-CN"/>
                    </w:rPr>
                    <w:t>3</w:t>
                  </w:r>
                  <w:r>
                    <w:rPr>
                      <w:rFonts w:hint="default" w:cs="Times New Roman"/>
                      <w:bCs/>
                      <w:caps w:val="0"/>
                      <w:color w:val="auto"/>
                      <w:spacing w:val="0"/>
                      <w:position w:val="0"/>
                      <w:sz w:val="21"/>
                      <w:szCs w:val="21"/>
                      <w:highlight w:val="none"/>
                      <w:lang w:val="en-US" w:eastAsia="zh-CN"/>
                    </w:rPr>
                    <w:t>/h的风机将打磨过程产生的废气引入1套脉冲布袋除尘器（TA001）处理，处理后通过1根27m高排气筒（DA001）排放至大气</w:t>
                  </w:r>
                  <w:r>
                    <w:rPr>
                      <w:rFonts w:hint="eastAsia" w:cs="Times New Roman"/>
                      <w:bCs/>
                      <w:caps w:val="0"/>
                      <w:color w:val="auto"/>
                      <w:spacing w:val="0"/>
                      <w:position w:val="0"/>
                      <w:sz w:val="21"/>
                      <w:szCs w:val="21"/>
                      <w:highlight w:val="none"/>
                      <w:lang w:val="en-US" w:eastAsia="zh-CN"/>
                    </w:rPr>
                    <w:t>中</w:t>
                  </w:r>
                </w:p>
              </w:tc>
              <w:tc>
                <w:tcPr>
                  <w:tcW w:w="1355" w:type="dxa"/>
                  <w:vMerge w:val="restart"/>
                  <w:tcBorders>
                    <w:tl2br w:val="nil"/>
                    <w:tr2bl w:val="nil"/>
                  </w:tcBorders>
                  <w:vAlign w:val="center"/>
                </w:tcPr>
                <w:p w14:paraId="58E398B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打磨房尺寸：</w:t>
                  </w:r>
                  <w:r>
                    <w:rPr>
                      <w:rFonts w:hint="eastAsia" w:ascii="Times New Roman" w:hAnsi="Times New Roman" w:cs="Times New Roman"/>
                      <w:bCs/>
                      <w:color w:val="auto"/>
                      <w:sz w:val="21"/>
                      <w:szCs w:val="21"/>
                      <w:highlight w:val="none"/>
                      <w:lang w:val="en-US" w:eastAsia="zh-CN"/>
                    </w:rPr>
                    <w:t>10</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lang w:val="en-US" w:eastAsia="zh-CN"/>
                    </w:rPr>
                    <w:t>m×</w:t>
                  </w:r>
                  <w:r>
                    <w:rPr>
                      <w:rFonts w:hint="eastAsia"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val="en-US" w:eastAsia="zh-CN"/>
                    </w:rPr>
                    <w:t>m</w:t>
                  </w:r>
                </w:p>
              </w:tc>
              <w:tc>
                <w:tcPr>
                  <w:tcW w:w="2049" w:type="dxa"/>
                  <w:vMerge w:val="restart"/>
                  <w:tcBorders>
                    <w:tl2br w:val="nil"/>
                    <w:tr2bl w:val="nil"/>
                  </w:tcBorders>
                  <w:vAlign w:val="center"/>
                </w:tcPr>
                <w:p w14:paraId="7BE2350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参照</w:t>
                  </w:r>
                  <w:r>
                    <w:rPr>
                      <w:rFonts w:hint="default"/>
                      <w:b w:val="0"/>
                      <w:bCs w:val="0"/>
                      <w:color w:val="auto"/>
                      <w:highlight w:val="none"/>
                      <w:lang w:val="en-US" w:eastAsia="zh-CN"/>
                    </w:rPr>
                    <w:t>《唐山市2021年挥发性有机物综合治理工作方案》</w:t>
                  </w:r>
                  <w:r>
                    <w:rPr>
                      <w:rFonts w:hint="eastAsia"/>
                      <w:b w:val="0"/>
                      <w:bCs w:val="0"/>
                      <w:color w:val="auto"/>
                      <w:highlight w:val="none"/>
                      <w:lang w:val="en-US" w:eastAsia="zh-CN"/>
                    </w:rPr>
                    <w:t>，换气次数按30次计</w:t>
                  </w:r>
                </w:p>
              </w:tc>
              <w:tc>
                <w:tcPr>
                  <w:tcW w:w="1134" w:type="dxa"/>
                  <w:tcBorders>
                    <w:tl2br w:val="nil"/>
                    <w:tr2bl w:val="nil"/>
                  </w:tcBorders>
                  <w:vAlign w:val="center"/>
                </w:tcPr>
                <w:p w14:paraId="5FDA0B8D">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长：10m</w:t>
                  </w:r>
                </w:p>
              </w:tc>
              <w:tc>
                <w:tcPr>
                  <w:tcW w:w="2375" w:type="dxa"/>
                  <w:gridSpan w:val="2"/>
                  <w:vMerge w:val="restart"/>
                  <w:tcBorders>
                    <w:tl2br w:val="nil"/>
                    <w:tr2bl w:val="nil"/>
                  </w:tcBorders>
                  <w:vAlign w:val="center"/>
                </w:tcPr>
                <w:p w14:paraId="60FD378F">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7200</w:t>
                  </w:r>
                </w:p>
              </w:tc>
              <w:tc>
                <w:tcPr>
                  <w:tcW w:w="956" w:type="dxa"/>
                  <w:vMerge w:val="restart"/>
                  <w:tcBorders>
                    <w:tl2br w:val="nil"/>
                    <w:tr2bl w:val="nil"/>
                  </w:tcBorders>
                  <w:vAlign w:val="center"/>
                </w:tcPr>
                <w:p w14:paraId="352BE5B0">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8000</w:t>
                  </w:r>
                </w:p>
              </w:tc>
            </w:tr>
            <w:tr w14:paraId="75275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83" w:type="dxa"/>
                  <w:vMerge w:val="continue"/>
                  <w:tcBorders>
                    <w:tl2br w:val="nil"/>
                    <w:tr2bl w:val="nil"/>
                  </w:tcBorders>
                  <w:vAlign w:val="center"/>
                </w:tcPr>
                <w:p w14:paraId="4DA5797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928" w:type="dxa"/>
                  <w:vMerge w:val="continue"/>
                  <w:tcBorders>
                    <w:tl2br w:val="nil"/>
                    <w:tr2bl w:val="nil"/>
                  </w:tcBorders>
                  <w:vAlign w:val="center"/>
                </w:tcPr>
                <w:p w14:paraId="2FF2BC0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735" w:type="dxa"/>
                  <w:vMerge w:val="continue"/>
                  <w:tcBorders>
                    <w:tl2br w:val="nil"/>
                    <w:tr2bl w:val="nil"/>
                  </w:tcBorders>
                  <w:vAlign w:val="center"/>
                </w:tcPr>
                <w:p w14:paraId="309CAF31">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2624" w:type="dxa"/>
                  <w:vMerge w:val="continue"/>
                  <w:tcBorders>
                    <w:tl2br w:val="nil"/>
                    <w:tr2bl w:val="nil"/>
                  </w:tcBorders>
                  <w:vAlign w:val="center"/>
                </w:tcPr>
                <w:p w14:paraId="660E157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355" w:type="dxa"/>
                  <w:vMerge w:val="continue"/>
                  <w:tcBorders>
                    <w:tl2br w:val="nil"/>
                    <w:tr2bl w:val="nil"/>
                  </w:tcBorders>
                  <w:vAlign w:val="center"/>
                </w:tcPr>
                <w:p w14:paraId="305831D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2049" w:type="dxa"/>
                  <w:vMerge w:val="continue"/>
                  <w:tcBorders>
                    <w:tl2br w:val="nil"/>
                    <w:tr2bl w:val="nil"/>
                  </w:tcBorders>
                  <w:vAlign w:val="center"/>
                </w:tcPr>
                <w:p w14:paraId="7A6D503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134" w:type="dxa"/>
                  <w:tcBorders>
                    <w:tl2br w:val="nil"/>
                    <w:tr2bl w:val="nil"/>
                  </w:tcBorders>
                  <w:vAlign w:val="center"/>
                </w:tcPr>
                <w:p w14:paraId="6582E43C">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宽：6m</w:t>
                  </w:r>
                </w:p>
              </w:tc>
              <w:tc>
                <w:tcPr>
                  <w:tcW w:w="2375" w:type="dxa"/>
                  <w:gridSpan w:val="2"/>
                  <w:vMerge w:val="continue"/>
                  <w:tcBorders>
                    <w:tl2br w:val="nil"/>
                    <w:tr2bl w:val="nil"/>
                  </w:tcBorders>
                  <w:vAlign w:val="center"/>
                </w:tcPr>
                <w:p w14:paraId="7F4E28EF">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7B1C0C1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14:paraId="0F8A8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83" w:type="dxa"/>
                  <w:vMerge w:val="continue"/>
                  <w:tcBorders>
                    <w:tl2br w:val="nil"/>
                    <w:tr2bl w:val="nil"/>
                  </w:tcBorders>
                  <w:vAlign w:val="center"/>
                </w:tcPr>
                <w:p w14:paraId="3073032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28" w:type="dxa"/>
                  <w:vMerge w:val="continue"/>
                  <w:tcBorders>
                    <w:tl2br w:val="nil"/>
                    <w:tr2bl w:val="nil"/>
                  </w:tcBorders>
                  <w:vAlign w:val="center"/>
                </w:tcPr>
                <w:p w14:paraId="31B9457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735" w:type="dxa"/>
                  <w:vMerge w:val="continue"/>
                  <w:tcBorders>
                    <w:tl2br w:val="nil"/>
                    <w:tr2bl w:val="nil"/>
                  </w:tcBorders>
                  <w:vAlign w:val="center"/>
                </w:tcPr>
                <w:p w14:paraId="7AE1EFB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624" w:type="dxa"/>
                  <w:vMerge w:val="continue"/>
                  <w:tcBorders>
                    <w:tl2br w:val="nil"/>
                    <w:tr2bl w:val="nil"/>
                  </w:tcBorders>
                  <w:vAlign w:val="center"/>
                </w:tcPr>
                <w:p w14:paraId="795E9A1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355" w:type="dxa"/>
                  <w:vMerge w:val="continue"/>
                  <w:tcBorders>
                    <w:tl2br w:val="nil"/>
                    <w:tr2bl w:val="nil"/>
                  </w:tcBorders>
                  <w:vAlign w:val="center"/>
                </w:tcPr>
                <w:p w14:paraId="33D8F02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049" w:type="dxa"/>
                  <w:vMerge w:val="continue"/>
                  <w:tcBorders>
                    <w:tl2br w:val="nil"/>
                    <w:tr2bl w:val="nil"/>
                  </w:tcBorders>
                  <w:vAlign w:val="center"/>
                </w:tcPr>
                <w:p w14:paraId="62FD771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34" w:type="dxa"/>
                  <w:tcBorders>
                    <w:tl2br w:val="nil"/>
                    <w:tr2bl w:val="nil"/>
                  </w:tcBorders>
                  <w:vAlign w:val="center"/>
                </w:tcPr>
                <w:p w14:paraId="0B2DED7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高：4m</w:t>
                  </w:r>
                </w:p>
              </w:tc>
              <w:tc>
                <w:tcPr>
                  <w:tcW w:w="2375" w:type="dxa"/>
                  <w:gridSpan w:val="2"/>
                  <w:vMerge w:val="continue"/>
                  <w:tcBorders>
                    <w:tl2br w:val="nil"/>
                    <w:tr2bl w:val="nil"/>
                  </w:tcBorders>
                  <w:vAlign w:val="center"/>
                </w:tcPr>
                <w:p w14:paraId="410383B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68E48F4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14:paraId="7D39D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83" w:type="dxa"/>
                  <w:vMerge w:val="restart"/>
                  <w:tcBorders>
                    <w:tl2br w:val="nil"/>
                    <w:tr2bl w:val="nil"/>
                  </w:tcBorders>
                  <w:vAlign w:val="center"/>
                </w:tcPr>
                <w:p w14:paraId="603B4E4C">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调漆、喷漆、烘干/晾干、刮腻子、腻子打磨、除油、漆料及危废储存</w:t>
                  </w:r>
                </w:p>
              </w:tc>
              <w:tc>
                <w:tcPr>
                  <w:tcW w:w="928" w:type="dxa"/>
                  <w:vMerge w:val="restart"/>
                  <w:tcBorders>
                    <w:tl2br w:val="nil"/>
                    <w:tr2bl w:val="nil"/>
                  </w:tcBorders>
                  <w:vAlign w:val="center"/>
                </w:tcPr>
                <w:p w14:paraId="77B8372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喷漆房</w:t>
                  </w:r>
                </w:p>
              </w:tc>
              <w:tc>
                <w:tcPr>
                  <w:tcW w:w="735" w:type="dxa"/>
                  <w:vMerge w:val="restart"/>
                  <w:tcBorders>
                    <w:tl2br w:val="nil"/>
                    <w:tr2bl w:val="nil"/>
                  </w:tcBorders>
                  <w:vAlign w:val="center"/>
                </w:tcPr>
                <w:p w14:paraId="60F3544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624" w:type="dxa"/>
                  <w:vMerge w:val="restart"/>
                  <w:tcBorders>
                    <w:tl2br w:val="nil"/>
                    <w:tr2bl w:val="nil"/>
                  </w:tcBorders>
                  <w:vAlign w:val="center"/>
                </w:tcPr>
                <w:p w14:paraId="78E7E1C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调漆、喷漆、刮腻子、腻子打磨、除油过程在喷漆房内进行，调漆、喷漆、腻子打磨、除油过程喷漆房封闭，喷漆房采取上进风，侧抽风，烘干/晾干过程在烘干房进行，烘干/晾干过程烘干房封闭，漆料储存于油漆库中，油漆库、危废间连接管道，采用</w:t>
                  </w:r>
                  <w:r>
                    <w:rPr>
                      <w:rFonts w:hint="eastAsia" w:ascii="Times New Roman" w:hAnsi="Times New Roman" w:cs="Times New Roman"/>
                      <w:color w:val="auto"/>
                      <w:sz w:val="21"/>
                      <w:szCs w:val="21"/>
                      <w:highlight w:val="none"/>
                      <w:lang w:val="en-US" w:eastAsia="zh-CN"/>
                    </w:rPr>
                    <w:t>风量为30000m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/h的</w:t>
                  </w:r>
                  <w:r>
                    <w:rPr>
                      <w:rFonts w:hint="default" w:ascii="Times New Roman" w:hAnsi="Times New Roman" w:cs="Times New Roman"/>
                      <w:color w:val="auto"/>
                      <w:sz w:val="21"/>
                      <w:szCs w:val="21"/>
                      <w:highlight w:val="none"/>
                      <w:lang w:val="en-US" w:eastAsia="zh-CN"/>
                    </w:rPr>
                    <w:t>风机将调漆、喷漆、刮腻子、腻子打磨、除油过程产生的颗粒物（含漆雾）、有机废气引入干式喷漆柜（纸盒）中去除大部分漆雾，然后与烘干/晾干、漆料及危废储存过程产生的废气一起进入过滤棉箱过滤+沸石转轮+催化燃烧装置进行处理，处理后通过1根15m高排气筒（DA002）排放至大气中</w:t>
                  </w:r>
                </w:p>
              </w:tc>
              <w:tc>
                <w:tcPr>
                  <w:tcW w:w="1355" w:type="dxa"/>
                  <w:vMerge w:val="restart"/>
                  <w:tcBorders>
                    <w:tl2br w:val="nil"/>
                    <w:tr2bl w:val="nil"/>
                  </w:tcBorders>
                  <w:vAlign w:val="center"/>
                </w:tcPr>
                <w:p w14:paraId="5586BB6F">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喷漆房尺寸</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6</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6</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4</w:t>
                  </w:r>
                  <w:r>
                    <w:rPr>
                      <w:rFonts w:hint="eastAsia" w:ascii="Times New Roman" w:hAnsi="Times New Roman" w:cs="Times New Roman"/>
                      <w:color w:val="auto"/>
                      <w:kern w:val="2"/>
                      <w:sz w:val="21"/>
                      <w:szCs w:val="21"/>
                      <w:highlight w:val="none"/>
                      <w:lang w:val="en-US" w:eastAsia="zh-CN" w:bidi="ar-SA"/>
                    </w:rPr>
                    <w:t>m</w:t>
                  </w:r>
                </w:p>
              </w:tc>
              <w:tc>
                <w:tcPr>
                  <w:tcW w:w="2049" w:type="dxa"/>
                  <w:vMerge w:val="restart"/>
                  <w:tcBorders>
                    <w:tl2br w:val="nil"/>
                    <w:tr2bl w:val="nil"/>
                  </w:tcBorders>
                  <w:vAlign w:val="center"/>
                </w:tcPr>
                <w:p w14:paraId="34193E5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参照</w:t>
                  </w:r>
                  <w:r>
                    <w:rPr>
                      <w:rFonts w:hint="default"/>
                      <w:b w:val="0"/>
                      <w:bCs w:val="0"/>
                      <w:color w:val="auto"/>
                      <w:highlight w:val="none"/>
                      <w:lang w:val="en-US" w:eastAsia="zh-CN"/>
                    </w:rPr>
                    <w:t>《唐山市2021年挥发性有机物综合治理工作方案》</w:t>
                  </w:r>
                  <w:r>
                    <w:rPr>
                      <w:rFonts w:hint="eastAsia"/>
                      <w:b w:val="0"/>
                      <w:bCs w:val="0"/>
                      <w:color w:val="auto"/>
                      <w:highlight w:val="none"/>
                      <w:lang w:val="en-US" w:eastAsia="zh-CN"/>
                    </w:rPr>
                    <w:t>，换气次数按60次计</w:t>
                  </w:r>
                </w:p>
              </w:tc>
              <w:tc>
                <w:tcPr>
                  <w:tcW w:w="1134" w:type="dxa"/>
                  <w:tcBorders>
                    <w:tl2br w:val="nil"/>
                    <w:tr2bl w:val="nil"/>
                  </w:tcBorders>
                  <w:vAlign w:val="center"/>
                </w:tcPr>
                <w:p w14:paraId="3B34C630">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长：6m</w:t>
                  </w:r>
                </w:p>
              </w:tc>
              <w:tc>
                <w:tcPr>
                  <w:tcW w:w="1407" w:type="dxa"/>
                  <w:vMerge w:val="restart"/>
                  <w:tcBorders>
                    <w:tl2br w:val="nil"/>
                    <w:tr2bl w:val="nil"/>
                  </w:tcBorders>
                  <w:vAlign w:val="center"/>
                </w:tcPr>
                <w:p w14:paraId="6028076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8640</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2=17280</w:t>
                  </w:r>
                </w:p>
              </w:tc>
              <w:tc>
                <w:tcPr>
                  <w:tcW w:w="968" w:type="dxa"/>
                  <w:vMerge w:val="restart"/>
                  <w:tcBorders>
                    <w:tl2br w:val="nil"/>
                    <w:tr2bl w:val="nil"/>
                  </w:tcBorders>
                  <w:vAlign w:val="center"/>
                </w:tcPr>
                <w:p w14:paraId="72218CB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21048</w:t>
                  </w:r>
                </w:p>
              </w:tc>
              <w:tc>
                <w:tcPr>
                  <w:tcW w:w="956" w:type="dxa"/>
                  <w:vMerge w:val="restart"/>
                  <w:tcBorders>
                    <w:tl2br w:val="nil"/>
                    <w:tr2bl w:val="nil"/>
                  </w:tcBorders>
                  <w:vAlign w:val="center"/>
                </w:tcPr>
                <w:p w14:paraId="3DBAC8F8">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30000</w:t>
                  </w:r>
                </w:p>
              </w:tc>
            </w:tr>
            <w:tr w14:paraId="542D2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883" w:type="dxa"/>
                  <w:vMerge w:val="continue"/>
                  <w:tcBorders>
                    <w:tl2br w:val="nil"/>
                    <w:tr2bl w:val="nil"/>
                  </w:tcBorders>
                  <w:vAlign w:val="center"/>
                </w:tcPr>
                <w:p w14:paraId="4F4289CC">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928" w:type="dxa"/>
                  <w:vMerge w:val="continue"/>
                  <w:tcBorders>
                    <w:tl2br w:val="nil"/>
                    <w:tr2bl w:val="nil"/>
                  </w:tcBorders>
                  <w:vAlign w:val="center"/>
                </w:tcPr>
                <w:p w14:paraId="5A74AAA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735" w:type="dxa"/>
                  <w:vMerge w:val="continue"/>
                  <w:tcBorders>
                    <w:tl2br w:val="nil"/>
                    <w:tr2bl w:val="nil"/>
                  </w:tcBorders>
                  <w:vAlign w:val="center"/>
                </w:tcPr>
                <w:p w14:paraId="248CA44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2624" w:type="dxa"/>
                  <w:vMerge w:val="continue"/>
                  <w:tcBorders>
                    <w:tl2br w:val="nil"/>
                    <w:tr2bl w:val="nil"/>
                  </w:tcBorders>
                  <w:vAlign w:val="center"/>
                </w:tcPr>
                <w:p w14:paraId="7CD3D33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1355" w:type="dxa"/>
                  <w:vMerge w:val="continue"/>
                  <w:tcBorders>
                    <w:tl2br w:val="nil"/>
                    <w:tr2bl w:val="nil"/>
                  </w:tcBorders>
                  <w:vAlign w:val="center"/>
                </w:tcPr>
                <w:p w14:paraId="4D315050">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2049" w:type="dxa"/>
                  <w:vMerge w:val="continue"/>
                  <w:tcBorders>
                    <w:tl2br w:val="nil"/>
                    <w:tr2bl w:val="nil"/>
                  </w:tcBorders>
                  <w:vAlign w:val="center"/>
                </w:tcPr>
                <w:p w14:paraId="2BB32E1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1134" w:type="dxa"/>
                  <w:tcBorders>
                    <w:tl2br w:val="nil"/>
                    <w:tr2bl w:val="nil"/>
                  </w:tcBorders>
                  <w:vAlign w:val="center"/>
                </w:tcPr>
                <w:p w14:paraId="0429BFD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宽：6m</w:t>
                  </w:r>
                </w:p>
              </w:tc>
              <w:tc>
                <w:tcPr>
                  <w:tcW w:w="1407" w:type="dxa"/>
                  <w:vMerge w:val="continue"/>
                  <w:tcBorders>
                    <w:tl2br w:val="nil"/>
                    <w:tr2bl w:val="nil"/>
                  </w:tcBorders>
                  <w:vAlign w:val="center"/>
                </w:tcPr>
                <w:p w14:paraId="1A5F168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68" w:type="dxa"/>
                  <w:vMerge w:val="continue"/>
                  <w:tcBorders>
                    <w:tl2br w:val="nil"/>
                    <w:tr2bl w:val="nil"/>
                  </w:tcBorders>
                  <w:vAlign w:val="center"/>
                </w:tcPr>
                <w:p w14:paraId="12BAC53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2AAA7F27">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14:paraId="4A9F2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83" w:type="dxa"/>
                  <w:vMerge w:val="continue"/>
                  <w:tcBorders>
                    <w:tl2br w:val="nil"/>
                    <w:tr2bl w:val="nil"/>
                  </w:tcBorders>
                  <w:vAlign w:val="center"/>
                </w:tcPr>
                <w:p w14:paraId="172F4337">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28" w:type="dxa"/>
                  <w:vMerge w:val="continue"/>
                  <w:tcBorders>
                    <w:tl2br w:val="nil"/>
                    <w:tr2bl w:val="nil"/>
                  </w:tcBorders>
                  <w:vAlign w:val="center"/>
                </w:tcPr>
                <w:p w14:paraId="3981468D">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735" w:type="dxa"/>
                  <w:vMerge w:val="continue"/>
                  <w:tcBorders>
                    <w:tl2br w:val="nil"/>
                    <w:tr2bl w:val="nil"/>
                  </w:tcBorders>
                  <w:vAlign w:val="center"/>
                </w:tcPr>
                <w:p w14:paraId="48C3F79D">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624" w:type="dxa"/>
                  <w:vMerge w:val="continue"/>
                  <w:tcBorders>
                    <w:tl2br w:val="nil"/>
                    <w:tr2bl w:val="nil"/>
                  </w:tcBorders>
                  <w:vAlign w:val="center"/>
                </w:tcPr>
                <w:p w14:paraId="3E651EA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355" w:type="dxa"/>
                  <w:vMerge w:val="continue"/>
                  <w:tcBorders>
                    <w:tl2br w:val="nil"/>
                    <w:tr2bl w:val="nil"/>
                  </w:tcBorders>
                  <w:vAlign w:val="center"/>
                </w:tcPr>
                <w:p w14:paraId="0E0F7D0D">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049" w:type="dxa"/>
                  <w:vMerge w:val="continue"/>
                  <w:tcBorders>
                    <w:tl2br w:val="nil"/>
                    <w:tr2bl w:val="nil"/>
                  </w:tcBorders>
                  <w:vAlign w:val="center"/>
                </w:tcPr>
                <w:p w14:paraId="7C4A848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34" w:type="dxa"/>
                  <w:tcBorders>
                    <w:tl2br w:val="nil"/>
                    <w:tr2bl w:val="nil"/>
                  </w:tcBorders>
                  <w:vAlign w:val="center"/>
                </w:tcPr>
                <w:p w14:paraId="7E860E6D">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高：4m</w:t>
                  </w:r>
                </w:p>
              </w:tc>
              <w:tc>
                <w:tcPr>
                  <w:tcW w:w="1407" w:type="dxa"/>
                  <w:vMerge w:val="continue"/>
                  <w:tcBorders>
                    <w:tl2br w:val="nil"/>
                    <w:tr2bl w:val="nil"/>
                  </w:tcBorders>
                  <w:vAlign w:val="center"/>
                </w:tcPr>
                <w:p w14:paraId="6EAECEFC">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68" w:type="dxa"/>
                  <w:vMerge w:val="continue"/>
                  <w:tcBorders>
                    <w:tl2br w:val="nil"/>
                    <w:tr2bl w:val="nil"/>
                  </w:tcBorders>
                  <w:vAlign w:val="center"/>
                </w:tcPr>
                <w:p w14:paraId="3CB13AA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6A1E7020">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14:paraId="5EDAF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83" w:type="dxa"/>
                  <w:vMerge w:val="continue"/>
                  <w:tcBorders>
                    <w:tl2br w:val="nil"/>
                    <w:tr2bl w:val="nil"/>
                  </w:tcBorders>
                  <w:vAlign w:val="center"/>
                </w:tcPr>
                <w:p w14:paraId="02DD754D">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28" w:type="dxa"/>
                  <w:vMerge w:val="restart"/>
                  <w:tcBorders>
                    <w:tl2br w:val="nil"/>
                    <w:tr2bl w:val="nil"/>
                  </w:tcBorders>
                  <w:vAlign w:val="center"/>
                </w:tcPr>
                <w:p w14:paraId="1A9C37B0">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烘干房</w:t>
                  </w:r>
                </w:p>
              </w:tc>
              <w:tc>
                <w:tcPr>
                  <w:tcW w:w="735" w:type="dxa"/>
                  <w:vMerge w:val="restart"/>
                  <w:tcBorders>
                    <w:tl2br w:val="nil"/>
                    <w:tr2bl w:val="nil"/>
                  </w:tcBorders>
                  <w:vAlign w:val="center"/>
                </w:tcPr>
                <w:p w14:paraId="7A6E596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624" w:type="dxa"/>
                  <w:vMerge w:val="continue"/>
                  <w:tcBorders>
                    <w:tl2br w:val="nil"/>
                    <w:tr2bl w:val="nil"/>
                  </w:tcBorders>
                  <w:vAlign w:val="center"/>
                </w:tcPr>
                <w:p w14:paraId="59D40E2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355" w:type="dxa"/>
                  <w:vMerge w:val="restart"/>
                  <w:tcBorders>
                    <w:tl2br w:val="nil"/>
                    <w:tr2bl w:val="nil"/>
                  </w:tcBorders>
                  <w:vAlign w:val="center"/>
                </w:tcPr>
                <w:p w14:paraId="3789502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烘干房尺寸</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6</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4</w:t>
                  </w:r>
                  <w:r>
                    <w:rPr>
                      <w:rFonts w:hint="eastAsia" w:ascii="Times New Roman" w:hAnsi="Times New Roman" w:cs="Times New Roman"/>
                      <w:color w:val="auto"/>
                      <w:kern w:val="2"/>
                      <w:sz w:val="21"/>
                      <w:szCs w:val="21"/>
                      <w:highlight w:val="none"/>
                      <w:lang w:val="en-US" w:eastAsia="zh-CN" w:bidi="ar-SA"/>
                    </w:rPr>
                    <w:t>m</w:t>
                  </w:r>
                </w:p>
              </w:tc>
              <w:tc>
                <w:tcPr>
                  <w:tcW w:w="2049" w:type="dxa"/>
                  <w:vMerge w:val="restart"/>
                  <w:tcBorders>
                    <w:tl2br w:val="nil"/>
                    <w:tr2bl w:val="nil"/>
                  </w:tcBorders>
                  <w:vAlign w:val="center"/>
                </w:tcPr>
                <w:p w14:paraId="76AE05D2">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参照</w:t>
                  </w:r>
                  <w:r>
                    <w:rPr>
                      <w:rFonts w:hint="default"/>
                      <w:b w:val="0"/>
                      <w:bCs w:val="0"/>
                      <w:color w:val="auto"/>
                      <w:highlight w:val="none"/>
                      <w:lang w:val="en-US" w:eastAsia="zh-CN"/>
                    </w:rPr>
                    <w:t>《唐山市2021年挥发性有机物综合治理工作方案》</w:t>
                  </w:r>
                  <w:r>
                    <w:rPr>
                      <w:rFonts w:hint="eastAsia"/>
                      <w:b w:val="0"/>
                      <w:bCs w:val="0"/>
                      <w:color w:val="auto"/>
                      <w:highlight w:val="none"/>
                      <w:lang w:val="en-US" w:eastAsia="zh-CN"/>
                    </w:rPr>
                    <w:t>，换气次数按20次计</w:t>
                  </w:r>
                </w:p>
              </w:tc>
              <w:tc>
                <w:tcPr>
                  <w:tcW w:w="1134" w:type="dxa"/>
                  <w:tcBorders>
                    <w:tl2br w:val="nil"/>
                    <w:tr2bl w:val="nil"/>
                  </w:tcBorders>
                  <w:vAlign w:val="center"/>
                </w:tcPr>
                <w:p w14:paraId="7C6A3A9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长：5m</w:t>
                  </w:r>
                </w:p>
              </w:tc>
              <w:tc>
                <w:tcPr>
                  <w:tcW w:w="1407" w:type="dxa"/>
                  <w:vMerge w:val="restart"/>
                  <w:tcBorders>
                    <w:tl2br w:val="nil"/>
                    <w:tr2bl w:val="nil"/>
                  </w:tcBorders>
                  <w:vAlign w:val="center"/>
                </w:tcPr>
                <w:p w14:paraId="6D27A74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2400</w:t>
                  </w:r>
                </w:p>
              </w:tc>
              <w:tc>
                <w:tcPr>
                  <w:tcW w:w="968" w:type="dxa"/>
                  <w:vMerge w:val="continue"/>
                  <w:tcBorders>
                    <w:tl2br w:val="nil"/>
                    <w:tr2bl w:val="nil"/>
                  </w:tcBorders>
                  <w:vAlign w:val="center"/>
                </w:tcPr>
                <w:p w14:paraId="3543C0DC">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43C7CA31">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p>
              </w:tc>
            </w:tr>
            <w:tr w14:paraId="33AB8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Merge w:val="continue"/>
                  <w:tcBorders>
                    <w:tl2br w:val="nil"/>
                    <w:tr2bl w:val="nil"/>
                  </w:tcBorders>
                  <w:vAlign w:val="center"/>
                </w:tcPr>
                <w:p w14:paraId="1A10F2B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928" w:type="dxa"/>
                  <w:vMerge w:val="continue"/>
                  <w:tcBorders>
                    <w:tl2br w:val="nil"/>
                    <w:tr2bl w:val="nil"/>
                  </w:tcBorders>
                  <w:vAlign w:val="center"/>
                </w:tcPr>
                <w:p w14:paraId="5EEF7460">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735" w:type="dxa"/>
                  <w:vMerge w:val="continue"/>
                  <w:tcBorders>
                    <w:tl2br w:val="nil"/>
                    <w:tr2bl w:val="nil"/>
                  </w:tcBorders>
                  <w:vAlign w:val="center"/>
                </w:tcPr>
                <w:p w14:paraId="0D36C13F">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2624" w:type="dxa"/>
                  <w:vMerge w:val="continue"/>
                  <w:tcBorders>
                    <w:tl2br w:val="nil"/>
                    <w:tr2bl w:val="nil"/>
                  </w:tcBorders>
                  <w:vAlign w:val="center"/>
                </w:tcPr>
                <w:p w14:paraId="2F0056B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1355" w:type="dxa"/>
                  <w:vMerge w:val="continue"/>
                  <w:tcBorders>
                    <w:tl2br w:val="nil"/>
                    <w:tr2bl w:val="nil"/>
                  </w:tcBorders>
                  <w:vAlign w:val="center"/>
                </w:tcPr>
                <w:p w14:paraId="72817D4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2049" w:type="dxa"/>
                  <w:vMerge w:val="continue"/>
                  <w:tcBorders>
                    <w:tl2br w:val="nil"/>
                    <w:tr2bl w:val="nil"/>
                  </w:tcBorders>
                  <w:vAlign w:val="center"/>
                </w:tcPr>
                <w:p w14:paraId="3FEA01D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1134" w:type="dxa"/>
                  <w:tcBorders>
                    <w:tl2br w:val="nil"/>
                    <w:tr2bl w:val="nil"/>
                  </w:tcBorders>
                  <w:vAlign w:val="center"/>
                </w:tcPr>
                <w:p w14:paraId="1D25EB8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宽：6m</w:t>
                  </w:r>
                </w:p>
              </w:tc>
              <w:tc>
                <w:tcPr>
                  <w:tcW w:w="1407" w:type="dxa"/>
                  <w:vMerge w:val="continue"/>
                  <w:tcBorders>
                    <w:tl2br w:val="nil"/>
                    <w:tr2bl w:val="nil"/>
                  </w:tcBorders>
                  <w:vAlign w:val="center"/>
                </w:tcPr>
                <w:p w14:paraId="1FC8221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68" w:type="dxa"/>
                  <w:vMerge w:val="continue"/>
                  <w:tcBorders>
                    <w:tl2br w:val="nil"/>
                    <w:tr2bl w:val="nil"/>
                  </w:tcBorders>
                  <w:vAlign w:val="center"/>
                </w:tcPr>
                <w:p w14:paraId="00824BE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5ADE3941">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14:paraId="5C5AA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83" w:type="dxa"/>
                  <w:vMerge w:val="continue"/>
                  <w:tcBorders>
                    <w:tl2br w:val="nil"/>
                    <w:tr2bl w:val="nil"/>
                  </w:tcBorders>
                  <w:vAlign w:val="center"/>
                </w:tcPr>
                <w:p w14:paraId="383C06B2">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28" w:type="dxa"/>
                  <w:vMerge w:val="continue"/>
                  <w:tcBorders>
                    <w:tl2br w:val="nil"/>
                    <w:tr2bl w:val="nil"/>
                  </w:tcBorders>
                  <w:vAlign w:val="center"/>
                </w:tcPr>
                <w:p w14:paraId="13FF376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735" w:type="dxa"/>
                  <w:vMerge w:val="continue"/>
                  <w:tcBorders>
                    <w:tl2br w:val="nil"/>
                    <w:tr2bl w:val="nil"/>
                  </w:tcBorders>
                  <w:vAlign w:val="center"/>
                </w:tcPr>
                <w:p w14:paraId="2005007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624" w:type="dxa"/>
                  <w:vMerge w:val="continue"/>
                  <w:tcBorders>
                    <w:tl2br w:val="nil"/>
                    <w:tr2bl w:val="nil"/>
                  </w:tcBorders>
                  <w:vAlign w:val="center"/>
                </w:tcPr>
                <w:p w14:paraId="65AC2CB8">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355" w:type="dxa"/>
                  <w:vMerge w:val="continue"/>
                  <w:tcBorders>
                    <w:tl2br w:val="nil"/>
                    <w:tr2bl w:val="nil"/>
                  </w:tcBorders>
                  <w:vAlign w:val="center"/>
                </w:tcPr>
                <w:p w14:paraId="1AFE825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049" w:type="dxa"/>
                  <w:vMerge w:val="continue"/>
                  <w:tcBorders>
                    <w:tl2br w:val="nil"/>
                    <w:tr2bl w:val="nil"/>
                  </w:tcBorders>
                  <w:vAlign w:val="center"/>
                </w:tcPr>
                <w:p w14:paraId="3BCCC28D">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34" w:type="dxa"/>
                  <w:tcBorders>
                    <w:tl2br w:val="nil"/>
                    <w:tr2bl w:val="nil"/>
                  </w:tcBorders>
                  <w:vAlign w:val="center"/>
                </w:tcPr>
                <w:p w14:paraId="416EBDD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高：4m</w:t>
                  </w:r>
                </w:p>
              </w:tc>
              <w:tc>
                <w:tcPr>
                  <w:tcW w:w="1407" w:type="dxa"/>
                  <w:vMerge w:val="continue"/>
                  <w:tcBorders>
                    <w:tl2br w:val="nil"/>
                    <w:tr2bl w:val="nil"/>
                  </w:tcBorders>
                  <w:vAlign w:val="center"/>
                </w:tcPr>
                <w:p w14:paraId="4DABAB22">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68" w:type="dxa"/>
                  <w:vMerge w:val="continue"/>
                  <w:tcBorders>
                    <w:tl2br w:val="nil"/>
                    <w:tr2bl w:val="nil"/>
                  </w:tcBorders>
                  <w:vAlign w:val="center"/>
                </w:tcPr>
                <w:p w14:paraId="38D757BF">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475891C0">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14:paraId="6B752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83" w:type="dxa"/>
                  <w:vMerge w:val="continue"/>
                  <w:tcBorders>
                    <w:tl2br w:val="nil"/>
                    <w:tr2bl w:val="nil"/>
                  </w:tcBorders>
                  <w:vAlign w:val="center"/>
                </w:tcPr>
                <w:p w14:paraId="3549C6F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28" w:type="dxa"/>
                  <w:vMerge w:val="restart"/>
                  <w:tcBorders>
                    <w:tl2br w:val="nil"/>
                    <w:tr2bl w:val="nil"/>
                  </w:tcBorders>
                  <w:vAlign w:val="center"/>
                </w:tcPr>
                <w:p w14:paraId="746C5C3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油漆库</w:t>
                  </w:r>
                </w:p>
              </w:tc>
              <w:tc>
                <w:tcPr>
                  <w:tcW w:w="735" w:type="dxa"/>
                  <w:vMerge w:val="restart"/>
                  <w:tcBorders>
                    <w:tl2br w:val="nil"/>
                    <w:tr2bl w:val="nil"/>
                  </w:tcBorders>
                  <w:vAlign w:val="center"/>
                </w:tcPr>
                <w:p w14:paraId="0CE028E8">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2624" w:type="dxa"/>
                  <w:vMerge w:val="continue"/>
                  <w:tcBorders>
                    <w:tl2br w:val="nil"/>
                    <w:tr2bl w:val="nil"/>
                  </w:tcBorders>
                  <w:vAlign w:val="center"/>
                </w:tcPr>
                <w:p w14:paraId="016C386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355" w:type="dxa"/>
                  <w:vMerge w:val="restart"/>
                  <w:tcBorders>
                    <w:tl2br w:val="nil"/>
                    <w:tr2bl w:val="nil"/>
                  </w:tcBorders>
                  <w:vAlign w:val="center"/>
                </w:tcPr>
                <w:p w14:paraId="2F58F5C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油漆库尺寸：</w:t>
                  </w:r>
                  <w:r>
                    <w:rPr>
                      <w:rFonts w:hint="eastAsia" w:cs="Times New Roman"/>
                      <w:color w:val="auto"/>
                      <w:kern w:val="2"/>
                      <w:sz w:val="21"/>
                      <w:szCs w:val="21"/>
                      <w:highlight w:val="none"/>
                      <w:lang w:val="en-US" w:eastAsia="zh-CN" w:bidi="ar-SA"/>
                    </w:rPr>
                    <w:t>3.9</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w:t>
                  </w:r>
                  <w:r>
                    <w:rPr>
                      <w:rFonts w:hint="eastAsia" w:ascii="Times New Roman" w:hAnsi="Times New Roman" w:cs="Times New Roman"/>
                      <w:color w:val="auto"/>
                      <w:kern w:val="2"/>
                      <w:sz w:val="21"/>
                      <w:szCs w:val="21"/>
                      <w:highlight w:val="none"/>
                      <w:lang w:val="en-US" w:eastAsia="zh-CN" w:bidi="ar-SA"/>
                    </w:rPr>
                    <w:t>m</w:t>
                  </w:r>
                </w:p>
              </w:tc>
              <w:tc>
                <w:tcPr>
                  <w:tcW w:w="2049" w:type="dxa"/>
                  <w:vMerge w:val="restart"/>
                  <w:tcBorders>
                    <w:tl2br w:val="nil"/>
                    <w:tr2bl w:val="nil"/>
                  </w:tcBorders>
                  <w:vAlign w:val="center"/>
                </w:tcPr>
                <w:p w14:paraId="5C5087C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参照</w:t>
                  </w:r>
                  <w:r>
                    <w:rPr>
                      <w:rFonts w:hint="default"/>
                      <w:b w:val="0"/>
                      <w:bCs w:val="0"/>
                      <w:color w:val="auto"/>
                      <w:highlight w:val="none"/>
                      <w:lang w:val="en-US" w:eastAsia="zh-CN"/>
                    </w:rPr>
                    <w:t>《唐山市2021年挥发性有机物综合治理工作方案》</w:t>
                  </w:r>
                  <w:r>
                    <w:rPr>
                      <w:rFonts w:hint="eastAsia"/>
                      <w:b w:val="0"/>
                      <w:bCs w:val="0"/>
                      <w:color w:val="auto"/>
                      <w:highlight w:val="none"/>
                      <w:lang w:val="en-US" w:eastAsia="zh-CN"/>
                    </w:rPr>
                    <w:t>，换气次数按20次计</w:t>
                  </w:r>
                </w:p>
              </w:tc>
              <w:tc>
                <w:tcPr>
                  <w:tcW w:w="1134" w:type="dxa"/>
                  <w:tcBorders>
                    <w:tl2br w:val="nil"/>
                    <w:tr2bl w:val="nil"/>
                  </w:tcBorders>
                  <w:vAlign w:val="center"/>
                </w:tcPr>
                <w:p w14:paraId="5AB99AC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长：3.9m</w:t>
                  </w:r>
                </w:p>
              </w:tc>
              <w:tc>
                <w:tcPr>
                  <w:tcW w:w="1407" w:type="dxa"/>
                  <w:vMerge w:val="restart"/>
                  <w:tcBorders>
                    <w:tl2br w:val="nil"/>
                    <w:tr2bl w:val="nil"/>
                  </w:tcBorders>
                  <w:vAlign w:val="center"/>
                </w:tcPr>
                <w:p w14:paraId="1817A2D1">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702</w:t>
                  </w:r>
                </w:p>
              </w:tc>
              <w:tc>
                <w:tcPr>
                  <w:tcW w:w="968" w:type="dxa"/>
                  <w:vMerge w:val="continue"/>
                  <w:tcBorders>
                    <w:tl2br w:val="nil"/>
                    <w:tr2bl w:val="nil"/>
                  </w:tcBorders>
                  <w:vAlign w:val="center"/>
                </w:tcPr>
                <w:p w14:paraId="7C388D1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699B9750">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14:paraId="4E396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3" w:type="dxa"/>
                  <w:vMerge w:val="continue"/>
                  <w:tcBorders>
                    <w:tl2br w:val="nil"/>
                    <w:tr2bl w:val="nil"/>
                  </w:tcBorders>
                  <w:vAlign w:val="center"/>
                </w:tcPr>
                <w:p w14:paraId="2269244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28" w:type="dxa"/>
                  <w:vMerge w:val="continue"/>
                  <w:tcBorders>
                    <w:tl2br w:val="nil"/>
                    <w:tr2bl w:val="nil"/>
                  </w:tcBorders>
                  <w:vAlign w:val="center"/>
                </w:tcPr>
                <w:p w14:paraId="0D1403D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735" w:type="dxa"/>
                  <w:vMerge w:val="continue"/>
                  <w:tcBorders>
                    <w:tl2br w:val="nil"/>
                    <w:tr2bl w:val="nil"/>
                  </w:tcBorders>
                  <w:vAlign w:val="center"/>
                </w:tcPr>
                <w:p w14:paraId="7A9EAE6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624" w:type="dxa"/>
                  <w:vMerge w:val="continue"/>
                  <w:tcBorders>
                    <w:tl2br w:val="nil"/>
                    <w:tr2bl w:val="nil"/>
                  </w:tcBorders>
                  <w:vAlign w:val="center"/>
                </w:tcPr>
                <w:p w14:paraId="19A6681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355" w:type="dxa"/>
                  <w:vMerge w:val="continue"/>
                  <w:tcBorders>
                    <w:tl2br w:val="nil"/>
                    <w:tr2bl w:val="nil"/>
                  </w:tcBorders>
                  <w:vAlign w:val="center"/>
                </w:tcPr>
                <w:p w14:paraId="6B6E6EA2">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049" w:type="dxa"/>
                  <w:vMerge w:val="continue"/>
                  <w:tcBorders>
                    <w:tl2br w:val="nil"/>
                    <w:tr2bl w:val="nil"/>
                  </w:tcBorders>
                  <w:vAlign w:val="center"/>
                </w:tcPr>
                <w:p w14:paraId="79ED3D3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34" w:type="dxa"/>
                  <w:tcBorders>
                    <w:tl2br w:val="nil"/>
                    <w:tr2bl w:val="nil"/>
                  </w:tcBorders>
                  <w:vAlign w:val="center"/>
                </w:tcPr>
                <w:p w14:paraId="1810E90C">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宽：3m</w:t>
                  </w:r>
                </w:p>
              </w:tc>
              <w:tc>
                <w:tcPr>
                  <w:tcW w:w="1407" w:type="dxa"/>
                  <w:vMerge w:val="continue"/>
                  <w:tcBorders>
                    <w:tl2br w:val="nil"/>
                    <w:tr2bl w:val="nil"/>
                  </w:tcBorders>
                  <w:vAlign w:val="center"/>
                </w:tcPr>
                <w:p w14:paraId="5BCB4B9F">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68" w:type="dxa"/>
                  <w:vMerge w:val="continue"/>
                  <w:tcBorders>
                    <w:tl2br w:val="nil"/>
                    <w:tr2bl w:val="nil"/>
                  </w:tcBorders>
                  <w:vAlign w:val="center"/>
                </w:tcPr>
                <w:p w14:paraId="0CEAA7D1">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10DDCC22">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14:paraId="512EB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83" w:type="dxa"/>
                  <w:vMerge w:val="continue"/>
                  <w:tcBorders>
                    <w:tl2br w:val="nil"/>
                    <w:tr2bl w:val="nil"/>
                  </w:tcBorders>
                  <w:vAlign w:val="center"/>
                </w:tcPr>
                <w:p w14:paraId="452D9BF1">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28" w:type="dxa"/>
                  <w:vMerge w:val="continue"/>
                  <w:tcBorders>
                    <w:tl2br w:val="nil"/>
                    <w:tr2bl w:val="nil"/>
                  </w:tcBorders>
                  <w:vAlign w:val="center"/>
                </w:tcPr>
                <w:p w14:paraId="5886C1E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735" w:type="dxa"/>
                  <w:vMerge w:val="continue"/>
                  <w:tcBorders>
                    <w:tl2br w:val="nil"/>
                    <w:tr2bl w:val="nil"/>
                  </w:tcBorders>
                  <w:vAlign w:val="center"/>
                </w:tcPr>
                <w:p w14:paraId="27CCF68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624" w:type="dxa"/>
                  <w:vMerge w:val="continue"/>
                  <w:tcBorders>
                    <w:tl2br w:val="nil"/>
                    <w:tr2bl w:val="nil"/>
                  </w:tcBorders>
                  <w:vAlign w:val="center"/>
                </w:tcPr>
                <w:p w14:paraId="7207B3E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355" w:type="dxa"/>
                  <w:vMerge w:val="continue"/>
                  <w:tcBorders>
                    <w:tl2br w:val="nil"/>
                    <w:tr2bl w:val="nil"/>
                  </w:tcBorders>
                  <w:vAlign w:val="center"/>
                </w:tcPr>
                <w:p w14:paraId="63F57BF0">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049" w:type="dxa"/>
                  <w:vMerge w:val="continue"/>
                  <w:tcBorders>
                    <w:tl2br w:val="nil"/>
                    <w:tr2bl w:val="nil"/>
                  </w:tcBorders>
                  <w:vAlign w:val="center"/>
                </w:tcPr>
                <w:p w14:paraId="7363158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34" w:type="dxa"/>
                  <w:tcBorders>
                    <w:tl2br w:val="nil"/>
                    <w:tr2bl w:val="nil"/>
                  </w:tcBorders>
                  <w:vAlign w:val="center"/>
                </w:tcPr>
                <w:p w14:paraId="5B1FD79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高：3m</w:t>
                  </w:r>
                </w:p>
              </w:tc>
              <w:tc>
                <w:tcPr>
                  <w:tcW w:w="1407" w:type="dxa"/>
                  <w:vMerge w:val="continue"/>
                  <w:tcBorders>
                    <w:tl2br w:val="nil"/>
                    <w:tr2bl w:val="nil"/>
                  </w:tcBorders>
                  <w:vAlign w:val="center"/>
                </w:tcPr>
                <w:p w14:paraId="7CF5578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68" w:type="dxa"/>
                  <w:vMerge w:val="continue"/>
                  <w:tcBorders>
                    <w:tl2br w:val="nil"/>
                    <w:tr2bl w:val="nil"/>
                  </w:tcBorders>
                  <w:vAlign w:val="center"/>
                </w:tcPr>
                <w:p w14:paraId="55F968A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34A1649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14:paraId="33016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Merge w:val="continue"/>
                  <w:tcBorders>
                    <w:tl2br w:val="nil"/>
                    <w:tr2bl w:val="nil"/>
                  </w:tcBorders>
                  <w:vAlign w:val="center"/>
                </w:tcPr>
                <w:p w14:paraId="621D592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28" w:type="dxa"/>
                  <w:vMerge w:val="restart"/>
                  <w:tcBorders>
                    <w:tl2br w:val="nil"/>
                    <w:tr2bl w:val="nil"/>
                  </w:tcBorders>
                  <w:vAlign w:val="center"/>
                </w:tcPr>
                <w:p w14:paraId="0D3102D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危废间</w:t>
                  </w:r>
                </w:p>
              </w:tc>
              <w:tc>
                <w:tcPr>
                  <w:tcW w:w="735" w:type="dxa"/>
                  <w:vMerge w:val="restart"/>
                  <w:tcBorders>
                    <w:tl2br w:val="nil"/>
                    <w:tr2bl w:val="nil"/>
                  </w:tcBorders>
                  <w:vAlign w:val="center"/>
                </w:tcPr>
                <w:p w14:paraId="0422624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624" w:type="dxa"/>
                  <w:vMerge w:val="continue"/>
                  <w:tcBorders>
                    <w:tl2br w:val="nil"/>
                    <w:tr2bl w:val="nil"/>
                  </w:tcBorders>
                  <w:vAlign w:val="center"/>
                </w:tcPr>
                <w:p w14:paraId="33D01728">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355" w:type="dxa"/>
                  <w:vMerge w:val="restart"/>
                  <w:tcBorders>
                    <w:tl2br w:val="nil"/>
                    <w:tr2bl w:val="nil"/>
                  </w:tcBorders>
                  <w:vAlign w:val="center"/>
                </w:tcPr>
                <w:p w14:paraId="557DF785">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危废间尺寸：</w:t>
                  </w:r>
                  <w:r>
                    <w:rPr>
                      <w:rFonts w:hint="eastAsia" w:cs="Times New Roman"/>
                      <w:color w:val="auto"/>
                      <w:kern w:val="2"/>
                      <w:sz w:val="21"/>
                      <w:szCs w:val="21"/>
                      <w:highlight w:val="none"/>
                      <w:lang w:val="en-US" w:eastAsia="zh-CN" w:bidi="ar-SA"/>
                    </w:rPr>
                    <w:t>3.9</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w:t>
                  </w:r>
                  <w:r>
                    <w:rPr>
                      <w:rFonts w:hint="eastAsia" w:ascii="Times New Roman" w:hAnsi="Times New Roman" w:cs="Times New Roman"/>
                      <w:color w:val="auto"/>
                      <w:kern w:val="2"/>
                      <w:sz w:val="21"/>
                      <w:szCs w:val="21"/>
                      <w:highlight w:val="none"/>
                      <w:lang w:val="en-US" w:eastAsia="zh-CN" w:bidi="ar-SA"/>
                    </w:rPr>
                    <w:t>m</w:t>
                  </w:r>
                </w:p>
              </w:tc>
              <w:tc>
                <w:tcPr>
                  <w:tcW w:w="2049" w:type="dxa"/>
                  <w:vMerge w:val="restart"/>
                  <w:tcBorders>
                    <w:tl2br w:val="nil"/>
                    <w:tr2bl w:val="nil"/>
                  </w:tcBorders>
                  <w:vAlign w:val="center"/>
                </w:tcPr>
                <w:p w14:paraId="6D3F8C46">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参照</w:t>
                  </w:r>
                  <w:r>
                    <w:rPr>
                      <w:rFonts w:hint="default"/>
                      <w:b w:val="0"/>
                      <w:bCs w:val="0"/>
                      <w:color w:val="auto"/>
                      <w:highlight w:val="none"/>
                      <w:lang w:val="en-US" w:eastAsia="zh-CN"/>
                    </w:rPr>
                    <w:t>《唐山市2021年挥发性有机物综合治理工作方案》</w:t>
                  </w:r>
                  <w:r>
                    <w:rPr>
                      <w:rFonts w:hint="eastAsia"/>
                      <w:b w:val="0"/>
                      <w:bCs w:val="0"/>
                      <w:color w:val="auto"/>
                      <w:highlight w:val="none"/>
                      <w:lang w:val="en-US" w:eastAsia="zh-CN"/>
                    </w:rPr>
                    <w:t>，换气次数按20次计</w:t>
                  </w:r>
                </w:p>
              </w:tc>
              <w:tc>
                <w:tcPr>
                  <w:tcW w:w="1134" w:type="dxa"/>
                  <w:tcBorders>
                    <w:tl2br w:val="nil"/>
                    <w:tr2bl w:val="nil"/>
                  </w:tcBorders>
                  <w:vAlign w:val="center"/>
                </w:tcPr>
                <w:p w14:paraId="124F7D6B">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长：3.9m</w:t>
                  </w:r>
                </w:p>
              </w:tc>
              <w:tc>
                <w:tcPr>
                  <w:tcW w:w="1407" w:type="dxa"/>
                  <w:vMerge w:val="restart"/>
                  <w:tcBorders>
                    <w:tl2br w:val="nil"/>
                    <w:tr2bl w:val="nil"/>
                  </w:tcBorders>
                  <w:vAlign w:val="center"/>
                </w:tcPr>
                <w:p w14:paraId="1879789A">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702</w:t>
                  </w:r>
                </w:p>
              </w:tc>
              <w:tc>
                <w:tcPr>
                  <w:tcW w:w="968" w:type="dxa"/>
                  <w:vMerge w:val="continue"/>
                  <w:tcBorders>
                    <w:tl2br w:val="nil"/>
                    <w:tr2bl w:val="nil"/>
                  </w:tcBorders>
                  <w:vAlign w:val="center"/>
                </w:tcPr>
                <w:p w14:paraId="590EDE27">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7E2E070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p>
              </w:tc>
            </w:tr>
            <w:tr w14:paraId="2408D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83" w:type="dxa"/>
                  <w:vMerge w:val="continue"/>
                  <w:tcBorders>
                    <w:tl2br w:val="nil"/>
                    <w:tr2bl w:val="nil"/>
                  </w:tcBorders>
                  <w:vAlign w:val="center"/>
                </w:tcPr>
                <w:p w14:paraId="6EA6A519">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928" w:type="dxa"/>
                  <w:vMerge w:val="continue"/>
                  <w:tcBorders>
                    <w:tl2br w:val="nil"/>
                    <w:tr2bl w:val="nil"/>
                  </w:tcBorders>
                  <w:vAlign w:val="center"/>
                </w:tcPr>
                <w:p w14:paraId="2E08D133">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735" w:type="dxa"/>
                  <w:vMerge w:val="continue"/>
                  <w:tcBorders>
                    <w:tl2br w:val="nil"/>
                    <w:tr2bl w:val="nil"/>
                  </w:tcBorders>
                  <w:vAlign w:val="center"/>
                </w:tcPr>
                <w:p w14:paraId="3E85FF7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2624" w:type="dxa"/>
                  <w:vMerge w:val="continue"/>
                  <w:tcBorders>
                    <w:tl2br w:val="nil"/>
                    <w:tr2bl w:val="nil"/>
                  </w:tcBorders>
                  <w:vAlign w:val="center"/>
                </w:tcPr>
                <w:p w14:paraId="41FCB58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1355" w:type="dxa"/>
                  <w:vMerge w:val="continue"/>
                  <w:tcBorders>
                    <w:tl2br w:val="nil"/>
                    <w:tr2bl w:val="nil"/>
                  </w:tcBorders>
                  <w:vAlign w:val="center"/>
                </w:tcPr>
                <w:p w14:paraId="2C854FD1">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2049" w:type="dxa"/>
                  <w:vMerge w:val="continue"/>
                  <w:tcBorders>
                    <w:tl2br w:val="nil"/>
                    <w:tr2bl w:val="nil"/>
                  </w:tcBorders>
                  <w:vAlign w:val="center"/>
                </w:tcPr>
                <w:p w14:paraId="0F23722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highlight w:val="none"/>
                    </w:rPr>
                  </w:pPr>
                </w:p>
              </w:tc>
              <w:tc>
                <w:tcPr>
                  <w:tcW w:w="1134" w:type="dxa"/>
                  <w:tcBorders>
                    <w:tl2br w:val="nil"/>
                    <w:tr2bl w:val="nil"/>
                  </w:tcBorders>
                  <w:vAlign w:val="center"/>
                </w:tcPr>
                <w:p w14:paraId="24222A64">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宽：3m</w:t>
                  </w:r>
                </w:p>
              </w:tc>
              <w:tc>
                <w:tcPr>
                  <w:tcW w:w="1407" w:type="dxa"/>
                  <w:vMerge w:val="continue"/>
                  <w:tcBorders>
                    <w:tl2br w:val="nil"/>
                    <w:tr2bl w:val="nil"/>
                  </w:tcBorders>
                  <w:vAlign w:val="center"/>
                </w:tcPr>
                <w:p w14:paraId="50C03497">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68" w:type="dxa"/>
                  <w:vMerge w:val="continue"/>
                  <w:tcBorders>
                    <w:tl2br w:val="nil"/>
                    <w:tr2bl w:val="nil"/>
                  </w:tcBorders>
                  <w:vAlign w:val="center"/>
                </w:tcPr>
                <w:p w14:paraId="62C1F1ED">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14:paraId="512479DE">
                  <w:pPr>
                    <w:pStyle w:val="31"/>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bl>
          <w:p w14:paraId="35A02AC3">
            <w:pPr>
              <w:rPr>
                <w:rFonts w:hint="default" w:eastAsia="宋体"/>
                <w:color w:val="auto"/>
                <w:highlight w:val="none"/>
                <w:vertAlign w:val="baseline"/>
                <w:lang w:val="en-US" w:eastAsia="zh-CN"/>
              </w:rPr>
            </w:pPr>
            <w:r>
              <w:rPr>
                <w:rFonts w:hint="eastAsia"/>
                <w:color w:val="auto"/>
                <w:highlight w:val="none"/>
                <w:vertAlign w:val="baseline"/>
                <w:lang w:val="en-US" w:eastAsia="zh-CN"/>
              </w:rPr>
              <w:t>由上表可知，本项目风机风量设置满足需求。</w:t>
            </w:r>
          </w:p>
          <w:p w14:paraId="3AECC47C">
            <w:pPr>
              <w:bidi w:val="0"/>
              <w:rPr>
                <w:rFonts w:hint="default" w:eastAsia="宋体"/>
                <w:color w:val="auto"/>
                <w:lang w:val="en-US" w:eastAsia="zh-CN"/>
              </w:rPr>
            </w:pPr>
            <w:r>
              <w:rPr>
                <w:rFonts w:hint="eastAsia"/>
                <w:color w:val="auto"/>
                <w:lang w:val="en-US" w:eastAsia="zh-CN"/>
              </w:rPr>
              <w:t>综上，本项目采用的废气处理措施技术均为可行性技术，且风机风量设置合理，因此，项目采取的废气处理措施可行。</w:t>
            </w:r>
          </w:p>
          <w:p w14:paraId="5D71D34E">
            <w:pPr>
              <w:ind w:left="0" w:leftChars="0" w:firstLine="0" w:firstLineChars="0"/>
              <w:rPr>
                <w:color w:val="auto"/>
                <w:highlight w:val="none"/>
                <w:vertAlign w:val="baseline"/>
              </w:rPr>
            </w:pPr>
          </w:p>
          <w:p w14:paraId="1821C464">
            <w:pPr>
              <w:ind w:left="0" w:leftChars="0" w:firstLine="0" w:firstLineChars="0"/>
              <w:rPr>
                <w:color w:val="auto"/>
                <w:highlight w:val="none"/>
                <w:vertAlign w:val="baseline"/>
              </w:rPr>
            </w:pPr>
          </w:p>
          <w:p w14:paraId="05B55880">
            <w:pPr>
              <w:pStyle w:val="13"/>
              <w:rPr>
                <w:color w:val="auto"/>
                <w:highlight w:val="none"/>
                <w:vertAlign w:val="baseline"/>
              </w:rPr>
            </w:pPr>
          </w:p>
          <w:p w14:paraId="0C18CD4C">
            <w:pPr>
              <w:rPr>
                <w:color w:val="auto"/>
                <w:highlight w:val="none"/>
                <w:vertAlign w:val="baseline"/>
              </w:rPr>
            </w:pPr>
          </w:p>
          <w:p w14:paraId="1F676BFC">
            <w:pPr>
              <w:pStyle w:val="13"/>
              <w:rPr>
                <w:color w:val="auto"/>
                <w:highlight w:val="none"/>
                <w:vertAlign w:val="baseline"/>
              </w:rPr>
            </w:pPr>
          </w:p>
          <w:p w14:paraId="12C7A408">
            <w:pPr>
              <w:rPr>
                <w:color w:val="auto"/>
                <w:highlight w:val="none"/>
                <w:vertAlign w:val="baseline"/>
              </w:rPr>
            </w:pPr>
          </w:p>
          <w:p w14:paraId="34310201">
            <w:pPr>
              <w:pStyle w:val="13"/>
              <w:rPr>
                <w:color w:val="auto"/>
                <w:highlight w:val="none"/>
                <w:vertAlign w:val="baseline"/>
              </w:rPr>
            </w:pPr>
          </w:p>
          <w:p w14:paraId="147DB80D">
            <w:pPr>
              <w:rPr>
                <w:color w:val="auto"/>
                <w:highlight w:val="none"/>
                <w:vertAlign w:val="baseline"/>
              </w:rPr>
            </w:pPr>
          </w:p>
          <w:p w14:paraId="44FEF256">
            <w:pPr>
              <w:pStyle w:val="13"/>
              <w:rPr>
                <w:color w:val="auto"/>
                <w:highlight w:val="none"/>
                <w:vertAlign w:val="baseline"/>
              </w:rPr>
            </w:pPr>
          </w:p>
          <w:p w14:paraId="385F397D">
            <w:pPr>
              <w:pStyle w:val="13"/>
              <w:ind w:left="0" w:leftChars="0" w:firstLine="0" w:firstLineChars="0"/>
              <w:rPr>
                <w:color w:val="auto"/>
              </w:rPr>
            </w:pPr>
          </w:p>
          <w:p w14:paraId="6A450391">
            <w:pPr>
              <w:ind w:left="0" w:leftChars="0" w:firstLine="0" w:firstLineChars="0"/>
              <w:rPr>
                <w:color w:val="auto"/>
                <w:highlight w:val="none"/>
                <w:vertAlign w:val="baseline"/>
              </w:rPr>
            </w:pPr>
          </w:p>
        </w:tc>
      </w:tr>
    </w:tbl>
    <w:p w14:paraId="274AE658">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641"/>
      </w:tblGrid>
      <w:tr w14:paraId="24A51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17" w:type="dxa"/>
            <w:tcBorders>
              <w:tl2br w:val="nil"/>
              <w:tr2bl w:val="nil"/>
            </w:tcBorders>
          </w:tcPr>
          <w:p w14:paraId="585C35F8">
            <w:pPr>
              <w:rPr>
                <w:color w:val="auto"/>
                <w:highlight w:val="none"/>
                <w:vertAlign w:val="baseline"/>
              </w:rPr>
            </w:pPr>
          </w:p>
        </w:tc>
        <w:tc>
          <w:tcPr>
            <w:tcW w:w="8641" w:type="dxa"/>
            <w:tcBorders>
              <w:tl2br w:val="nil"/>
              <w:tr2bl w:val="nil"/>
            </w:tcBorders>
          </w:tcPr>
          <w:p w14:paraId="4D9EC2E8">
            <w:pPr>
              <w:keepNext w:val="0"/>
              <w:keepLines w:val="0"/>
              <w:pageBreakBefore w:val="0"/>
              <w:widowControl w:val="0"/>
              <w:kinsoku/>
              <w:wordWrap/>
              <w:overflowPunct/>
              <w:topLinePunct w:val="0"/>
              <w:autoSpaceDE/>
              <w:autoSpaceDN/>
              <w:bidi w:val="0"/>
              <w:adjustRightInd/>
              <w:snapToGrid/>
              <w:textAlignment w:val="auto"/>
              <w:rPr>
                <w:rFonts w:hint="eastAsia"/>
                <w:b/>
                <w:bCs/>
                <w:color w:val="auto"/>
                <w:highlight w:val="none"/>
                <w:lang w:val="en-US" w:eastAsia="zh-CN"/>
              </w:rPr>
            </w:pPr>
            <w:r>
              <w:rPr>
                <w:rFonts w:hint="default"/>
                <w:b/>
                <w:bCs/>
                <w:color w:val="auto"/>
                <w:highlight w:val="none"/>
              </w:rPr>
              <w:t>1.</w:t>
            </w:r>
            <w:r>
              <w:rPr>
                <w:rFonts w:hint="eastAsia"/>
                <w:b/>
                <w:bCs/>
                <w:color w:val="auto"/>
                <w:highlight w:val="none"/>
                <w:lang w:val="en-US" w:eastAsia="zh-CN"/>
              </w:rPr>
              <w:t>5大气环境评价结论</w:t>
            </w:r>
          </w:p>
          <w:p w14:paraId="3FEBD472">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val="en-US" w:eastAsia="zh-CN"/>
              </w:rPr>
              <w:t>项目</w:t>
            </w:r>
            <w:r>
              <w:rPr>
                <w:rFonts w:hint="default"/>
                <w:color w:val="auto"/>
                <w:highlight w:val="none"/>
                <w:lang w:val="en-US" w:eastAsia="zh-CN"/>
              </w:rPr>
              <w:t>所在区域环境空气质量属于不达标区</w:t>
            </w:r>
            <w:r>
              <w:rPr>
                <w:rFonts w:hint="eastAsia"/>
                <w:color w:val="auto"/>
                <w:highlight w:val="none"/>
                <w:lang w:val="en-US" w:eastAsia="zh-CN"/>
              </w:rPr>
              <w:t>，区域PM</w:t>
            </w:r>
            <w:r>
              <w:rPr>
                <w:rFonts w:hint="eastAsia"/>
                <w:color w:val="auto"/>
                <w:highlight w:val="none"/>
                <w:vertAlign w:val="subscript"/>
                <w:lang w:val="en-US" w:eastAsia="zh-CN"/>
              </w:rPr>
              <w:t>2.5</w:t>
            </w:r>
            <w:r>
              <w:rPr>
                <w:rFonts w:hint="eastAsia"/>
                <w:color w:val="auto"/>
                <w:highlight w:val="none"/>
                <w:lang w:val="en-US" w:eastAsia="zh-CN"/>
              </w:rPr>
              <w:t>、O</w:t>
            </w:r>
            <w:r>
              <w:rPr>
                <w:rFonts w:hint="eastAsia"/>
                <w:color w:val="auto"/>
                <w:highlight w:val="none"/>
                <w:vertAlign w:val="subscript"/>
                <w:lang w:val="en-US" w:eastAsia="zh-CN"/>
              </w:rPr>
              <w:t>3</w:t>
            </w:r>
            <w:r>
              <w:rPr>
                <w:rFonts w:hint="eastAsia"/>
                <w:color w:val="auto"/>
                <w:highlight w:val="none"/>
                <w:lang w:val="en-US" w:eastAsia="zh-CN"/>
              </w:rPr>
              <w:t>存在超标现象</w:t>
            </w:r>
            <w:r>
              <w:rPr>
                <w:rFonts w:hint="default"/>
                <w:color w:val="auto"/>
                <w:highlight w:val="none"/>
                <w:lang w:val="en-US" w:eastAsia="zh-CN"/>
              </w:rPr>
              <w:t>。</w:t>
            </w:r>
            <w:r>
              <w:rPr>
                <w:rFonts w:hint="default"/>
                <w:color w:val="auto"/>
                <w:highlight w:val="none"/>
              </w:rPr>
              <w:t>其他污染物非甲烷总烃</w:t>
            </w:r>
            <w:r>
              <w:rPr>
                <w:rFonts w:hint="eastAsia"/>
                <w:color w:val="auto"/>
                <w:highlight w:val="none"/>
                <w:lang w:val="en-US" w:eastAsia="zh-CN"/>
              </w:rPr>
              <w:t>1</w:t>
            </w:r>
            <w:r>
              <w:rPr>
                <w:rFonts w:hint="default"/>
                <w:color w:val="auto"/>
                <w:highlight w:val="none"/>
              </w:rPr>
              <w:t>小时</w:t>
            </w:r>
            <w:r>
              <w:rPr>
                <w:rFonts w:hint="eastAsia"/>
                <w:color w:val="auto"/>
                <w:highlight w:val="none"/>
                <w:lang w:val="en-US" w:eastAsia="zh-CN"/>
              </w:rPr>
              <w:t>平均</w:t>
            </w:r>
            <w:r>
              <w:rPr>
                <w:rFonts w:hint="default"/>
                <w:color w:val="auto"/>
                <w:highlight w:val="none"/>
              </w:rPr>
              <w:t>浓度满足《环境空气质量 非甲烷总烃</w:t>
            </w:r>
            <w:r>
              <w:rPr>
                <w:rFonts w:hint="eastAsia"/>
                <w:color w:val="auto"/>
                <w:highlight w:val="none"/>
                <w:lang w:val="en-US" w:eastAsia="zh-CN"/>
              </w:rPr>
              <w:t>限值</w:t>
            </w:r>
            <w:r>
              <w:rPr>
                <w:rFonts w:hint="default"/>
                <w:color w:val="auto"/>
                <w:highlight w:val="none"/>
              </w:rPr>
              <w:t>》（DB13/1577-2012）</w:t>
            </w:r>
            <w:r>
              <w:rPr>
                <w:rFonts w:hint="eastAsia"/>
                <w:color w:val="auto"/>
                <w:highlight w:val="none"/>
                <w:lang w:val="en-US" w:eastAsia="zh-CN"/>
              </w:rPr>
              <w:t>限值的要求，</w:t>
            </w:r>
            <w:r>
              <w:rPr>
                <w:rFonts w:hint="default"/>
                <w:color w:val="auto"/>
                <w:highlight w:val="none"/>
              </w:rPr>
              <w:t>TSP</w:t>
            </w:r>
            <w:r>
              <w:rPr>
                <w:rFonts w:hint="eastAsia"/>
                <w:color w:val="auto"/>
                <w:highlight w:val="none"/>
              </w:rPr>
              <w:t xml:space="preserve"> </w:t>
            </w:r>
            <w:r>
              <w:rPr>
                <w:rFonts w:hint="default"/>
                <w:color w:val="auto"/>
                <w:highlight w:val="none"/>
              </w:rPr>
              <w:t>24小时浓度满足《环境空气质量标准》（GB3095</w:t>
            </w:r>
            <w:r>
              <w:rPr>
                <w:rFonts w:hint="eastAsia"/>
                <w:color w:val="auto"/>
                <w:highlight w:val="none"/>
                <w:lang w:val="en-US" w:eastAsia="zh-CN"/>
              </w:rPr>
              <w:t>-</w:t>
            </w:r>
            <w:r>
              <w:rPr>
                <w:rFonts w:hint="default"/>
                <w:color w:val="auto"/>
                <w:highlight w:val="none"/>
              </w:rPr>
              <w:t>2012）中二级标准及其修改单</w:t>
            </w:r>
            <w:r>
              <w:rPr>
                <w:rFonts w:hint="eastAsia"/>
                <w:color w:val="auto"/>
                <w:highlight w:val="none"/>
                <w:lang w:val="en-US" w:eastAsia="zh-CN"/>
              </w:rPr>
              <w:t>的要求</w:t>
            </w:r>
            <w:r>
              <w:rPr>
                <w:rFonts w:hint="default"/>
                <w:color w:val="auto"/>
                <w:highlight w:val="none"/>
              </w:rPr>
              <w:t>。</w:t>
            </w:r>
            <w:r>
              <w:rPr>
                <w:rFonts w:hint="eastAsia"/>
                <w:color w:val="auto"/>
                <w:highlight w:val="none"/>
                <w:lang w:val="en-US" w:eastAsia="zh-CN"/>
              </w:rPr>
              <w:t>本项目打磨废气经脉冲布袋除尘器处理后通过排气筒排放至大气中，颗粒物有组织排放量为0.083t/a，无组织排放量为0.044t/a，合计排放量为0.127t/a；调漆、喷漆、烘干/晾干、刮腻子、腻子打磨、除油、漆料及危废储存废气经干式喷漆柜+过滤棉箱过滤+沸石转轮+催化燃烧装置处理后通过排气筒排放至大气中，颗粒物有组织排放量为0.004t/a，颗粒物无组织排放量为0.086t/a，合计排放量为0.090t/a，非甲烷总烃有组织排放量为0.173t/a，无组织排放量为0.091t/a，合计排放量为0.264t/a，甲苯与二甲苯合计有组织排放量为0.116t/a，无组织排放量为0.061t/a，合计排放量为0.177t/a；食堂废气经油烟净化器处理后通过专用烟道排放，油烟排放量为0.009t/a，非甲烷总烃排放量为0.085t/a</w:t>
            </w:r>
            <w:r>
              <w:rPr>
                <w:rFonts w:hint="eastAsia"/>
                <w:color w:val="auto"/>
                <w:highlight w:val="none"/>
                <w:vertAlign w:val="baseline"/>
                <w:lang w:val="en-US" w:eastAsia="zh-CN"/>
              </w:rPr>
              <w:t>。本项目建成后颗粒物排放量为0.217t/a，非甲烷总烃排放量为</w:t>
            </w:r>
            <w:r>
              <w:rPr>
                <w:rFonts w:hint="eastAsia"/>
                <w:color w:val="auto"/>
                <w:highlight w:val="none"/>
                <w:lang w:val="en-US" w:eastAsia="zh-CN"/>
              </w:rPr>
              <w:t>0.349t/a，甲苯与二甲苯排放量为0.177t/a，油烟排放量为0.009t/a</w:t>
            </w:r>
            <w:r>
              <w:rPr>
                <w:rFonts w:hint="eastAsia"/>
                <w:color w:val="auto"/>
                <w:highlight w:val="none"/>
                <w:vertAlign w:val="baseline"/>
                <w:lang w:val="en-US" w:eastAsia="zh-CN"/>
              </w:rPr>
              <w:t>。</w:t>
            </w:r>
            <w:r>
              <w:rPr>
                <w:rFonts w:hint="eastAsia"/>
                <w:color w:val="auto"/>
                <w:highlight w:val="none"/>
                <w:lang w:val="en-US" w:eastAsia="zh-CN"/>
              </w:rPr>
              <w:t>项目</w:t>
            </w:r>
            <w:r>
              <w:rPr>
                <w:rFonts w:hint="eastAsia" w:ascii="Times New Roman" w:hAnsi="Times New Roman" w:eastAsia="宋体"/>
                <w:b w:val="0"/>
                <w:bCs w:val="0"/>
                <w:color w:val="auto"/>
                <w:sz w:val="24"/>
                <w:szCs w:val="24"/>
                <w:highlight w:val="none"/>
                <w:lang w:val="en-US" w:eastAsia="zh-CN"/>
              </w:rPr>
              <w:t>厂界外500m范围内</w:t>
            </w:r>
            <w:r>
              <w:rPr>
                <w:rFonts w:hint="eastAsia"/>
                <w:b w:val="0"/>
                <w:bCs w:val="0"/>
                <w:color w:val="auto"/>
                <w:sz w:val="24"/>
                <w:szCs w:val="24"/>
                <w:highlight w:val="none"/>
                <w:lang w:val="en-US" w:eastAsia="zh-CN"/>
              </w:rPr>
              <w:t>的大气环境保护目标为</w:t>
            </w:r>
            <w:r>
              <w:rPr>
                <w:rFonts w:hint="eastAsia"/>
                <w:color w:val="auto"/>
                <w:sz w:val="24"/>
                <w:szCs w:val="24"/>
                <w:highlight w:val="none"/>
                <w:lang w:val="en-US" w:eastAsia="zh-CN"/>
              </w:rPr>
              <w:t>西侧31m处的高新实验小学（距离教学楼100m）、西南侧68m处的唐山市高新中学（距离教学楼170m）和南侧56m处的国贸府，</w:t>
            </w:r>
            <w:r>
              <w:rPr>
                <w:color w:val="auto"/>
                <w:highlight w:val="none"/>
              </w:rPr>
              <w:t>采取各项污染防治措施后，污染物排放均能满足相应标准要求，</w:t>
            </w:r>
            <w:r>
              <w:rPr>
                <w:rFonts w:hint="eastAsia"/>
                <w:color w:val="auto"/>
                <w:highlight w:val="none"/>
                <w:lang w:eastAsia="zh-CN"/>
              </w:rPr>
              <w:t>且排放量</w:t>
            </w:r>
            <w:r>
              <w:rPr>
                <w:rFonts w:hint="eastAsia"/>
                <w:color w:val="auto"/>
                <w:highlight w:val="none"/>
                <w:lang w:val="en-US" w:eastAsia="zh-CN"/>
              </w:rPr>
              <w:t>较</w:t>
            </w:r>
            <w:r>
              <w:rPr>
                <w:rFonts w:hint="eastAsia"/>
                <w:color w:val="auto"/>
                <w:highlight w:val="none"/>
                <w:lang w:eastAsia="zh-CN"/>
              </w:rPr>
              <w:t>少，</w:t>
            </w:r>
            <w:r>
              <w:rPr>
                <w:rFonts w:hint="eastAsia"/>
                <w:color w:val="auto"/>
                <w:highlight w:val="none"/>
                <w:lang w:val="en-US" w:eastAsia="zh-CN"/>
              </w:rPr>
              <w:t>不会对环境保护目标产生</w:t>
            </w:r>
            <w:r>
              <w:rPr>
                <w:color w:val="auto"/>
                <w:highlight w:val="none"/>
              </w:rPr>
              <w:t>影响，本项目大气环境影响可接受</w:t>
            </w:r>
            <w:r>
              <w:rPr>
                <w:rFonts w:hint="eastAsia"/>
                <w:color w:val="auto"/>
                <w:highlight w:val="none"/>
                <w:lang w:eastAsia="zh-CN"/>
              </w:rPr>
              <w:t>。</w:t>
            </w:r>
          </w:p>
          <w:p w14:paraId="132D4BC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6</w:t>
            </w:r>
            <w:r>
              <w:rPr>
                <w:rFonts w:hint="eastAsia" w:ascii="Times New Roman" w:hAnsi="Times New Roman" w:cs="Times New Roman"/>
                <w:b/>
                <w:bCs/>
                <w:color w:val="auto"/>
                <w:highlight w:val="none"/>
                <w:lang w:val="en-US" w:eastAsia="zh-CN"/>
              </w:rPr>
              <w:t xml:space="preserve"> 本项目建成后废气排放情况对比分析</w:t>
            </w:r>
          </w:p>
          <w:p w14:paraId="00B806A1">
            <w:pPr>
              <w:bidi w:val="0"/>
              <w:rPr>
                <w:rFonts w:hint="default"/>
                <w:color w:val="auto"/>
                <w:lang w:val="en-US" w:eastAsia="zh-CN"/>
              </w:rPr>
            </w:pPr>
            <w:r>
              <w:rPr>
                <w:rFonts w:hint="eastAsia"/>
                <w:color w:val="auto"/>
                <w:lang w:val="en-US" w:eastAsia="zh-CN"/>
              </w:rPr>
              <w:t>本项目建成后废气污染物排放量变化情况见下表。</w:t>
            </w:r>
          </w:p>
          <w:p w14:paraId="3D6156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auto"/>
                <w:sz w:val="21"/>
                <w:szCs w:val="21"/>
                <w:highlight w:val="none"/>
                <w:lang w:val="en-US" w:eastAsia="zh-CN"/>
              </w:rPr>
            </w:pPr>
            <w:r>
              <w:rPr>
                <w:rFonts w:hint="default"/>
                <w:b/>
                <w:bCs/>
                <w:color w:val="auto"/>
                <w:sz w:val="21"/>
                <w:szCs w:val="21"/>
                <w:highlight w:val="none"/>
                <w:lang w:val="en-US" w:eastAsia="zh-CN"/>
              </w:rPr>
              <w:t>表</w:t>
            </w:r>
            <w:r>
              <w:rPr>
                <w:rFonts w:hint="eastAsia"/>
                <w:b/>
                <w:bCs/>
                <w:color w:val="auto"/>
                <w:sz w:val="21"/>
                <w:szCs w:val="21"/>
                <w:highlight w:val="none"/>
                <w:lang w:val="en-US" w:eastAsia="zh-CN"/>
              </w:rPr>
              <w:t>48</w:t>
            </w:r>
            <w:r>
              <w:rPr>
                <w:rFonts w:hint="default"/>
                <w:b/>
                <w:bCs/>
                <w:color w:val="auto"/>
                <w:sz w:val="21"/>
                <w:szCs w:val="21"/>
                <w:highlight w:val="none"/>
                <w:lang w:val="en-US" w:eastAsia="zh-CN"/>
              </w:rPr>
              <w:t xml:space="preserve"> </w:t>
            </w:r>
            <w:r>
              <w:rPr>
                <w:rFonts w:hint="eastAsia"/>
                <w:b/>
                <w:bCs/>
                <w:color w:val="auto"/>
                <w:sz w:val="21"/>
                <w:szCs w:val="21"/>
                <w:highlight w:val="none"/>
                <w:lang w:val="en-US" w:eastAsia="zh-CN"/>
              </w:rPr>
              <w:t xml:space="preserve"> 本项目建成后废气排放情况对比分析一览表</w:t>
            </w:r>
            <w:r>
              <w:rPr>
                <w:rFonts w:hint="default"/>
                <w:b/>
                <w:bCs/>
                <w:color w:val="auto"/>
                <w:sz w:val="21"/>
                <w:szCs w:val="21"/>
                <w:highlight w:val="none"/>
                <w:lang w:val="en-US" w:eastAsia="zh-CN"/>
              </w:rPr>
              <w:t xml:space="preserve"> </w:t>
            </w:r>
          </w:p>
          <w:tbl>
            <w:tblPr>
              <w:tblStyle w:val="25"/>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312"/>
              <w:gridCol w:w="1375"/>
              <w:gridCol w:w="1365"/>
              <w:gridCol w:w="1690"/>
              <w:gridCol w:w="1195"/>
            </w:tblGrid>
            <w:tr w14:paraId="2A2E3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434" w:type="dxa"/>
                  <w:tcBorders>
                    <w:tl2br w:val="nil"/>
                    <w:tr2bl w:val="nil"/>
                  </w:tcBorders>
                  <w:noWrap w:val="0"/>
                  <w:vAlign w:val="center"/>
                </w:tcPr>
                <w:p w14:paraId="08F01882">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污染物</w:t>
                  </w:r>
                </w:p>
              </w:tc>
              <w:tc>
                <w:tcPr>
                  <w:tcW w:w="1294" w:type="dxa"/>
                  <w:tcBorders>
                    <w:tl2br w:val="nil"/>
                    <w:tr2bl w:val="nil"/>
                  </w:tcBorders>
                  <w:noWrap w:val="0"/>
                  <w:vAlign w:val="center"/>
                </w:tcPr>
                <w:p w14:paraId="275B10AB">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现有工程排放量</w:t>
                  </w:r>
                  <w:r>
                    <w:rPr>
                      <w:rFonts w:hint="eastAsia" w:cs="Times New Roman"/>
                      <w:b w:val="0"/>
                      <w:bCs w:val="0"/>
                      <w:smallCaps w:val="0"/>
                      <w:color w:val="auto"/>
                      <w:spacing w:val="0"/>
                      <w:position w:val="0"/>
                      <w:sz w:val="21"/>
                      <w:szCs w:val="21"/>
                      <w:highlight w:val="none"/>
                      <w:vertAlign w:val="baseline"/>
                      <w:lang w:val="en-US" w:eastAsia="zh-CN"/>
                    </w:rPr>
                    <w:t>（t/a）</w:t>
                  </w:r>
                </w:p>
              </w:tc>
              <w:tc>
                <w:tcPr>
                  <w:tcW w:w="1356" w:type="dxa"/>
                  <w:tcBorders>
                    <w:tl2br w:val="nil"/>
                    <w:tr2bl w:val="nil"/>
                  </w:tcBorders>
                  <w:noWrap w:val="0"/>
                  <w:vAlign w:val="center"/>
                </w:tcPr>
                <w:p w14:paraId="1A10028A">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本项目排放量</w:t>
                  </w:r>
                  <w:r>
                    <w:rPr>
                      <w:rFonts w:hint="eastAsia" w:cs="Times New Roman"/>
                      <w:b w:val="0"/>
                      <w:bCs w:val="0"/>
                      <w:smallCaps w:val="0"/>
                      <w:color w:val="auto"/>
                      <w:spacing w:val="0"/>
                      <w:position w:val="0"/>
                      <w:sz w:val="21"/>
                      <w:szCs w:val="21"/>
                      <w:highlight w:val="none"/>
                      <w:vertAlign w:val="baseline"/>
                      <w:lang w:val="en-US" w:eastAsia="zh-CN"/>
                    </w:rPr>
                    <w:t>（t/a）</w:t>
                  </w:r>
                </w:p>
              </w:tc>
              <w:tc>
                <w:tcPr>
                  <w:tcW w:w="1347" w:type="dxa"/>
                  <w:tcBorders>
                    <w:tl2br w:val="nil"/>
                    <w:tr2bl w:val="nil"/>
                  </w:tcBorders>
                  <w:noWrap w:val="0"/>
                  <w:vAlign w:val="center"/>
                </w:tcPr>
                <w:p w14:paraId="383449AF">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以新带老削减量</w:t>
                  </w:r>
                  <w:r>
                    <w:rPr>
                      <w:rFonts w:hint="eastAsia" w:cs="Times New Roman"/>
                      <w:b w:val="0"/>
                      <w:bCs w:val="0"/>
                      <w:smallCaps w:val="0"/>
                      <w:color w:val="auto"/>
                      <w:spacing w:val="0"/>
                      <w:position w:val="0"/>
                      <w:sz w:val="21"/>
                      <w:szCs w:val="21"/>
                      <w:highlight w:val="none"/>
                      <w:vertAlign w:val="baseline"/>
                      <w:lang w:val="en-US" w:eastAsia="zh-CN"/>
                    </w:rPr>
                    <w:t>（t/a）</w:t>
                  </w:r>
                </w:p>
              </w:tc>
              <w:tc>
                <w:tcPr>
                  <w:tcW w:w="1667" w:type="dxa"/>
                  <w:tcBorders>
                    <w:tl2br w:val="nil"/>
                    <w:tr2bl w:val="nil"/>
                  </w:tcBorders>
                  <w:noWrap w:val="0"/>
                  <w:vAlign w:val="center"/>
                </w:tcPr>
                <w:p w14:paraId="43A1E2D6">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本项目实施后全厂排放量</w:t>
                  </w:r>
                  <w:r>
                    <w:rPr>
                      <w:rFonts w:hint="eastAsia" w:cs="Times New Roman"/>
                      <w:b w:val="0"/>
                      <w:bCs w:val="0"/>
                      <w:smallCaps w:val="0"/>
                      <w:color w:val="auto"/>
                      <w:spacing w:val="0"/>
                      <w:position w:val="0"/>
                      <w:sz w:val="21"/>
                      <w:szCs w:val="21"/>
                      <w:highlight w:val="none"/>
                      <w:vertAlign w:val="baseline"/>
                      <w:lang w:val="en-US" w:eastAsia="zh-CN"/>
                    </w:rPr>
                    <w:t>（t/a）</w:t>
                  </w:r>
                </w:p>
              </w:tc>
              <w:tc>
                <w:tcPr>
                  <w:tcW w:w="1179" w:type="dxa"/>
                  <w:tcBorders>
                    <w:tl2br w:val="nil"/>
                    <w:tr2bl w:val="nil"/>
                  </w:tcBorders>
                  <w:noWrap w:val="0"/>
                  <w:vAlign w:val="center"/>
                </w:tcPr>
                <w:p w14:paraId="2DE6A647">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变化量</w:t>
                  </w:r>
                  <w:r>
                    <w:rPr>
                      <w:rFonts w:hint="eastAsia" w:cs="Times New Roman"/>
                      <w:b w:val="0"/>
                      <w:bCs w:val="0"/>
                      <w:smallCaps w:val="0"/>
                      <w:color w:val="auto"/>
                      <w:spacing w:val="0"/>
                      <w:position w:val="0"/>
                      <w:sz w:val="21"/>
                      <w:szCs w:val="21"/>
                      <w:highlight w:val="none"/>
                      <w:vertAlign w:val="baseline"/>
                      <w:lang w:val="en-US" w:eastAsia="zh-CN"/>
                    </w:rPr>
                    <w:t>（t/a）</w:t>
                  </w:r>
                </w:p>
              </w:tc>
            </w:tr>
            <w:tr w14:paraId="7319D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tcBorders>
                    <w:tl2br w:val="nil"/>
                    <w:tr2bl w:val="nil"/>
                  </w:tcBorders>
                  <w:noWrap w:val="0"/>
                  <w:vAlign w:val="center"/>
                </w:tcPr>
                <w:p w14:paraId="42C65977">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snapToGrid w:val="0"/>
                      <w:color w:val="auto"/>
                      <w:kern w:val="21"/>
                      <w:sz w:val="21"/>
                      <w:szCs w:val="21"/>
                      <w:highlight w:val="none"/>
                      <w:lang w:val="en-US" w:eastAsia="zh-CN"/>
                    </w:rPr>
                  </w:pPr>
                  <w:r>
                    <w:rPr>
                      <w:rFonts w:hint="eastAsia" w:cs="Times New Roman" w:eastAsiaTheme="minorEastAsia"/>
                      <w:snapToGrid w:val="0"/>
                      <w:color w:val="auto"/>
                      <w:kern w:val="21"/>
                      <w:sz w:val="21"/>
                      <w:szCs w:val="21"/>
                      <w:highlight w:val="none"/>
                      <w:lang w:val="en-US" w:eastAsia="zh-CN"/>
                    </w:rPr>
                    <w:t>颗粒物</w:t>
                  </w:r>
                </w:p>
              </w:tc>
              <w:tc>
                <w:tcPr>
                  <w:tcW w:w="1294" w:type="dxa"/>
                  <w:tcBorders>
                    <w:tl2br w:val="nil"/>
                    <w:tr2bl w:val="nil"/>
                  </w:tcBorders>
                  <w:noWrap w:val="0"/>
                  <w:vAlign w:val="center"/>
                </w:tcPr>
                <w:p w14:paraId="5767D6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w:t>
                  </w:r>
                </w:p>
              </w:tc>
              <w:tc>
                <w:tcPr>
                  <w:tcW w:w="1356" w:type="dxa"/>
                  <w:tcBorders>
                    <w:tl2br w:val="nil"/>
                    <w:tr2bl w:val="nil"/>
                  </w:tcBorders>
                  <w:noWrap w:val="0"/>
                  <w:vAlign w:val="center"/>
                </w:tcPr>
                <w:p w14:paraId="2E5C4C20">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0.217</w:t>
                  </w:r>
                </w:p>
              </w:tc>
              <w:tc>
                <w:tcPr>
                  <w:tcW w:w="1347" w:type="dxa"/>
                  <w:tcBorders>
                    <w:tl2br w:val="nil"/>
                    <w:tr2bl w:val="nil"/>
                  </w:tcBorders>
                  <w:noWrap w:val="0"/>
                  <w:vAlign w:val="center"/>
                </w:tcPr>
                <w:p w14:paraId="11ADD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w:t>
                  </w:r>
                </w:p>
              </w:tc>
              <w:tc>
                <w:tcPr>
                  <w:tcW w:w="1667" w:type="dxa"/>
                  <w:tcBorders>
                    <w:tl2br w:val="nil"/>
                    <w:tr2bl w:val="nil"/>
                  </w:tcBorders>
                  <w:noWrap w:val="0"/>
                  <w:vAlign w:val="center"/>
                </w:tcPr>
                <w:p w14:paraId="546ACFF2">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0.217</w:t>
                  </w:r>
                </w:p>
              </w:tc>
              <w:tc>
                <w:tcPr>
                  <w:tcW w:w="1179" w:type="dxa"/>
                  <w:tcBorders>
                    <w:tl2br w:val="nil"/>
                    <w:tr2bl w:val="nil"/>
                  </w:tcBorders>
                  <w:noWrap w:val="0"/>
                  <w:vAlign w:val="center"/>
                </w:tcPr>
                <w:p w14:paraId="58158B75">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宋体"/>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+0.217</w:t>
                  </w:r>
                </w:p>
              </w:tc>
            </w:tr>
            <w:tr w14:paraId="7AE2C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tcBorders>
                    <w:tl2br w:val="nil"/>
                    <w:tr2bl w:val="nil"/>
                  </w:tcBorders>
                  <w:noWrap w:val="0"/>
                  <w:vAlign w:val="center"/>
                </w:tcPr>
                <w:p w14:paraId="3325AAAF">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eastAsiaTheme="minorEastAsia"/>
                      <w:snapToGrid w:val="0"/>
                      <w:color w:val="auto"/>
                      <w:kern w:val="21"/>
                      <w:sz w:val="21"/>
                      <w:szCs w:val="21"/>
                      <w:highlight w:val="none"/>
                      <w:lang w:val="en-US" w:eastAsia="zh-CN"/>
                    </w:rPr>
                    <w:t>非甲烷总烃</w:t>
                  </w:r>
                </w:p>
              </w:tc>
              <w:tc>
                <w:tcPr>
                  <w:tcW w:w="1294" w:type="dxa"/>
                  <w:tcBorders>
                    <w:tl2br w:val="nil"/>
                    <w:tr2bl w:val="nil"/>
                  </w:tcBorders>
                  <w:noWrap w:val="0"/>
                  <w:vAlign w:val="center"/>
                </w:tcPr>
                <w:p w14:paraId="6AD176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w:t>
                  </w:r>
                </w:p>
              </w:tc>
              <w:tc>
                <w:tcPr>
                  <w:tcW w:w="1356" w:type="dxa"/>
                  <w:tcBorders>
                    <w:tl2br w:val="nil"/>
                    <w:tr2bl w:val="nil"/>
                  </w:tcBorders>
                  <w:noWrap w:val="0"/>
                  <w:vAlign w:val="center"/>
                </w:tcPr>
                <w:p w14:paraId="72D2682D">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0.317</w:t>
                  </w:r>
                </w:p>
              </w:tc>
              <w:tc>
                <w:tcPr>
                  <w:tcW w:w="1347" w:type="dxa"/>
                  <w:tcBorders>
                    <w:tl2br w:val="nil"/>
                    <w:tr2bl w:val="nil"/>
                  </w:tcBorders>
                  <w:noWrap w:val="0"/>
                  <w:vAlign w:val="center"/>
                </w:tcPr>
                <w:p w14:paraId="61255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w:t>
                  </w:r>
                </w:p>
              </w:tc>
              <w:tc>
                <w:tcPr>
                  <w:tcW w:w="1667" w:type="dxa"/>
                  <w:tcBorders>
                    <w:tl2br w:val="nil"/>
                    <w:tr2bl w:val="nil"/>
                  </w:tcBorders>
                  <w:noWrap w:val="0"/>
                  <w:vAlign w:val="center"/>
                </w:tcPr>
                <w:p w14:paraId="48CBB5BD">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snapToGrid w:val="0"/>
                      <w:color w:val="auto"/>
                      <w:kern w:val="21"/>
                      <w:sz w:val="21"/>
                      <w:szCs w:val="21"/>
                      <w:highlight w:val="none"/>
                      <w:lang w:val="en-US" w:eastAsia="zh-CN"/>
                    </w:rPr>
                    <w:t>0.317</w:t>
                  </w:r>
                </w:p>
              </w:tc>
              <w:tc>
                <w:tcPr>
                  <w:tcW w:w="1179" w:type="dxa"/>
                  <w:tcBorders>
                    <w:tl2br w:val="nil"/>
                    <w:tr2bl w:val="nil"/>
                  </w:tcBorders>
                  <w:noWrap w:val="0"/>
                  <w:vAlign w:val="center"/>
                </w:tcPr>
                <w:p w14:paraId="4D83C42D">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宋体"/>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+0.349</w:t>
                  </w:r>
                </w:p>
              </w:tc>
            </w:tr>
            <w:tr w14:paraId="31D40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434" w:type="dxa"/>
                  <w:tcBorders>
                    <w:tl2br w:val="nil"/>
                    <w:tr2bl w:val="nil"/>
                  </w:tcBorders>
                  <w:noWrap w:val="0"/>
                  <w:vAlign w:val="center"/>
                </w:tcPr>
                <w:p w14:paraId="4D16E959">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eastAsiaTheme="minorEastAsia"/>
                      <w:snapToGrid w:val="0"/>
                      <w:color w:val="auto"/>
                      <w:kern w:val="21"/>
                      <w:sz w:val="21"/>
                      <w:szCs w:val="21"/>
                      <w:highlight w:val="none"/>
                      <w:lang w:val="en-US" w:eastAsia="zh-CN"/>
                    </w:rPr>
                    <w:t>甲苯与二甲苯合计</w:t>
                  </w:r>
                </w:p>
              </w:tc>
              <w:tc>
                <w:tcPr>
                  <w:tcW w:w="1294" w:type="dxa"/>
                  <w:tcBorders>
                    <w:tl2br w:val="nil"/>
                    <w:tr2bl w:val="nil"/>
                  </w:tcBorders>
                  <w:noWrap w:val="0"/>
                  <w:vAlign w:val="center"/>
                </w:tcPr>
                <w:p w14:paraId="34E222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w:t>
                  </w:r>
                </w:p>
              </w:tc>
              <w:tc>
                <w:tcPr>
                  <w:tcW w:w="1356" w:type="dxa"/>
                  <w:tcBorders>
                    <w:tl2br w:val="nil"/>
                    <w:tr2bl w:val="nil"/>
                  </w:tcBorders>
                  <w:noWrap w:val="0"/>
                  <w:vAlign w:val="center"/>
                </w:tcPr>
                <w:p w14:paraId="1183BD3B">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0.175</w:t>
                  </w:r>
                </w:p>
              </w:tc>
              <w:tc>
                <w:tcPr>
                  <w:tcW w:w="1347" w:type="dxa"/>
                  <w:tcBorders>
                    <w:tl2br w:val="nil"/>
                    <w:tr2bl w:val="nil"/>
                  </w:tcBorders>
                  <w:noWrap w:val="0"/>
                  <w:vAlign w:val="center"/>
                </w:tcPr>
                <w:p w14:paraId="3D5BDF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w:t>
                  </w:r>
                </w:p>
              </w:tc>
              <w:tc>
                <w:tcPr>
                  <w:tcW w:w="1667" w:type="dxa"/>
                  <w:tcBorders>
                    <w:tl2br w:val="nil"/>
                    <w:tr2bl w:val="nil"/>
                  </w:tcBorders>
                  <w:noWrap w:val="0"/>
                  <w:vAlign w:val="center"/>
                </w:tcPr>
                <w:p w14:paraId="36B17754">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snapToGrid w:val="0"/>
                      <w:color w:val="auto"/>
                      <w:kern w:val="21"/>
                      <w:sz w:val="21"/>
                      <w:szCs w:val="21"/>
                      <w:highlight w:val="none"/>
                      <w:lang w:val="en-US" w:eastAsia="zh-CN"/>
                    </w:rPr>
                    <w:t>0.175</w:t>
                  </w:r>
                </w:p>
              </w:tc>
              <w:tc>
                <w:tcPr>
                  <w:tcW w:w="1179" w:type="dxa"/>
                  <w:tcBorders>
                    <w:tl2br w:val="nil"/>
                    <w:tr2bl w:val="nil"/>
                  </w:tcBorders>
                  <w:noWrap w:val="0"/>
                  <w:vAlign w:val="center"/>
                </w:tcPr>
                <w:p w14:paraId="3769EFA6">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宋体"/>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+0.177</w:t>
                  </w:r>
                </w:p>
              </w:tc>
            </w:tr>
            <w:tr w14:paraId="61E8C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tcBorders>
                    <w:tl2br w:val="nil"/>
                    <w:tr2bl w:val="nil"/>
                  </w:tcBorders>
                  <w:noWrap w:val="0"/>
                  <w:vAlign w:val="center"/>
                </w:tcPr>
                <w:p w14:paraId="157470E7">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snapToGrid w:val="0"/>
                      <w:color w:val="auto"/>
                      <w:kern w:val="21"/>
                      <w:sz w:val="21"/>
                      <w:szCs w:val="21"/>
                      <w:highlight w:val="none"/>
                      <w:lang w:val="en-US" w:eastAsia="zh-CN"/>
                    </w:rPr>
                  </w:pPr>
                  <w:r>
                    <w:rPr>
                      <w:rFonts w:hint="eastAsia" w:cs="Times New Roman" w:eastAsiaTheme="minorEastAsia"/>
                      <w:snapToGrid w:val="0"/>
                      <w:color w:val="auto"/>
                      <w:kern w:val="21"/>
                      <w:sz w:val="21"/>
                      <w:szCs w:val="21"/>
                      <w:highlight w:val="none"/>
                      <w:lang w:val="en-US" w:eastAsia="zh-CN"/>
                    </w:rPr>
                    <w:t>油烟</w:t>
                  </w:r>
                </w:p>
              </w:tc>
              <w:tc>
                <w:tcPr>
                  <w:tcW w:w="1294" w:type="dxa"/>
                  <w:tcBorders>
                    <w:tl2br w:val="nil"/>
                    <w:tr2bl w:val="nil"/>
                  </w:tcBorders>
                  <w:noWrap w:val="0"/>
                  <w:vAlign w:val="center"/>
                </w:tcPr>
                <w:p w14:paraId="4F54D9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w:t>
                  </w:r>
                </w:p>
              </w:tc>
              <w:tc>
                <w:tcPr>
                  <w:tcW w:w="1356" w:type="dxa"/>
                  <w:tcBorders>
                    <w:tl2br w:val="nil"/>
                    <w:tr2bl w:val="nil"/>
                  </w:tcBorders>
                  <w:noWrap w:val="0"/>
                  <w:vAlign w:val="center"/>
                </w:tcPr>
                <w:p w14:paraId="77247729">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0.009</w:t>
                  </w:r>
                </w:p>
              </w:tc>
              <w:tc>
                <w:tcPr>
                  <w:tcW w:w="1347" w:type="dxa"/>
                  <w:tcBorders>
                    <w:tl2br w:val="nil"/>
                    <w:tr2bl w:val="nil"/>
                  </w:tcBorders>
                  <w:noWrap w:val="0"/>
                  <w:vAlign w:val="center"/>
                </w:tcPr>
                <w:p w14:paraId="2B336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w:t>
                  </w:r>
                </w:p>
              </w:tc>
              <w:tc>
                <w:tcPr>
                  <w:tcW w:w="1667" w:type="dxa"/>
                  <w:tcBorders>
                    <w:tl2br w:val="nil"/>
                    <w:tr2bl w:val="nil"/>
                  </w:tcBorders>
                  <w:noWrap w:val="0"/>
                  <w:vAlign w:val="center"/>
                </w:tcPr>
                <w:p w14:paraId="59133424">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0.009</w:t>
                  </w:r>
                </w:p>
              </w:tc>
              <w:tc>
                <w:tcPr>
                  <w:tcW w:w="1179" w:type="dxa"/>
                  <w:tcBorders>
                    <w:tl2br w:val="nil"/>
                    <w:tr2bl w:val="nil"/>
                  </w:tcBorders>
                  <w:noWrap w:val="0"/>
                  <w:vAlign w:val="center"/>
                </w:tcPr>
                <w:p w14:paraId="6A652C0C">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宋体"/>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+0.009</w:t>
                  </w:r>
                </w:p>
              </w:tc>
            </w:tr>
          </w:tbl>
          <w:p w14:paraId="19EEC87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1.7监测计划</w:t>
            </w:r>
          </w:p>
          <w:p w14:paraId="6D5A9B9C">
            <w:pPr>
              <w:bidi w:val="0"/>
              <w:rPr>
                <w:rFonts w:hint="eastAsia"/>
                <w:color w:val="auto"/>
                <w:kern w:val="1"/>
                <w:sz w:val="24"/>
                <w:szCs w:val="24"/>
                <w:highlight w:val="none"/>
                <w:lang w:val="en-US" w:eastAsia="zh-CN" w:bidi="ar"/>
              </w:rPr>
            </w:pPr>
            <w:r>
              <w:rPr>
                <w:rFonts w:ascii="Times New Roman" w:hAnsi="Times New Roman"/>
                <w:snapToGrid w:val="0"/>
                <w:color w:val="auto"/>
                <w:kern w:val="0"/>
                <w:sz w:val="24"/>
                <w:szCs w:val="24"/>
                <w:highlight w:val="none"/>
                <w:lang w:bidi="ar"/>
              </w:rPr>
              <w:t>根据本建设项目性质与实际情况，</w:t>
            </w:r>
            <w:r>
              <w:rPr>
                <w:rFonts w:ascii="Times New Roman" w:hAnsi="Times New Roman"/>
                <w:color w:val="auto"/>
                <w:sz w:val="24"/>
                <w:szCs w:val="24"/>
                <w:highlight w:val="none"/>
              </w:rPr>
              <w:t>按照《排污单位自行监测技术指南 总则》</w:t>
            </w:r>
            <w:r>
              <w:rPr>
                <w:rFonts w:hint="eastAsia"/>
                <w:color w:val="auto"/>
                <w:sz w:val="24"/>
                <w:szCs w:val="24"/>
                <w:highlight w:val="none"/>
                <w:lang w:eastAsia="zh-CN"/>
              </w:rPr>
              <w:t>（</w:t>
            </w:r>
            <w:r>
              <w:rPr>
                <w:rFonts w:hint="eastAsia"/>
                <w:color w:val="auto"/>
                <w:sz w:val="24"/>
                <w:szCs w:val="24"/>
                <w:highlight w:val="none"/>
                <w:lang w:val="en-US" w:eastAsia="zh-CN"/>
              </w:rPr>
              <w:t>HJ819-2017</w:t>
            </w:r>
            <w:r>
              <w:rPr>
                <w:rFonts w:hint="eastAsia"/>
                <w:color w:val="auto"/>
                <w:sz w:val="24"/>
                <w:szCs w:val="24"/>
                <w:highlight w:val="none"/>
                <w:lang w:eastAsia="zh-CN"/>
              </w:rPr>
              <w:t>）、</w:t>
            </w:r>
            <w:r>
              <w:rPr>
                <w:rFonts w:hint="eastAsia"/>
                <w:b w:val="0"/>
                <w:bCs w:val="0"/>
                <w:color w:val="auto"/>
                <w:sz w:val="24"/>
                <w:szCs w:val="24"/>
                <w:highlight w:val="none"/>
                <w:lang w:val="en-US" w:eastAsia="zh-CN"/>
              </w:rPr>
              <w:t>《排污许可证申请与核发技术规范 铁路、船舶、航空航天和其他运输设备制造业》（HJ1124-2020）附录A、</w:t>
            </w:r>
            <w:r>
              <w:rPr>
                <w:rFonts w:hint="default" w:ascii="Times New Roman" w:hAnsi="Times New Roman" w:eastAsia="宋体" w:cs="Times New Roman"/>
                <w:color w:val="auto"/>
                <w:kern w:val="1"/>
                <w:sz w:val="24"/>
                <w:szCs w:val="22"/>
                <w:highlight w:val="none"/>
                <w:lang w:eastAsia="zh-CN" w:bidi="ar"/>
              </w:rPr>
              <w:t>《</w:t>
            </w:r>
            <w:r>
              <w:rPr>
                <w:rFonts w:hint="default" w:ascii="Times New Roman" w:hAnsi="Times New Roman" w:eastAsia="宋体" w:cs="Times New Roman"/>
                <w:color w:val="auto"/>
                <w:kern w:val="1"/>
                <w:sz w:val="24"/>
                <w:szCs w:val="22"/>
                <w:highlight w:val="none"/>
                <w:lang w:bidi="ar"/>
              </w:rPr>
              <w:fldChar w:fldCharType="begin"/>
            </w:r>
            <w:r>
              <w:rPr>
                <w:rFonts w:hint="default" w:ascii="Times New Roman" w:hAnsi="Times New Roman" w:eastAsia="宋体" w:cs="Times New Roman"/>
                <w:color w:val="auto"/>
                <w:kern w:val="1"/>
                <w:sz w:val="24"/>
                <w:szCs w:val="22"/>
                <w:highlight w:val="none"/>
                <w:lang w:bidi="ar"/>
              </w:rPr>
              <w:instrText xml:space="preserve"> HYPERLINK "http://www.mee.gov.cn/ywgz/fgbz/bz/bzwb/jcffbz/202001/W020200113417476489912.pdf" </w:instrText>
            </w:r>
            <w:r>
              <w:rPr>
                <w:rFonts w:hint="default" w:ascii="Times New Roman" w:hAnsi="Times New Roman" w:eastAsia="宋体" w:cs="Times New Roman"/>
                <w:color w:val="auto"/>
                <w:kern w:val="1"/>
                <w:sz w:val="24"/>
                <w:szCs w:val="22"/>
                <w:highlight w:val="none"/>
                <w:lang w:bidi="ar"/>
              </w:rPr>
              <w:fldChar w:fldCharType="separate"/>
            </w:r>
            <w:r>
              <w:rPr>
                <w:rFonts w:hint="default" w:ascii="Times New Roman" w:hAnsi="Times New Roman" w:eastAsia="宋体" w:cs="Times New Roman"/>
                <w:color w:val="auto"/>
                <w:kern w:val="1"/>
                <w:sz w:val="24"/>
                <w:szCs w:val="22"/>
                <w:highlight w:val="none"/>
                <w:lang w:bidi="ar"/>
              </w:rPr>
              <w:t>排污</w:t>
            </w:r>
            <w:r>
              <w:rPr>
                <w:rFonts w:hint="default" w:ascii="Times New Roman" w:hAnsi="Times New Roman" w:eastAsia="宋体" w:cs="Times New Roman"/>
                <w:color w:val="auto"/>
                <w:kern w:val="1"/>
                <w:sz w:val="24"/>
                <w:szCs w:val="22"/>
                <w:highlight w:val="none"/>
                <w:lang w:bidi="ar"/>
              </w:rPr>
              <w:fldChar w:fldCharType="begin"/>
            </w:r>
            <w:r>
              <w:rPr>
                <w:rFonts w:hint="default" w:ascii="Times New Roman" w:hAnsi="Times New Roman" w:eastAsia="宋体" w:cs="Times New Roman"/>
                <w:color w:val="auto"/>
                <w:kern w:val="1"/>
                <w:sz w:val="24"/>
                <w:szCs w:val="22"/>
                <w:highlight w:val="none"/>
                <w:lang w:bidi="ar"/>
              </w:rPr>
              <w:instrText xml:space="preserve"> HYPERLINK "http://www.mee.gov.cn/ywgz/fgbz/bz/bzwb/jcffbz/202001/W020200113417476489912.pdf" </w:instrText>
            </w:r>
            <w:r>
              <w:rPr>
                <w:rFonts w:hint="default" w:ascii="Times New Roman" w:hAnsi="Times New Roman" w:eastAsia="宋体" w:cs="Times New Roman"/>
                <w:color w:val="auto"/>
                <w:kern w:val="1"/>
                <w:sz w:val="24"/>
                <w:szCs w:val="22"/>
                <w:highlight w:val="none"/>
                <w:lang w:bidi="ar"/>
              </w:rPr>
              <w:fldChar w:fldCharType="separate"/>
            </w:r>
            <w:r>
              <w:rPr>
                <w:rFonts w:hint="default" w:ascii="Times New Roman" w:hAnsi="Times New Roman" w:eastAsia="宋体" w:cs="Times New Roman"/>
                <w:color w:val="auto"/>
                <w:kern w:val="1"/>
                <w:sz w:val="24"/>
                <w:szCs w:val="22"/>
                <w:highlight w:val="none"/>
                <w:lang w:bidi="ar"/>
              </w:rPr>
              <w:t>排污单位自行监测技术指南 涂装</w:t>
            </w:r>
            <w:r>
              <w:rPr>
                <w:rFonts w:hint="default" w:ascii="Times New Roman" w:hAnsi="Times New Roman" w:eastAsia="宋体" w:cs="Times New Roman"/>
                <w:color w:val="auto"/>
                <w:kern w:val="1"/>
                <w:sz w:val="24"/>
                <w:szCs w:val="22"/>
                <w:highlight w:val="none"/>
                <w:lang w:bidi="ar"/>
              </w:rPr>
              <w:fldChar w:fldCharType="end"/>
            </w:r>
            <w:r>
              <w:rPr>
                <w:rFonts w:hint="default" w:ascii="Times New Roman" w:hAnsi="Times New Roman" w:eastAsia="宋体" w:cs="Times New Roman"/>
                <w:color w:val="auto"/>
                <w:kern w:val="1"/>
                <w:sz w:val="24"/>
                <w:szCs w:val="22"/>
                <w:highlight w:val="none"/>
                <w:lang w:bidi="ar"/>
              </w:rPr>
              <w:fldChar w:fldCharType="end"/>
            </w:r>
            <w:r>
              <w:rPr>
                <w:rFonts w:hint="default" w:ascii="Times New Roman" w:hAnsi="Times New Roman" w:eastAsia="宋体" w:cs="Times New Roman"/>
                <w:color w:val="auto"/>
                <w:kern w:val="1"/>
                <w:sz w:val="24"/>
                <w:szCs w:val="22"/>
                <w:highlight w:val="none"/>
                <w:lang w:eastAsia="zh-CN" w:bidi="ar"/>
              </w:rPr>
              <w:t>》</w:t>
            </w:r>
            <w:r>
              <w:rPr>
                <w:rFonts w:hint="default" w:ascii="Times New Roman" w:hAnsi="Times New Roman" w:eastAsia="宋体" w:cs="Times New Roman"/>
                <w:color w:val="auto"/>
                <w:kern w:val="1"/>
                <w:sz w:val="24"/>
                <w:szCs w:val="22"/>
                <w:highlight w:val="none"/>
                <w:lang w:bidi="ar"/>
              </w:rPr>
              <w:t>（HJ 1086</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kern w:val="1"/>
                <w:sz w:val="24"/>
                <w:szCs w:val="22"/>
                <w:highlight w:val="none"/>
                <w:lang w:bidi="ar"/>
              </w:rPr>
              <w:t>2020）</w:t>
            </w:r>
            <w:r>
              <w:rPr>
                <w:rFonts w:hint="eastAsia"/>
                <w:color w:val="auto"/>
                <w:highlight w:val="none"/>
                <w:lang w:val="en-US" w:eastAsia="zh-CN"/>
              </w:rPr>
              <w:t>的要求</w:t>
            </w:r>
            <w:r>
              <w:rPr>
                <w:rFonts w:hint="eastAsia" w:ascii="Times New Roman" w:hAnsi="Times New Roman"/>
                <w:color w:val="auto"/>
                <w:sz w:val="24"/>
                <w:szCs w:val="24"/>
                <w:highlight w:val="none"/>
                <w:lang w:val="en-US" w:eastAsia="zh-CN"/>
              </w:rPr>
              <w:t>，</w:t>
            </w:r>
            <w:r>
              <w:rPr>
                <w:rFonts w:hint="eastAsia"/>
                <w:color w:val="auto"/>
                <w:kern w:val="1"/>
                <w:sz w:val="24"/>
                <w:szCs w:val="24"/>
                <w:highlight w:val="none"/>
                <w:lang w:val="en-US" w:eastAsia="zh-CN" w:bidi="ar"/>
              </w:rPr>
              <w:t>本项目建成后废气监测因子、监测频次、执行排放标准情况见下表。</w:t>
            </w:r>
          </w:p>
          <w:p w14:paraId="62B1C90D">
            <w:pPr>
              <w:pStyle w:val="33"/>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49</w:t>
            </w:r>
            <w:r>
              <w:rPr>
                <w:rFonts w:hint="default"/>
                <w:color w:val="auto"/>
                <w:sz w:val="21"/>
                <w:szCs w:val="21"/>
                <w:highlight w:val="none"/>
              </w:rPr>
              <w:t xml:space="preserve">  </w:t>
            </w:r>
            <w:r>
              <w:rPr>
                <w:rFonts w:hint="eastAsia"/>
                <w:color w:val="auto"/>
                <w:sz w:val="21"/>
                <w:szCs w:val="21"/>
                <w:highlight w:val="none"/>
                <w:lang w:val="en-US" w:eastAsia="zh-CN"/>
              </w:rPr>
              <w:t>本项目建成后全厂</w:t>
            </w:r>
            <w:r>
              <w:rPr>
                <w:rFonts w:hint="default"/>
                <w:color w:val="auto"/>
                <w:sz w:val="21"/>
                <w:szCs w:val="21"/>
                <w:highlight w:val="none"/>
              </w:rPr>
              <w:t>废</w:t>
            </w:r>
            <w:r>
              <w:rPr>
                <w:rFonts w:hint="eastAsia"/>
                <w:color w:val="auto"/>
                <w:sz w:val="21"/>
                <w:szCs w:val="21"/>
                <w:highlight w:val="none"/>
                <w:lang w:val="en-US" w:eastAsia="zh-CN"/>
              </w:rPr>
              <w:t>气</w:t>
            </w:r>
            <w:r>
              <w:rPr>
                <w:rFonts w:hint="default"/>
                <w:color w:val="auto"/>
                <w:sz w:val="21"/>
                <w:szCs w:val="21"/>
                <w:highlight w:val="none"/>
              </w:rPr>
              <w:t>监测计划</w:t>
            </w:r>
            <w:r>
              <w:rPr>
                <w:rFonts w:hint="eastAsia"/>
                <w:color w:val="auto"/>
                <w:sz w:val="21"/>
                <w:szCs w:val="21"/>
                <w:highlight w:val="none"/>
                <w:lang w:val="en-US" w:eastAsia="zh-CN"/>
              </w:rPr>
              <w:t>一览</w:t>
            </w:r>
            <w:r>
              <w:rPr>
                <w:rFonts w:hint="default"/>
                <w:color w:val="auto"/>
                <w:sz w:val="21"/>
                <w:szCs w:val="21"/>
                <w:highlight w:val="none"/>
              </w:rPr>
              <w:t>表</w:t>
            </w:r>
          </w:p>
          <w:tbl>
            <w:tblPr>
              <w:tblStyle w:val="24"/>
              <w:tblW w:w="83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195"/>
              <w:gridCol w:w="991"/>
              <w:gridCol w:w="4762"/>
            </w:tblGrid>
            <w:tr w14:paraId="791161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1" w:hRule="atLeast"/>
                <w:jc w:val="center"/>
              </w:trPr>
              <w:tc>
                <w:tcPr>
                  <w:tcW w:w="1442" w:type="dxa"/>
                  <w:tcBorders>
                    <w:tl2br w:val="nil"/>
                    <w:tr2bl w:val="nil"/>
                  </w:tcBorders>
                  <w:noWrap w:val="0"/>
                  <w:tcMar>
                    <w:top w:w="15" w:type="dxa"/>
                    <w:left w:w="15" w:type="dxa"/>
                    <w:bottom w:w="15" w:type="dxa"/>
                    <w:right w:w="15" w:type="dxa"/>
                  </w:tcMar>
                  <w:vAlign w:val="center"/>
                </w:tcPr>
                <w:p w14:paraId="1D5909FB">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监测点位</w:t>
                  </w:r>
                </w:p>
              </w:tc>
              <w:tc>
                <w:tcPr>
                  <w:tcW w:w="1195" w:type="dxa"/>
                  <w:tcBorders>
                    <w:tl2br w:val="nil"/>
                    <w:tr2bl w:val="nil"/>
                  </w:tcBorders>
                  <w:noWrap w:val="0"/>
                  <w:tcMar>
                    <w:top w:w="15" w:type="dxa"/>
                    <w:left w:w="15" w:type="dxa"/>
                    <w:bottom w:w="15" w:type="dxa"/>
                    <w:right w:w="15" w:type="dxa"/>
                  </w:tcMar>
                  <w:vAlign w:val="center"/>
                </w:tcPr>
                <w:p w14:paraId="644908E9">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sz w:val="21"/>
                      <w:szCs w:val="21"/>
                      <w:highlight w:val="none"/>
                      <w:lang w:eastAsia="zh-CN"/>
                    </w:rPr>
                  </w:pPr>
                  <w:r>
                    <w:rPr>
                      <w:rFonts w:hint="default"/>
                      <w:color w:val="auto"/>
                      <w:sz w:val="21"/>
                      <w:szCs w:val="21"/>
                      <w:highlight w:val="none"/>
                    </w:rPr>
                    <w:t>监测</w:t>
                  </w:r>
                  <w:r>
                    <w:rPr>
                      <w:rFonts w:hint="eastAsia"/>
                      <w:color w:val="auto"/>
                      <w:sz w:val="21"/>
                      <w:szCs w:val="21"/>
                      <w:highlight w:val="none"/>
                      <w:lang w:val="en-US" w:eastAsia="zh-CN"/>
                    </w:rPr>
                    <w:t>因子</w:t>
                  </w:r>
                </w:p>
              </w:tc>
              <w:tc>
                <w:tcPr>
                  <w:tcW w:w="991" w:type="dxa"/>
                  <w:tcBorders>
                    <w:tl2br w:val="nil"/>
                    <w:tr2bl w:val="nil"/>
                  </w:tcBorders>
                  <w:noWrap w:val="0"/>
                  <w:tcMar>
                    <w:top w:w="15" w:type="dxa"/>
                    <w:left w:w="15" w:type="dxa"/>
                    <w:bottom w:w="15" w:type="dxa"/>
                    <w:right w:w="15" w:type="dxa"/>
                  </w:tcMar>
                  <w:vAlign w:val="center"/>
                </w:tcPr>
                <w:p w14:paraId="4F501CD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监测频次</w:t>
                  </w:r>
                </w:p>
              </w:tc>
              <w:tc>
                <w:tcPr>
                  <w:tcW w:w="4762" w:type="dxa"/>
                  <w:tcBorders>
                    <w:tl2br w:val="nil"/>
                    <w:tr2bl w:val="nil"/>
                  </w:tcBorders>
                  <w:noWrap w:val="0"/>
                  <w:tcMar>
                    <w:top w:w="15" w:type="dxa"/>
                    <w:left w:w="15" w:type="dxa"/>
                    <w:bottom w:w="15" w:type="dxa"/>
                    <w:right w:w="15" w:type="dxa"/>
                  </w:tcMar>
                  <w:vAlign w:val="center"/>
                </w:tcPr>
                <w:p w14:paraId="1BD2144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执行排放标准</w:t>
                  </w:r>
                </w:p>
              </w:tc>
            </w:tr>
            <w:tr w14:paraId="1286D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7" w:hRule="atLeast"/>
                <w:jc w:val="center"/>
              </w:trPr>
              <w:tc>
                <w:tcPr>
                  <w:tcW w:w="1442" w:type="dxa"/>
                  <w:tcBorders>
                    <w:tl2br w:val="nil"/>
                    <w:tr2bl w:val="nil"/>
                  </w:tcBorders>
                  <w:noWrap w:val="0"/>
                  <w:tcMar>
                    <w:top w:w="15" w:type="dxa"/>
                    <w:left w:w="15" w:type="dxa"/>
                    <w:bottom w:w="15" w:type="dxa"/>
                    <w:right w:w="15" w:type="dxa"/>
                  </w:tcMar>
                  <w:vAlign w:val="center"/>
                </w:tcPr>
                <w:p w14:paraId="05D288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打磨废气排放口（DA001）</w:t>
                  </w:r>
                </w:p>
              </w:tc>
              <w:tc>
                <w:tcPr>
                  <w:tcW w:w="1195" w:type="dxa"/>
                  <w:tcBorders>
                    <w:tl2br w:val="nil"/>
                    <w:tr2bl w:val="nil"/>
                  </w:tcBorders>
                  <w:noWrap w:val="0"/>
                  <w:tcMar>
                    <w:top w:w="15" w:type="dxa"/>
                    <w:left w:w="15" w:type="dxa"/>
                    <w:bottom w:w="15" w:type="dxa"/>
                    <w:right w:w="15" w:type="dxa"/>
                  </w:tcMar>
                  <w:vAlign w:val="center"/>
                </w:tcPr>
                <w:p w14:paraId="7F3B032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991" w:type="dxa"/>
                  <w:tcBorders>
                    <w:tl2br w:val="nil"/>
                    <w:tr2bl w:val="nil"/>
                  </w:tcBorders>
                  <w:noWrap w:val="0"/>
                  <w:tcMar>
                    <w:top w:w="15" w:type="dxa"/>
                    <w:left w:w="15" w:type="dxa"/>
                    <w:bottom w:w="15" w:type="dxa"/>
                    <w:right w:w="15" w:type="dxa"/>
                  </w:tcMar>
                  <w:vAlign w:val="center"/>
                </w:tcPr>
                <w:p w14:paraId="471066D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1次/年</w:t>
                  </w:r>
                </w:p>
              </w:tc>
              <w:tc>
                <w:tcPr>
                  <w:tcW w:w="4762" w:type="dxa"/>
                  <w:tcBorders>
                    <w:tl2br w:val="nil"/>
                    <w:tr2bl w:val="nil"/>
                  </w:tcBorders>
                  <w:noWrap w:val="0"/>
                  <w:tcMar>
                    <w:top w:w="15" w:type="dxa"/>
                    <w:left w:w="15" w:type="dxa"/>
                    <w:bottom w:w="15" w:type="dxa"/>
                    <w:right w:w="15" w:type="dxa"/>
                  </w:tcMar>
                  <w:vAlign w:val="center"/>
                </w:tcPr>
                <w:p w14:paraId="3BEEB0DF">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b w:val="0"/>
                      <w:bCs w:val="0"/>
                      <w:color w:val="auto"/>
                      <w:sz w:val="21"/>
                      <w:szCs w:val="21"/>
                      <w:highlight w:val="none"/>
                      <w:lang w:val="en-US" w:eastAsia="zh-CN"/>
                    </w:rPr>
                  </w:pPr>
                  <w:r>
                    <w:rPr>
                      <w:rFonts w:hint="eastAsia" w:eastAsia="宋体"/>
                      <w:color w:val="auto"/>
                      <w:sz w:val="21"/>
                      <w:szCs w:val="21"/>
                      <w:highlight w:val="none"/>
                      <w:lang w:val="en-US" w:eastAsia="zh-CN"/>
                    </w:rPr>
                    <w:t>《</w:t>
                  </w:r>
                  <w:r>
                    <w:rPr>
                      <w:rFonts w:hint="eastAsia" w:eastAsia="宋体"/>
                      <w:color w:val="auto"/>
                      <w:sz w:val="21"/>
                      <w:szCs w:val="21"/>
                      <w:highlight w:val="none"/>
                      <w:lang w:eastAsia="zh-CN"/>
                    </w:rPr>
                    <w:t>钢铁工业大气污染物超低排放标准</w:t>
                  </w:r>
                  <w:r>
                    <w:rPr>
                      <w:rFonts w:hint="eastAsia" w:eastAsia="宋体"/>
                      <w:color w:val="auto"/>
                      <w:sz w:val="21"/>
                      <w:szCs w:val="21"/>
                      <w:highlight w:val="none"/>
                      <w:lang w:val="en-US" w:eastAsia="zh-CN"/>
                    </w:rPr>
                    <w:t>》（DB13/2169-2018）</w:t>
                  </w:r>
                  <w:r>
                    <w:rPr>
                      <w:rFonts w:hint="eastAsia" w:eastAsia="宋体"/>
                      <w:color w:val="auto"/>
                      <w:sz w:val="21"/>
                      <w:szCs w:val="21"/>
                      <w:highlight w:val="none"/>
                      <w:lang w:eastAsia="zh-CN"/>
                    </w:rPr>
                    <w:t>表1轧钢（热处理炉、拉矫、精整、抛丸、修磨、焊接机及其他生产设施）排放限值要求</w:t>
                  </w:r>
                  <w:r>
                    <w:rPr>
                      <w:rFonts w:hint="eastAsia" w:eastAsia="宋体"/>
                      <w:color w:val="auto"/>
                      <w:sz w:val="21"/>
                      <w:szCs w:val="21"/>
                      <w:highlight w:val="none"/>
                      <w:lang w:val="en-US" w:eastAsia="zh-CN"/>
                    </w:rPr>
                    <w:t>，颗粒物最高允许排放浓度10mg/m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w:t>
                  </w:r>
                  <w:r>
                    <w:rPr>
                      <w:rFonts w:hint="eastAsia" w:ascii="Times New Roman" w:eastAsia="宋体"/>
                      <w:color w:val="auto"/>
                      <w:sz w:val="21"/>
                      <w:szCs w:val="21"/>
                      <w:highlight w:val="none"/>
                      <w:lang w:val="en-US" w:eastAsia="zh-CN"/>
                    </w:rPr>
                    <w:t>排气筒高度不低于15m</w:t>
                  </w:r>
                  <w:r>
                    <w:rPr>
                      <w:rFonts w:hint="eastAsia"/>
                      <w:color w:val="auto"/>
                      <w:sz w:val="21"/>
                      <w:szCs w:val="21"/>
                      <w:highlight w:val="none"/>
                      <w:lang w:val="en-US" w:eastAsia="zh-CN"/>
                    </w:rPr>
                    <w:t>，且高出周围半径200m范围内最高建筑物3m以上</w:t>
                  </w:r>
                </w:p>
              </w:tc>
            </w:tr>
            <w:tr w14:paraId="5ED2AE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19" w:hRule="atLeast"/>
                <w:jc w:val="center"/>
              </w:trPr>
              <w:tc>
                <w:tcPr>
                  <w:tcW w:w="1442" w:type="dxa"/>
                  <w:vMerge w:val="restart"/>
                  <w:tcBorders>
                    <w:tl2br w:val="nil"/>
                    <w:tr2bl w:val="nil"/>
                  </w:tcBorders>
                  <w:noWrap w:val="0"/>
                  <w:tcMar>
                    <w:top w:w="15" w:type="dxa"/>
                    <w:left w:w="15" w:type="dxa"/>
                    <w:bottom w:w="15" w:type="dxa"/>
                    <w:right w:w="15" w:type="dxa"/>
                  </w:tcMar>
                  <w:vAlign w:val="center"/>
                </w:tcPr>
                <w:p w14:paraId="4738BB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喷涂废气排放口（DA002）</w:t>
                  </w:r>
                </w:p>
              </w:tc>
              <w:tc>
                <w:tcPr>
                  <w:tcW w:w="1195" w:type="dxa"/>
                  <w:tcBorders>
                    <w:tl2br w:val="nil"/>
                    <w:tr2bl w:val="nil"/>
                  </w:tcBorders>
                  <w:noWrap w:val="0"/>
                  <w:tcMar>
                    <w:top w:w="15" w:type="dxa"/>
                    <w:left w:w="15" w:type="dxa"/>
                    <w:bottom w:w="15" w:type="dxa"/>
                    <w:right w:w="15" w:type="dxa"/>
                  </w:tcMar>
                  <w:vAlign w:val="center"/>
                </w:tcPr>
                <w:p w14:paraId="6CF7C26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颗粒物</w:t>
                  </w:r>
                </w:p>
              </w:tc>
              <w:tc>
                <w:tcPr>
                  <w:tcW w:w="991" w:type="dxa"/>
                  <w:vMerge w:val="restart"/>
                  <w:tcBorders>
                    <w:tl2br w:val="nil"/>
                    <w:tr2bl w:val="nil"/>
                  </w:tcBorders>
                  <w:noWrap w:val="0"/>
                  <w:tcMar>
                    <w:top w:w="15" w:type="dxa"/>
                    <w:left w:w="15" w:type="dxa"/>
                    <w:bottom w:w="15" w:type="dxa"/>
                    <w:right w:w="15" w:type="dxa"/>
                  </w:tcMar>
                  <w:vAlign w:val="center"/>
                </w:tcPr>
                <w:p w14:paraId="62CFA5F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c>
                <w:tcPr>
                  <w:tcW w:w="4762" w:type="dxa"/>
                  <w:tcBorders>
                    <w:tl2br w:val="nil"/>
                    <w:tr2bl w:val="nil"/>
                  </w:tcBorders>
                  <w:noWrap w:val="0"/>
                  <w:tcMar>
                    <w:top w:w="15" w:type="dxa"/>
                    <w:left w:w="15" w:type="dxa"/>
                    <w:bottom w:w="15" w:type="dxa"/>
                    <w:right w:w="15" w:type="dxa"/>
                  </w:tcMar>
                  <w:vAlign w:val="center"/>
                </w:tcPr>
                <w:p w14:paraId="696DCB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《大气污染物综合排放标准》（GB16297-1996）表2中颗粒物相关排放限值，最高允许排放浓度18mg/m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，最高允许排放速率0.255kg/h（15m高排气筒最高允许排放速率一半），以及排气筒应高出周围200m半径范围的建筑5m以上，不能达到该要求的排气筒，应按其高度对应的表列排放速率标准值严格50%执行的要求</w:t>
                  </w:r>
                </w:p>
              </w:tc>
            </w:tr>
            <w:tr w14:paraId="33210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51"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31359804">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rPr>
                  </w:pPr>
                </w:p>
              </w:tc>
              <w:tc>
                <w:tcPr>
                  <w:tcW w:w="1195" w:type="dxa"/>
                  <w:tcBorders>
                    <w:tl2br w:val="nil"/>
                    <w:tr2bl w:val="nil"/>
                  </w:tcBorders>
                  <w:noWrap w:val="0"/>
                  <w:tcMar>
                    <w:top w:w="15" w:type="dxa"/>
                    <w:left w:w="15" w:type="dxa"/>
                    <w:bottom w:w="15" w:type="dxa"/>
                    <w:right w:w="15" w:type="dxa"/>
                  </w:tcMar>
                  <w:vAlign w:val="center"/>
                </w:tcPr>
                <w:p w14:paraId="0FD6C58A">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非甲烷总烃</w:t>
                  </w:r>
                </w:p>
              </w:tc>
              <w:tc>
                <w:tcPr>
                  <w:tcW w:w="991" w:type="dxa"/>
                  <w:vMerge w:val="continue"/>
                  <w:tcBorders>
                    <w:tl2br w:val="nil"/>
                    <w:tr2bl w:val="nil"/>
                  </w:tcBorders>
                  <w:noWrap w:val="0"/>
                  <w:tcMar>
                    <w:top w:w="15" w:type="dxa"/>
                    <w:left w:w="15" w:type="dxa"/>
                    <w:bottom w:w="15" w:type="dxa"/>
                    <w:right w:w="15" w:type="dxa"/>
                  </w:tcMar>
                  <w:vAlign w:val="center"/>
                </w:tcPr>
                <w:p w14:paraId="4E6E84D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4762" w:type="dxa"/>
                  <w:vMerge w:val="restart"/>
                  <w:tcBorders>
                    <w:tl2br w:val="nil"/>
                    <w:tr2bl w:val="nil"/>
                  </w:tcBorders>
                  <w:noWrap w:val="0"/>
                  <w:tcMar>
                    <w:top w:w="15" w:type="dxa"/>
                    <w:left w:w="15" w:type="dxa"/>
                    <w:bottom w:w="15" w:type="dxa"/>
                    <w:right w:w="15" w:type="dxa"/>
                  </w:tcMar>
                  <w:vAlign w:val="center"/>
                </w:tcPr>
                <w:p w14:paraId="66861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eastAsia="zh-CN"/>
                    </w:rPr>
                    <w:t>《</w:t>
                  </w:r>
                  <w:r>
                    <w:rPr>
                      <w:rFonts w:hint="eastAsia"/>
                      <w:color w:val="auto"/>
                      <w:sz w:val="21"/>
                      <w:szCs w:val="21"/>
                      <w:highlight w:val="none"/>
                    </w:rPr>
                    <w:t>工业企业挥发性有机物排放控制标准》（DB13/2322-2016）</w:t>
                  </w:r>
                  <w:r>
                    <w:rPr>
                      <w:rFonts w:hint="eastAsia"/>
                      <w:color w:val="auto"/>
                      <w:sz w:val="21"/>
                      <w:szCs w:val="21"/>
                      <w:highlight w:val="none"/>
                      <w:lang w:val="en-US" w:eastAsia="zh-CN"/>
                    </w:rPr>
                    <w:t>表1中表面涂装业非甲烷总烃最高允许排放浓度30</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按表面涂装业最高允许排放浓度</w:t>
                  </w:r>
                  <w:r>
                    <w:rPr>
                      <w:rFonts w:hint="eastAsia"/>
                      <w:color w:val="auto"/>
                      <w:sz w:val="21"/>
                      <w:szCs w:val="21"/>
                      <w:highlight w:val="none"/>
                      <w:lang w:val="en-US" w:eastAsia="zh-CN"/>
                    </w:rPr>
                    <w:t>60</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vertAlign w:val="baseline"/>
                      <w:lang w:val="en-US" w:eastAsia="zh-CN"/>
                    </w:rPr>
                    <w:t>的一半执行</w:t>
                  </w:r>
                  <w:r>
                    <w:rPr>
                      <w:rFonts w:hint="eastAsia"/>
                      <w:color w:val="auto"/>
                      <w:sz w:val="21"/>
                      <w:szCs w:val="21"/>
                      <w:highlight w:val="none"/>
                      <w:vertAlign w:val="baseline"/>
                      <w:lang w:eastAsia="zh-CN"/>
                    </w:rPr>
                    <w:t>）</w:t>
                  </w:r>
                  <w:r>
                    <w:rPr>
                      <w:rFonts w:hint="eastAsia"/>
                      <w:color w:val="auto"/>
                      <w:sz w:val="21"/>
                      <w:szCs w:val="21"/>
                      <w:highlight w:val="none"/>
                    </w:rPr>
                    <w:t>，</w:t>
                  </w:r>
                  <w:r>
                    <w:rPr>
                      <w:rFonts w:hint="eastAsia"/>
                      <w:color w:val="auto"/>
                      <w:sz w:val="21"/>
                      <w:szCs w:val="21"/>
                      <w:highlight w:val="none"/>
                      <w:lang w:val="en-US" w:eastAsia="zh-CN"/>
                    </w:rPr>
                    <w:t>最低去除效率70%，苯最高允许排放浓度0.5</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按表面涂装业最高允许排放浓度</w:t>
                  </w:r>
                  <w:r>
                    <w:rPr>
                      <w:rFonts w:hint="eastAsia"/>
                      <w:color w:val="auto"/>
                      <w:sz w:val="21"/>
                      <w:szCs w:val="21"/>
                      <w:highlight w:val="none"/>
                      <w:lang w:val="en-US" w:eastAsia="zh-CN"/>
                    </w:rPr>
                    <w:t>1</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vertAlign w:val="baseline"/>
                      <w:lang w:val="en-US" w:eastAsia="zh-CN"/>
                    </w:rPr>
                    <w:t>的一半执行</w:t>
                  </w:r>
                  <w:r>
                    <w:rPr>
                      <w:rFonts w:hint="eastAsia"/>
                      <w:color w:val="auto"/>
                      <w:sz w:val="21"/>
                      <w:szCs w:val="21"/>
                      <w:highlight w:val="none"/>
                      <w:vertAlign w:val="baseline"/>
                      <w:lang w:eastAsia="zh-CN"/>
                    </w:rPr>
                    <w:t>）</w:t>
                  </w:r>
                  <w:r>
                    <w:rPr>
                      <w:rFonts w:hint="eastAsia"/>
                      <w:color w:val="auto"/>
                      <w:sz w:val="21"/>
                      <w:szCs w:val="21"/>
                      <w:highlight w:val="none"/>
                    </w:rPr>
                    <w:t>，</w:t>
                  </w:r>
                  <w:r>
                    <w:rPr>
                      <w:rFonts w:hint="eastAsia"/>
                      <w:color w:val="auto"/>
                      <w:sz w:val="21"/>
                      <w:szCs w:val="21"/>
                      <w:highlight w:val="none"/>
                      <w:lang w:val="en-US" w:eastAsia="zh-CN"/>
                    </w:rPr>
                    <w:t>甲苯与二甲苯合计最高允许排放浓度10</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按表面涂装业最高允许排放浓度</w:t>
                  </w:r>
                  <w:r>
                    <w:rPr>
                      <w:rFonts w:hint="eastAsia"/>
                      <w:color w:val="auto"/>
                      <w:sz w:val="21"/>
                      <w:szCs w:val="21"/>
                      <w:highlight w:val="none"/>
                      <w:lang w:val="en-US" w:eastAsia="zh-CN"/>
                    </w:rPr>
                    <w:t>20</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vertAlign w:val="baseline"/>
                      <w:lang w:val="en-US" w:eastAsia="zh-CN"/>
                    </w:rPr>
                    <w:t>的一半执行</w:t>
                  </w:r>
                  <w:r>
                    <w:rPr>
                      <w:rFonts w:hint="eastAsia"/>
                      <w:color w:val="auto"/>
                      <w:sz w:val="21"/>
                      <w:szCs w:val="21"/>
                      <w:highlight w:val="none"/>
                      <w:vertAlign w:val="baseline"/>
                      <w:lang w:eastAsia="zh-CN"/>
                    </w:rPr>
                    <w:t>）</w:t>
                  </w:r>
                  <w:r>
                    <w:rPr>
                      <w:rFonts w:hint="eastAsia"/>
                      <w:color w:val="auto"/>
                      <w:sz w:val="21"/>
                      <w:szCs w:val="21"/>
                      <w:highlight w:val="none"/>
                    </w:rPr>
                    <w:t>，排气筒高度不低于15m</w:t>
                  </w:r>
                  <w:r>
                    <w:rPr>
                      <w:rFonts w:hint="eastAsia"/>
                      <w:color w:val="auto"/>
                      <w:sz w:val="21"/>
                      <w:szCs w:val="21"/>
                      <w:highlight w:val="none"/>
                      <w:lang w:eastAsia="zh-CN"/>
                    </w:rPr>
                    <w:t>，排气筒高度应高出周围200m半径范围的建筑5m以上。高度如果达不到规定时，按排放限值的50%执行</w:t>
                  </w:r>
                </w:p>
              </w:tc>
            </w:tr>
            <w:tr w14:paraId="528297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90"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10435FD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1195" w:type="dxa"/>
                  <w:tcBorders>
                    <w:tl2br w:val="nil"/>
                    <w:tr2bl w:val="nil"/>
                  </w:tcBorders>
                  <w:noWrap w:val="0"/>
                  <w:tcMar>
                    <w:top w:w="15" w:type="dxa"/>
                    <w:left w:w="15" w:type="dxa"/>
                    <w:bottom w:w="15" w:type="dxa"/>
                    <w:right w:w="15" w:type="dxa"/>
                  </w:tcMar>
                  <w:vAlign w:val="center"/>
                </w:tcPr>
                <w:p w14:paraId="31750F93">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苯</w:t>
                  </w:r>
                </w:p>
              </w:tc>
              <w:tc>
                <w:tcPr>
                  <w:tcW w:w="991" w:type="dxa"/>
                  <w:vMerge w:val="continue"/>
                  <w:tcBorders>
                    <w:tl2br w:val="nil"/>
                    <w:tr2bl w:val="nil"/>
                  </w:tcBorders>
                  <w:noWrap w:val="0"/>
                  <w:tcMar>
                    <w:top w:w="15" w:type="dxa"/>
                    <w:left w:w="15" w:type="dxa"/>
                    <w:bottom w:w="15" w:type="dxa"/>
                    <w:right w:w="15" w:type="dxa"/>
                  </w:tcMar>
                  <w:vAlign w:val="center"/>
                </w:tcPr>
                <w:p w14:paraId="5A46251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4762" w:type="dxa"/>
                  <w:vMerge w:val="continue"/>
                  <w:tcBorders>
                    <w:tl2br w:val="nil"/>
                    <w:tr2bl w:val="nil"/>
                  </w:tcBorders>
                  <w:noWrap w:val="0"/>
                  <w:tcMar>
                    <w:top w:w="15" w:type="dxa"/>
                    <w:left w:w="15" w:type="dxa"/>
                    <w:bottom w:w="15" w:type="dxa"/>
                    <w:right w:w="15" w:type="dxa"/>
                  </w:tcMar>
                  <w:vAlign w:val="center"/>
                </w:tcPr>
                <w:p w14:paraId="4B36753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r>
            <w:tr w14:paraId="3BCE94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6"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730FD52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1195" w:type="dxa"/>
                  <w:tcBorders>
                    <w:tl2br w:val="nil"/>
                    <w:tr2bl w:val="nil"/>
                  </w:tcBorders>
                  <w:noWrap w:val="0"/>
                  <w:tcMar>
                    <w:top w:w="15" w:type="dxa"/>
                    <w:left w:w="15" w:type="dxa"/>
                    <w:bottom w:w="15" w:type="dxa"/>
                    <w:right w:w="15" w:type="dxa"/>
                  </w:tcMar>
                  <w:vAlign w:val="center"/>
                </w:tcPr>
                <w:p w14:paraId="02B5662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甲苯与二甲苯合计</w:t>
                  </w:r>
                </w:p>
              </w:tc>
              <w:tc>
                <w:tcPr>
                  <w:tcW w:w="991" w:type="dxa"/>
                  <w:vMerge w:val="continue"/>
                  <w:tcBorders>
                    <w:tl2br w:val="nil"/>
                    <w:tr2bl w:val="nil"/>
                  </w:tcBorders>
                  <w:noWrap w:val="0"/>
                  <w:tcMar>
                    <w:top w:w="15" w:type="dxa"/>
                    <w:left w:w="15" w:type="dxa"/>
                    <w:bottom w:w="15" w:type="dxa"/>
                    <w:right w:w="15" w:type="dxa"/>
                  </w:tcMar>
                  <w:vAlign w:val="center"/>
                </w:tcPr>
                <w:p w14:paraId="43A9E8C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4762" w:type="dxa"/>
                  <w:vMerge w:val="continue"/>
                  <w:tcBorders>
                    <w:tl2br w:val="nil"/>
                    <w:tr2bl w:val="nil"/>
                  </w:tcBorders>
                  <w:noWrap w:val="0"/>
                  <w:tcMar>
                    <w:top w:w="15" w:type="dxa"/>
                    <w:left w:w="15" w:type="dxa"/>
                    <w:bottom w:w="15" w:type="dxa"/>
                    <w:right w:w="15" w:type="dxa"/>
                  </w:tcMar>
                  <w:vAlign w:val="center"/>
                </w:tcPr>
                <w:p w14:paraId="51D27AA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r>
            <w:tr w14:paraId="22D77B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1442" w:type="dxa"/>
                  <w:vMerge w:val="restart"/>
                  <w:tcBorders>
                    <w:tl2br w:val="nil"/>
                    <w:tr2bl w:val="nil"/>
                  </w:tcBorders>
                  <w:noWrap w:val="0"/>
                  <w:tcMar>
                    <w:top w:w="15" w:type="dxa"/>
                    <w:left w:w="15" w:type="dxa"/>
                    <w:bottom w:w="15" w:type="dxa"/>
                    <w:right w:w="15" w:type="dxa"/>
                  </w:tcMar>
                  <w:vAlign w:val="center"/>
                </w:tcPr>
                <w:p w14:paraId="232674AE">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食堂废气排放口</w:t>
                  </w:r>
                </w:p>
              </w:tc>
              <w:tc>
                <w:tcPr>
                  <w:tcW w:w="1195" w:type="dxa"/>
                  <w:tcBorders>
                    <w:tl2br w:val="nil"/>
                    <w:tr2bl w:val="nil"/>
                  </w:tcBorders>
                  <w:noWrap w:val="0"/>
                  <w:tcMar>
                    <w:top w:w="15" w:type="dxa"/>
                    <w:left w:w="15" w:type="dxa"/>
                    <w:bottom w:w="15" w:type="dxa"/>
                    <w:right w:w="15" w:type="dxa"/>
                  </w:tcMar>
                  <w:vAlign w:val="center"/>
                </w:tcPr>
                <w:p w14:paraId="5E7367A7">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油烟</w:t>
                  </w:r>
                </w:p>
              </w:tc>
              <w:tc>
                <w:tcPr>
                  <w:tcW w:w="991" w:type="dxa"/>
                  <w:vMerge w:val="restart"/>
                  <w:tcBorders>
                    <w:tl2br w:val="nil"/>
                    <w:tr2bl w:val="nil"/>
                  </w:tcBorders>
                  <w:noWrap w:val="0"/>
                  <w:tcMar>
                    <w:top w:w="15" w:type="dxa"/>
                    <w:left w:w="15" w:type="dxa"/>
                    <w:bottom w:w="15" w:type="dxa"/>
                    <w:right w:w="15" w:type="dxa"/>
                  </w:tcMar>
                  <w:vAlign w:val="center"/>
                </w:tcPr>
                <w:p w14:paraId="0586444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c>
                <w:tcPr>
                  <w:tcW w:w="4762" w:type="dxa"/>
                  <w:vMerge w:val="restart"/>
                  <w:tcBorders>
                    <w:tl2br w:val="nil"/>
                    <w:tr2bl w:val="nil"/>
                  </w:tcBorders>
                  <w:noWrap w:val="0"/>
                  <w:tcMar>
                    <w:top w:w="15" w:type="dxa"/>
                    <w:left w:w="15" w:type="dxa"/>
                    <w:bottom w:w="15" w:type="dxa"/>
                    <w:right w:w="15" w:type="dxa"/>
                  </w:tcMar>
                  <w:vAlign w:val="center"/>
                </w:tcPr>
                <w:p w14:paraId="5A2B5CA2">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default"/>
                      <w:color w:val="auto"/>
                      <w:highlight w:val="none"/>
                      <w:lang w:val="zh-CN"/>
                    </w:rPr>
                    <w:t>《</w:t>
                  </w:r>
                  <w:r>
                    <w:rPr>
                      <w:rFonts w:hint="eastAsia"/>
                      <w:color w:val="auto"/>
                      <w:highlight w:val="none"/>
                      <w:lang w:val="en-US" w:eastAsia="zh-CN"/>
                    </w:rPr>
                    <w:t>餐饮业大气污染物排放标准</w:t>
                  </w:r>
                  <w:r>
                    <w:rPr>
                      <w:rFonts w:hint="default"/>
                      <w:color w:val="auto"/>
                      <w:highlight w:val="none"/>
                      <w:lang w:val="zh-CN"/>
                    </w:rPr>
                    <w:t>》</w:t>
                  </w:r>
                  <w:r>
                    <w:rPr>
                      <w:rFonts w:hint="eastAsia"/>
                      <w:color w:val="auto"/>
                      <w:highlight w:val="none"/>
                      <w:lang w:val="zh-CN"/>
                    </w:rPr>
                    <w:t>（</w:t>
                  </w:r>
                  <w:r>
                    <w:rPr>
                      <w:rFonts w:hint="eastAsia"/>
                      <w:color w:val="auto"/>
                      <w:highlight w:val="none"/>
                      <w:lang w:val="en-US" w:eastAsia="zh-CN"/>
                    </w:rPr>
                    <w:t>DB13/5808-2023</w:t>
                  </w:r>
                  <w:r>
                    <w:rPr>
                      <w:rFonts w:hint="eastAsia"/>
                      <w:color w:val="auto"/>
                      <w:highlight w:val="none"/>
                      <w:lang w:val="zh-CN"/>
                    </w:rPr>
                    <w:t>）</w:t>
                  </w:r>
                  <w:r>
                    <w:rPr>
                      <w:rFonts w:hint="default"/>
                      <w:color w:val="auto"/>
                      <w:highlight w:val="none"/>
                      <w:lang w:val="zh-CN"/>
                    </w:rPr>
                    <w:t>中的油烟最高允许排放浓度</w:t>
                  </w:r>
                  <w:r>
                    <w:rPr>
                      <w:rFonts w:hint="eastAsia"/>
                      <w:color w:val="auto"/>
                      <w:highlight w:val="none"/>
                      <w:lang w:val="en-US" w:eastAsia="zh-CN"/>
                    </w:rPr>
                    <w:t>1.2</w:t>
                  </w:r>
                  <w:r>
                    <w:rPr>
                      <w:rFonts w:hint="default"/>
                      <w:color w:val="auto"/>
                      <w:highlight w:val="none"/>
                      <w:lang w:val="zh-CN"/>
                    </w:rPr>
                    <w:t>mg/m</w:t>
                  </w:r>
                  <w:r>
                    <w:rPr>
                      <w:rFonts w:hint="default"/>
                      <w:color w:val="auto"/>
                      <w:highlight w:val="none"/>
                      <w:vertAlign w:val="superscript"/>
                      <w:lang w:val="zh-CN"/>
                    </w:rPr>
                    <w:t>3</w:t>
                  </w:r>
                  <w:r>
                    <w:rPr>
                      <w:rFonts w:hint="default"/>
                      <w:color w:val="auto"/>
                      <w:highlight w:val="none"/>
                      <w:lang w:val="zh-CN"/>
                    </w:rPr>
                    <w:t>、</w:t>
                  </w:r>
                  <w:r>
                    <w:rPr>
                      <w:rFonts w:hint="eastAsia"/>
                      <w:color w:val="auto"/>
                      <w:highlight w:val="none"/>
                      <w:lang w:val="en-US" w:eastAsia="zh-CN"/>
                    </w:rPr>
                    <w:t>非甲烷总烃10.0mg/m</w:t>
                  </w:r>
                  <w:r>
                    <w:rPr>
                      <w:rFonts w:hint="eastAsia"/>
                      <w:color w:val="auto"/>
                      <w:highlight w:val="none"/>
                      <w:vertAlign w:val="superscript"/>
                      <w:lang w:val="en-US" w:eastAsia="zh-CN"/>
                    </w:rPr>
                    <w:t>3</w:t>
                  </w:r>
                </w:p>
              </w:tc>
            </w:tr>
            <w:tr w14:paraId="31B20D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09507178">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rPr>
                  </w:pPr>
                </w:p>
              </w:tc>
              <w:tc>
                <w:tcPr>
                  <w:tcW w:w="1195" w:type="dxa"/>
                  <w:tcBorders>
                    <w:tl2br w:val="nil"/>
                    <w:tr2bl w:val="nil"/>
                  </w:tcBorders>
                  <w:noWrap w:val="0"/>
                  <w:tcMar>
                    <w:top w:w="15" w:type="dxa"/>
                    <w:left w:w="15" w:type="dxa"/>
                    <w:bottom w:w="15" w:type="dxa"/>
                    <w:right w:w="15" w:type="dxa"/>
                  </w:tcMar>
                  <w:vAlign w:val="center"/>
                </w:tcPr>
                <w:p w14:paraId="7A1309A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991" w:type="dxa"/>
                  <w:vMerge w:val="continue"/>
                  <w:tcBorders>
                    <w:tl2br w:val="nil"/>
                    <w:tr2bl w:val="nil"/>
                  </w:tcBorders>
                  <w:noWrap w:val="0"/>
                  <w:tcMar>
                    <w:top w:w="15" w:type="dxa"/>
                    <w:left w:w="15" w:type="dxa"/>
                    <w:bottom w:w="15" w:type="dxa"/>
                    <w:right w:w="15" w:type="dxa"/>
                  </w:tcMar>
                  <w:vAlign w:val="center"/>
                </w:tcPr>
                <w:p w14:paraId="5533D0AF">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4762" w:type="dxa"/>
                  <w:vMerge w:val="continue"/>
                  <w:tcBorders>
                    <w:tl2br w:val="nil"/>
                    <w:tr2bl w:val="nil"/>
                  </w:tcBorders>
                  <w:noWrap w:val="0"/>
                  <w:tcMar>
                    <w:top w:w="15" w:type="dxa"/>
                    <w:left w:w="15" w:type="dxa"/>
                    <w:bottom w:w="15" w:type="dxa"/>
                    <w:right w:w="15" w:type="dxa"/>
                  </w:tcMar>
                  <w:vAlign w:val="center"/>
                </w:tcPr>
                <w:p w14:paraId="27F3EA45">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r>
            <w:tr w14:paraId="1D02B1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16" w:hRule="atLeast"/>
                <w:jc w:val="center"/>
              </w:trPr>
              <w:tc>
                <w:tcPr>
                  <w:tcW w:w="1442" w:type="dxa"/>
                  <w:tcBorders>
                    <w:tl2br w:val="nil"/>
                    <w:tr2bl w:val="nil"/>
                  </w:tcBorders>
                  <w:noWrap w:val="0"/>
                  <w:tcMar>
                    <w:top w:w="15" w:type="dxa"/>
                    <w:left w:w="15" w:type="dxa"/>
                    <w:bottom w:w="15" w:type="dxa"/>
                    <w:right w:w="15" w:type="dxa"/>
                  </w:tcMar>
                  <w:vAlign w:val="center"/>
                </w:tcPr>
                <w:p w14:paraId="43EA7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1#厂房内</w:t>
                  </w:r>
                </w:p>
              </w:tc>
              <w:tc>
                <w:tcPr>
                  <w:tcW w:w="1195" w:type="dxa"/>
                  <w:tcBorders>
                    <w:tl2br w:val="nil"/>
                    <w:tr2bl w:val="nil"/>
                  </w:tcBorders>
                  <w:noWrap w:val="0"/>
                  <w:tcMar>
                    <w:top w:w="15" w:type="dxa"/>
                    <w:left w:w="15" w:type="dxa"/>
                    <w:bottom w:w="15" w:type="dxa"/>
                    <w:right w:w="15" w:type="dxa"/>
                  </w:tcMar>
                  <w:vAlign w:val="center"/>
                </w:tcPr>
                <w:p w14:paraId="164A68F1">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颗粒物</w:t>
                  </w:r>
                </w:p>
              </w:tc>
              <w:tc>
                <w:tcPr>
                  <w:tcW w:w="991" w:type="dxa"/>
                  <w:tcBorders>
                    <w:tl2br w:val="nil"/>
                    <w:tr2bl w:val="nil"/>
                  </w:tcBorders>
                  <w:noWrap w:val="0"/>
                  <w:tcMar>
                    <w:top w:w="15" w:type="dxa"/>
                    <w:left w:w="15" w:type="dxa"/>
                    <w:bottom w:w="15" w:type="dxa"/>
                    <w:right w:w="15" w:type="dxa"/>
                  </w:tcMar>
                  <w:vAlign w:val="center"/>
                </w:tcPr>
                <w:p w14:paraId="5F4038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1次</w:t>
                  </w:r>
                  <w:r>
                    <w:rPr>
                      <w:rFonts w:hint="eastAsia" w:ascii="Times New Roman" w:eastAsia="宋体"/>
                      <w:color w:val="auto"/>
                      <w:sz w:val="21"/>
                      <w:szCs w:val="21"/>
                      <w:highlight w:val="none"/>
                      <w:lang w:val="en-US" w:eastAsia="zh-CN"/>
                    </w:rPr>
                    <w:t>/年</w:t>
                  </w:r>
                </w:p>
              </w:tc>
              <w:tc>
                <w:tcPr>
                  <w:tcW w:w="4762" w:type="dxa"/>
                  <w:tcBorders>
                    <w:tl2br w:val="nil"/>
                    <w:tr2bl w:val="nil"/>
                  </w:tcBorders>
                  <w:noWrap w:val="0"/>
                  <w:tcMar>
                    <w:top w:w="15" w:type="dxa"/>
                    <w:left w:w="15" w:type="dxa"/>
                    <w:bottom w:w="15" w:type="dxa"/>
                    <w:right w:w="15" w:type="dxa"/>
                  </w:tcMar>
                  <w:vAlign w:val="center"/>
                </w:tcPr>
                <w:p w14:paraId="3665F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《钢铁工业大气污染物超低排放标准》（DB13/2169-2018）表5中有厂房车间颗粒物浓度限值8.0mg/m</w:t>
                  </w:r>
                  <w:r>
                    <w:rPr>
                      <w:rFonts w:hint="eastAsia" w:ascii="Times New Roman" w:eastAsia="宋体"/>
                      <w:color w:val="auto"/>
                      <w:sz w:val="21"/>
                      <w:szCs w:val="21"/>
                      <w:highlight w:val="none"/>
                      <w:vertAlign w:val="superscript"/>
                      <w:lang w:val="en-US" w:eastAsia="zh-CN"/>
                    </w:rPr>
                    <w:t>3</w:t>
                  </w:r>
                </w:p>
              </w:tc>
            </w:tr>
            <w:tr w14:paraId="7D6181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442" w:type="dxa"/>
                  <w:vMerge w:val="restart"/>
                  <w:tcBorders>
                    <w:tl2br w:val="nil"/>
                    <w:tr2bl w:val="nil"/>
                  </w:tcBorders>
                  <w:noWrap w:val="0"/>
                  <w:tcMar>
                    <w:top w:w="15" w:type="dxa"/>
                    <w:left w:w="15" w:type="dxa"/>
                    <w:bottom w:w="15" w:type="dxa"/>
                    <w:right w:w="15" w:type="dxa"/>
                  </w:tcMar>
                  <w:vAlign w:val="center"/>
                </w:tcPr>
                <w:p w14:paraId="110DDBAA">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lang w:val="en-US"/>
                    </w:rPr>
                  </w:pPr>
                  <w:r>
                    <w:rPr>
                      <w:rFonts w:hint="eastAsia"/>
                      <w:color w:val="auto"/>
                      <w:sz w:val="21"/>
                      <w:szCs w:val="21"/>
                      <w:highlight w:val="none"/>
                      <w:lang w:val="en-US" w:eastAsia="zh-CN"/>
                    </w:rPr>
                    <w:t>1#厂房车间界</w:t>
                  </w:r>
                </w:p>
              </w:tc>
              <w:tc>
                <w:tcPr>
                  <w:tcW w:w="1195" w:type="dxa"/>
                  <w:tcBorders>
                    <w:tl2br w:val="nil"/>
                    <w:tr2bl w:val="nil"/>
                  </w:tcBorders>
                  <w:noWrap w:val="0"/>
                  <w:tcMar>
                    <w:top w:w="15" w:type="dxa"/>
                    <w:left w:w="15" w:type="dxa"/>
                    <w:bottom w:w="15" w:type="dxa"/>
                    <w:right w:w="15" w:type="dxa"/>
                  </w:tcMar>
                  <w:vAlign w:val="center"/>
                </w:tcPr>
                <w:p w14:paraId="0E9A99B7">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991" w:type="dxa"/>
                  <w:vMerge w:val="restart"/>
                  <w:tcBorders>
                    <w:tl2br w:val="nil"/>
                    <w:tr2bl w:val="nil"/>
                  </w:tcBorders>
                  <w:noWrap w:val="0"/>
                  <w:tcMar>
                    <w:top w:w="15" w:type="dxa"/>
                    <w:left w:w="15" w:type="dxa"/>
                    <w:bottom w:w="15" w:type="dxa"/>
                    <w:right w:w="15" w:type="dxa"/>
                  </w:tcMar>
                  <w:vAlign w:val="center"/>
                </w:tcPr>
                <w:p w14:paraId="307A2887">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default"/>
                      <w:color w:val="auto"/>
                      <w:sz w:val="21"/>
                      <w:szCs w:val="21"/>
                      <w:highlight w:val="none"/>
                    </w:rPr>
                    <w:t>1次</w:t>
                  </w:r>
                  <w:r>
                    <w:rPr>
                      <w:rFonts w:hint="eastAsia" w:ascii="Times New Roman" w:eastAsia="宋体"/>
                      <w:color w:val="auto"/>
                      <w:sz w:val="21"/>
                      <w:szCs w:val="21"/>
                      <w:highlight w:val="none"/>
                      <w:lang w:val="en-US" w:eastAsia="zh-CN"/>
                    </w:rPr>
                    <w:t>/年</w:t>
                  </w:r>
                </w:p>
              </w:tc>
              <w:tc>
                <w:tcPr>
                  <w:tcW w:w="4762" w:type="dxa"/>
                  <w:vMerge w:val="restart"/>
                  <w:tcBorders>
                    <w:tl2br w:val="nil"/>
                    <w:tr2bl w:val="nil"/>
                  </w:tcBorders>
                  <w:noWrap w:val="0"/>
                  <w:tcMar>
                    <w:top w:w="15" w:type="dxa"/>
                    <w:left w:w="15" w:type="dxa"/>
                    <w:bottom w:w="15" w:type="dxa"/>
                    <w:right w:w="15" w:type="dxa"/>
                  </w:tcMar>
                  <w:vAlign w:val="center"/>
                </w:tcPr>
                <w:p w14:paraId="4375D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color w:val="auto"/>
                      <w:sz w:val="21"/>
                      <w:szCs w:val="21"/>
                      <w:highlight w:val="none"/>
                    </w:rPr>
                    <w:t>《工业企业挥发性有机物排放控制标准》（DB13/2322-2016）</w:t>
                  </w:r>
                  <w:r>
                    <w:rPr>
                      <w:rFonts w:hint="eastAsia"/>
                      <w:color w:val="auto"/>
                      <w:sz w:val="21"/>
                      <w:szCs w:val="21"/>
                      <w:highlight w:val="none"/>
                      <w:lang w:val="en-US" w:eastAsia="zh-CN"/>
                    </w:rPr>
                    <w:t>表3生产车间或生产设备边界：</w:t>
                  </w:r>
                  <w:r>
                    <w:rPr>
                      <w:rFonts w:hint="eastAsia"/>
                      <w:color w:val="auto"/>
                      <w:sz w:val="21"/>
                      <w:szCs w:val="21"/>
                      <w:highlight w:val="none"/>
                    </w:rPr>
                    <w:t>非甲烷总烃</w:t>
                  </w:r>
                  <w:r>
                    <w:rPr>
                      <w:rFonts w:hint="eastAsia"/>
                      <w:color w:val="auto"/>
                      <w:sz w:val="21"/>
                      <w:szCs w:val="21"/>
                      <w:highlight w:val="none"/>
                      <w:lang w:val="en-US" w:eastAsia="zh-CN"/>
                    </w:rPr>
                    <w:t>4</w:t>
                  </w:r>
                  <w:r>
                    <w:rPr>
                      <w:color w:val="auto"/>
                      <w:sz w:val="21"/>
                      <w:szCs w:val="21"/>
                      <w:highlight w:val="none"/>
                    </w:rPr>
                    <w:t>.0mg/m</w:t>
                  </w:r>
                  <w:r>
                    <w:rPr>
                      <w:color w:val="auto"/>
                      <w:sz w:val="21"/>
                      <w:szCs w:val="21"/>
                      <w:highlight w:val="none"/>
                      <w:vertAlign w:val="superscript"/>
                    </w:rPr>
                    <w:t>3</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苯0.4</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lang w:eastAsia="zh-CN"/>
                    </w:rPr>
                    <w:t>，</w:t>
                  </w:r>
                  <w:r>
                    <w:rPr>
                      <w:rFonts w:hint="eastAsia"/>
                      <w:color w:val="auto"/>
                      <w:sz w:val="21"/>
                      <w:szCs w:val="21"/>
                      <w:highlight w:val="none"/>
                      <w:lang w:val="en-US" w:eastAsia="zh-CN"/>
                    </w:rPr>
                    <w:t>甲苯1.0</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lang w:eastAsia="zh-CN"/>
                    </w:rPr>
                    <w:t>，</w:t>
                  </w:r>
                  <w:r>
                    <w:rPr>
                      <w:rFonts w:hint="eastAsia"/>
                      <w:color w:val="auto"/>
                      <w:sz w:val="21"/>
                      <w:szCs w:val="21"/>
                      <w:highlight w:val="none"/>
                      <w:lang w:val="en-US" w:eastAsia="zh-CN"/>
                    </w:rPr>
                    <w:t>二甲苯1.2</w:t>
                  </w:r>
                  <w:r>
                    <w:rPr>
                      <w:color w:val="auto"/>
                      <w:sz w:val="21"/>
                      <w:szCs w:val="21"/>
                      <w:highlight w:val="none"/>
                    </w:rPr>
                    <w:t>mg/m</w:t>
                  </w:r>
                  <w:r>
                    <w:rPr>
                      <w:color w:val="auto"/>
                      <w:sz w:val="21"/>
                      <w:szCs w:val="21"/>
                      <w:highlight w:val="none"/>
                      <w:vertAlign w:val="superscript"/>
                    </w:rPr>
                    <w:t>3</w:t>
                  </w:r>
                </w:p>
              </w:tc>
            </w:tr>
            <w:tr w14:paraId="67789C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586109DC">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1195" w:type="dxa"/>
                  <w:tcBorders>
                    <w:tl2br w:val="nil"/>
                    <w:tr2bl w:val="nil"/>
                  </w:tcBorders>
                  <w:noWrap w:val="0"/>
                  <w:tcMar>
                    <w:top w:w="15" w:type="dxa"/>
                    <w:left w:w="15" w:type="dxa"/>
                    <w:bottom w:w="15" w:type="dxa"/>
                    <w:right w:w="15" w:type="dxa"/>
                  </w:tcMar>
                  <w:vAlign w:val="center"/>
                </w:tcPr>
                <w:p w14:paraId="6843C88A">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苯</w:t>
                  </w:r>
                </w:p>
              </w:tc>
              <w:tc>
                <w:tcPr>
                  <w:tcW w:w="991" w:type="dxa"/>
                  <w:vMerge w:val="continue"/>
                  <w:tcBorders>
                    <w:tl2br w:val="nil"/>
                    <w:tr2bl w:val="nil"/>
                  </w:tcBorders>
                  <w:noWrap w:val="0"/>
                  <w:tcMar>
                    <w:top w:w="15" w:type="dxa"/>
                    <w:left w:w="15" w:type="dxa"/>
                    <w:bottom w:w="15" w:type="dxa"/>
                    <w:right w:w="15" w:type="dxa"/>
                  </w:tcMar>
                  <w:vAlign w:val="center"/>
                </w:tcPr>
                <w:p w14:paraId="2690BD31">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4762" w:type="dxa"/>
                  <w:vMerge w:val="continue"/>
                  <w:tcBorders>
                    <w:tl2br w:val="nil"/>
                    <w:tr2bl w:val="nil"/>
                  </w:tcBorders>
                  <w:noWrap w:val="0"/>
                  <w:tcMar>
                    <w:top w:w="15" w:type="dxa"/>
                    <w:left w:w="15" w:type="dxa"/>
                    <w:bottom w:w="15" w:type="dxa"/>
                    <w:right w:w="15" w:type="dxa"/>
                  </w:tcMar>
                  <w:vAlign w:val="center"/>
                </w:tcPr>
                <w:p w14:paraId="149E1EF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r>
            <w:tr w14:paraId="1515E5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9"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44E5124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1195" w:type="dxa"/>
                  <w:tcBorders>
                    <w:tl2br w:val="nil"/>
                    <w:tr2bl w:val="nil"/>
                  </w:tcBorders>
                  <w:noWrap w:val="0"/>
                  <w:tcMar>
                    <w:top w:w="15" w:type="dxa"/>
                    <w:left w:w="15" w:type="dxa"/>
                    <w:bottom w:w="15" w:type="dxa"/>
                    <w:right w:w="15" w:type="dxa"/>
                  </w:tcMar>
                  <w:vAlign w:val="center"/>
                </w:tcPr>
                <w:p w14:paraId="48495810">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甲苯</w:t>
                  </w:r>
                </w:p>
              </w:tc>
              <w:tc>
                <w:tcPr>
                  <w:tcW w:w="991" w:type="dxa"/>
                  <w:vMerge w:val="continue"/>
                  <w:tcBorders>
                    <w:tl2br w:val="nil"/>
                    <w:tr2bl w:val="nil"/>
                  </w:tcBorders>
                  <w:noWrap w:val="0"/>
                  <w:tcMar>
                    <w:top w:w="15" w:type="dxa"/>
                    <w:left w:w="15" w:type="dxa"/>
                    <w:bottom w:w="15" w:type="dxa"/>
                    <w:right w:w="15" w:type="dxa"/>
                  </w:tcMar>
                  <w:vAlign w:val="center"/>
                </w:tcPr>
                <w:p w14:paraId="757B0A10">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4762" w:type="dxa"/>
                  <w:vMerge w:val="continue"/>
                  <w:tcBorders>
                    <w:tl2br w:val="nil"/>
                    <w:tr2bl w:val="nil"/>
                  </w:tcBorders>
                  <w:noWrap w:val="0"/>
                  <w:tcMar>
                    <w:top w:w="15" w:type="dxa"/>
                    <w:left w:w="15" w:type="dxa"/>
                    <w:bottom w:w="15" w:type="dxa"/>
                    <w:right w:w="15" w:type="dxa"/>
                  </w:tcMar>
                  <w:vAlign w:val="center"/>
                </w:tcPr>
                <w:p w14:paraId="5CF20F96">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r>
            <w:tr w14:paraId="3153D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601A0F29">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1195" w:type="dxa"/>
                  <w:tcBorders>
                    <w:tl2br w:val="nil"/>
                    <w:tr2bl w:val="nil"/>
                  </w:tcBorders>
                  <w:noWrap w:val="0"/>
                  <w:tcMar>
                    <w:top w:w="15" w:type="dxa"/>
                    <w:left w:w="15" w:type="dxa"/>
                    <w:bottom w:w="15" w:type="dxa"/>
                    <w:right w:w="15" w:type="dxa"/>
                  </w:tcMar>
                  <w:vAlign w:val="center"/>
                </w:tcPr>
                <w:p w14:paraId="3D245EFB">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二甲苯</w:t>
                  </w:r>
                </w:p>
              </w:tc>
              <w:tc>
                <w:tcPr>
                  <w:tcW w:w="991" w:type="dxa"/>
                  <w:vMerge w:val="continue"/>
                  <w:tcBorders>
                    <w:tl2br w:val="nil"/>
                    <w:tr2bl w:val="nil"/>
                  </w:tcBorders>
                  <w:noWrap w:val="0"/>
                  <w:tcMar>
                    <w:top w:w="15" w:type="dxa"/>
                    <w:left w:w="15" w:type="dxa"/>
                    <w:bottom w:w="15" w:type="dxa"/>
                    <w:right w:w="15" w:type="dxa"/>
                  </w:tcMar>
                  <w:vAlign w:val="center"/>
                </w:tcPr>
                <w:p w14:paraId="15F65F8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c>
                <w:tcPr>
                  <w:tcW w:w="4762" w:type="dxa"/>
                  <w:vMerge w:val="continue"/>
                  <w:tcBorders>
                    <w:tl2br w:val="nil"/>
                    <w:tr2bl w:val="nil"/>
                  </w:tcBorders>
                  <w:noWrap w:val="0"/>
                  <w:tcMar>
                    <w:top w:w="15" w:type="dxa"/>
                    <w:left w:w="15" w:type="dxa"/>
                    <w:bottom w:w="15" w:type="dxa"/>
                    <w:right w:w="15" w:type="dxa"/>
                  </w:tcMar>
                  <w:vAlign w:val="center"/>
                </w:tcPr>
                <w:p w14:paraId="47CFCFBA">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p>
              </w:tc>
            </w:tr>
            <w:tr w14:paraId="6C7CC1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9" w:hRule="atLeast"/>
                <w:jc w:val="center"/>
              </w:trPr>
              <w:tc>
                <w:tcPr>
                  <w:tcW w:w="1442" w:type="dxa"/>
                  <w:tcBorders>
                    <w:tl2br w:val="nil"/>
                    <w:tr2bl w:val="nil"/>
                  </w:tcBorders>
                  <w:noWrap w:val="0"/>
                  <w:tcMar>
                    <w:top w:w="15" w:type="dxa"/>
                    <w:left w:w="15" w:type="dxa"/>
                    <w:bottom w:w="15" w:type="dxa"/>
                    <w:right w:w="15" w:type="dxa"/>
                  </w:tcMar>
                  <w:vAlign w:val="center"/>
                </w:tcPr>
                <w:p w14:paraId="17AFBF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厂区内无组织</w:t>
                  </w:r>
                </w:p>
              </w:tc>
              <w:tc>
                <w:tcPr>
                  <w:tcW w:w="1195" w:type="dxa"/>
                  <w:tcBorders>
                    <w:tl2br w:val="nil"/>
                    <w:tr2bl w:val="nil"/>
                  </w:tcBorders>
                  <w:noWrap w:val="0"/>
                  <w:tcMar>
                    <w:top w:w="15" w:type="dxa"/>
                    <w:left w:w="15" w:type="dxa"/>
                    <w:bottom w:w="15" w:type="dxa"/>
                    <w:right w:w="15" w:type="dxa"/>
                  </w:tcMar>
                  <w:vAlign w:val="center"/>
                </w:tcPr>
                <w:p w14:paraId="038A9536">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991" w:type="dxa"/>
                  <w:tcBorders>
                    <w:tl2br w:val="nil"/>
                    <w:tr2bl w:val="nil"/>
                  </w:tcBorders>
                  <w:noWrap w:val="0"/>
                  <w:tcMar>
                    <w:top w:w="15" w:type="dxa"/>
                    <w:left w:w="15" w:type="dxa"/>
                    <w:bottom w:w="15" w:type="dxa"/>
                    <w:right w:w="15" w:type="dxa"/>
                  </w:tcMar>
                  <w:vAlign w:val="center"/>
                </w:tcPr>
                <w:p w14:paraId="6C4F53A2">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default"/>
                      <w:color w:val="auto"/>
                      <w:sz w:val="21"/>
                      <w:szCs w:val="21"/>
                      <w:highlight w:val="none"/>
                    </w:rPr>
                    <w:t>1次</w:t>
                  </w:r>
                  <w:r>
                    <w:rPr>
                      <w:rFonts w:hint="eastAsia" w:ascii="Times New Roman" w:eastAsia="宋体"/>
                      <w:color w:val="auto"/>
                      <w:sz w:val="21"/>
                      <w:szCs w:val="21"/>
                      <w:highlight w:val="none"/>
                      <w:lang w:val="en-US" w:eastAsia="zh-CN"/>
                    </w:rPr>
                    <w:t>/年</w:t>
                  </w:r>
                </w:p>
              </w:tc>
              <w:tc>
                <w:tcPr>
                  <w:tcW w:w="4762" w:type="dxa"/>
                  <w:tcBorders>
                    <w:tl2br w:val="nil"/>
                    <w:tr2bl w:val="nil"/>
                  </w:tcBorders>
                  <w:noWrap w:val="0"/>
                  <w:tcMar>
                    <w:top w:w="15" w:type="dxa"/>
                    <w:left w:w="15" w:type="dxa"/>
                    <w:bottom w:w="15" w:type="dxa"/>
                    <w:right w:w="15" w:type="dxa"/>
                  </w:tcMar>
                  <w:vAlign w:val="center"/>
                </w:tcPr>
                <w:p w14:paraId="79F945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eastAsia="zh-CN"/>
                    </w:rPr>
                    <w:t>《</w:t>
                  </w:r>
                  <w:r>
                    <w:rPr>
                      <w:rFonts w:hint="eastAsia"/>
                      <w:color w:val="auto"/>
                      <w:sz w:val="21"/>
                      <w:szCs w:val="21"/>
                      <w:highlight w:val="none"/>
                      <w:lang w:val="en-US" w:eastAsia="zh-CN"/>
                    </w:rPr>
                    <w:t>挥发性有机物无组织排放控制标准</w:t>
                  </w:r>
                  <w:r>
                    <w:rPr>
                      <w:rFonts w:hint="eastAsia"/>
                      <w:color w:val="auto"/>
                      <w:sz w:val="21"/>
                      <w:szCs w:val="21"/>
                      <w:highlight w:val="none"/>
                      <w:lang w:eastAsia="zh-CN"/>
                    </w:rPr>
                    <w:t>》（</w:t>
                  </w:r>
                  <w:r>
                    <w:rPr>
                      <w:rFonts w:hint="eastAsia"/>
                      <w:color w:val="auto"/>
                      <w:sz w:val="21"/>
                      <w:szCs w:val="21"/>
                      <w:highlight w:val="none"/>
                      <w:lang w:val="en-US" w:eastAsia="zh-CN"/>
                    </w:rPr>
                    <w:t>GB37822-2019</w:t>
                  </w:r>
                  <w:r>
                    <w:rPr>
                      <w:rFonts w:hint="eastAsia"/>
                      <w:color w:val="auto"/>
                      <w:sz w:val="21"/>
                      <w:szCs w:val="21"/>
                      <w:highlight w:val="none"/>
                      <w:lang w:eastAsia="zh-CN"/>
                    </w:rPr>
                    <w:t>）</w:t>
                  </w:r>
                  <w:r>
                    <w:rPr>
                      <w:rFonts w:hint="eastAsia"/>
                      <w:color w:val="auto"/>
                      <w:sz w:val="21"/>
                      <w:szCs w:val="21"/>
                      <w:highlight w:val="none"/>
                      <w:lang w:val="en-US" w:eastAsia="zh-CN"/>
                    </w:rPr>
                    <w:t>附录A表A.1厂区内VOCs无组织排放限值中厂房外监控点1h平均浓度限值：非甲烷总烃6mg</w:t>
                  </w:r>
                  <w:r>
                    <w:rPr>
                      <w:rFonts w:hint="default"/>
                      <w:color w:val="auto"/>
                      <w:sz w:val="21"/>
                      <w:szCs w:val="21"/>
                      <w:highlight w:val="none"/>
                    </w:rPr>
                    <w:t>/m</w:t>
                  </w:r>
                  <w:r>
                    <w:rPr>
                      <w:rFonts w:hint="default"/>
                      <w:color w:val="auto"/>
                      <w:sz w:val="21"/>
                      <w:szCs w:val="21"/>
                      <w:highlight w:val="none"/>
                      <w:vertAlign w:val="superscript"/>
                    </w:rPr>
                    <w:t>3</w:t>
                  </w:r>
                  <w:r>
                    <w:rPr>
                      <w:rFonts w:hint="eastAsia"/>
                      <w:color w:val="auto"/>
                      <w:sz w:val="21"/>
                      <w:szCs w:val="21"/>
                      <w:highlight w:val="none"/>
                      <w:lang w:eastAsia="zh-CN"/>
                    </w:rPr>
                    <w:t>，</w:t>
                  </w:r>
                  <w:r>
                    <w:rPr>
                      <w:rFonts w:hint="eastAsia"/>
                      <w:color w:val="auto"/>
                      <w:sz w:val="21"/>
                      <w:szCs w:val="21"/>
                      <w:highlight w:val="none"/>
                      <w:lang w:val="en-US" w:eastAsia="zh-CN"/>
                    </w:rPr>
                    <w:t>任意一次浓度限值：非甲烷总烃20mg</w:t>
                  </w:r>
                  <w:r>
                    <w:rPr>
                      <w:rFonts w:hint="default"/>
                      <w:color w:val="auto"/>
                      <w:sz w:val="21"/>
                      <w:szCs w:val="21"/>
                      <w:highlight w:val="none"/>
                    </w:rPr>
                    <w:t>/m</w:t>
                  </w:r>
                  <w:r>
                    <w:rPr>
                      <w:rFonts w:hint="default"/>
                      <w:color w:val="auto"/>
                      <w:sz w:val="21"/>
                      <w:szCs w:val="21"/>
                      <w:highlight w:val="none"/>
                      <w:vertAlign w:val="superscript"/>
                    </w:rPr>
                    <w:t>3</w:t>
                  </w:r>
                </w:p>
              </w:tc>
            </w:tr>
            <w:tr w14:paraId="634968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41" w:hRule="atLeast"/>
                <w:jc w:val="center"/>
              </w:trPr>
              <w:tc>
                <w:tcPr>
                  <w:tcW w:w="1442" w:type="dxa"/>
                  <w:vMerge w:val="restart"/>
                  <w:tcBorders>
                    <w:tl2br w:val="nil"/>
                    <w:tr2bl w:val="nil"/>
                  </w:tcBorders>
                  <w:noWrap w:val="0"/>
                  <w:tcMar>
                    <w:top w:w="15" w:type="dxa"/>
                    <w:left w:w="15" w:type="dxa"/>
                    <w:bottom w:w="15" w:type="dxa"/>
                    <w:right w:w="15" w:type="dxa"/>
                  </w:tcMar>
                  <w:vAlign w:val="center"/>
                </w:tcPr>
                <w:p w14:paraId="00241A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w:t>
                  </w:r>
                </w:p>
              </w:tc>
              <w:tc>
                <w:tcPr>
                  <w:tcW w:w="1195" w:type="dxa"/>
                  <w:tcBorders>
                    <w:tl2br w:val="nil"/>
                    <w:tr2bl w:val="nil"/>
                  </w:tcBorders>
                  <w:noWrap w:val="0"/>
                  <w:tcMar>
                    <w:top w:w="15" w:type="dxa"/>
                    <w:left w:w="15" w:type="dxa"/>
                    <w:bottom w:w="15" w:type="dxa"/>
                    <w:right w:w="15" w:type="dxa"/>
                  </w:tcMar>
                  <w:vAlign w:val="center"/>
                </w:tcPr>
                <w:p w14:paraId="4527EF6F">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991" w:type="dxa"/>
                  <w:tcBorders>
                    <w:tl2br w:val="nil"/>
                    <w:tr2bl w:val="nil"/>
                  </w:tcBorders>
                  <w:noWrap w:val="0"/>
                  <w:tcMar>
                    <w:top w:w="15" w:type="dxa"/>
                    <w:left w:w="15" w:type="dxa"/>
                    <w:bottom w:w="15" w:type="dxa"/>
                    <w:right w:w="15" w:type="dxa"/>
                  </w:tcMar>
                  <w:vAlign w:val="center"/>
                </w:tcPr>
                <w:p w14:paraId="52D4930D">
                  <w:pPr>
                    <w:pStyle w:val="31"/>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1次/年</w:t>
                  </w:r>
                </w:p>
              </w:tc>
              <w:tc>
                <w:tcPr>
                  <w:tcW w:w="4762" w:type="dxa"/>
                  <w:tcBorders>
                    <w:tl2br w:val="nil"/>
                    <w:tr2bl w:val="nil"/>
                  </w:tcBorders>
                  <w:noWrap w:val="0"/>
                  <w:tcMar>
                    <w:top w:w="15" w:type="dxa"/>
                    <w:left w:w="15" w:type="dxa"/>
                    <w:bottom w:w="15" w:type="dxa"/>
                    <w:right w:w="15" w:type="dxa"/>
                  </w:tcMar>
                  <w:vAlign w:val="center"/>
                </w:tcPr>
                <w:p w14:paraId="446E21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rPr>
                  </w:pPr>
                  <w:r>
                    <w:rPr>
                      <w:rFonts w:hint="eastAsia" w:ascii="Times New Roman" w:eastAsia="宋体"/>
                      <w:color w:val="auto"/>
                      <w:sz w:val="21"/>
                      <w:szCs w:val="21"/>
                      <w:highlight w:val="none"/>
                      <w:lang w:val="en-US" w:eastAsia="zh-CN"/>
                    </w:rPr>
                    <w:t>《钢铁工业大气污染物超低排放标准》（DB13/2169-2018）表5中厂界颗粒物浓度限值1.0mg/m</w:t>
                  </w:r>
                  <w:r>
                    <w:rPr>
                      <w:rFonts w:hint="eastAsia" w:ascii="Times New Roman" w:eastAsia="宋体"/>
                      <w:color w:val="auto"/>
                      <w:sz w:val="21"/>
                      <w:szCs w:val="21"/>
                      <w:highlight w:val="none"/>
                      <w:vertAlign w:val="superscript"/>
                      <w:lang w:val="en-US" w:eastAsia="zh-CN"/>
                    </w:rPr>
                    <w:t>3</w:t>
                  </w:r>
                </w:p>
              </w:tc>
            </w:tr>
            <w:tr w14:paraId="14E9C8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55D684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195" w:type="dxa"/>
                  <w:tcBorders>
                    <w:tl2br w:val="nil"/>
                    <w:tr2bl w:val="nil"/>
                  </w:tcBorders>
                  <w:noWrap w:val="0"/>
                  <w:tcMar>
                    <w:top w:w="15" w:type="dxa"/>
                    <w:left w:w="15" w:type="dxa"/>
                    <w:bottom w:w="15" w:type="dxa"/>
                    <w:right w:w="15" w:type="dxa"/>
                  </w:tcMar>
                  <w:vAlign w:val="center"/>
                </w:tcPr>
                <w:p w14:paraId="6D2683FB">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991" w:type="dxa"/>
                  <w:vMerge w:val="restart"/>
                  <w:tcBorders>
                    <w:tl2br w:val="nil"/>
                    <w:tr2bl w:val="nil"/>
                  </w:tcBorders>
                  <w:noWrap w:val="0"/>
                  <w:tcMar>
                    <w:top w:w="15" w:type="dxa"/>
                    <w:left w:w="15" w:type="dxa"/>
                    <w:bottom w:w="15" w:type="dxa"/>
                    <w:right w:w="15" w:type="dxa"/>
                  </w:tcMar>
                  <w:vAlign w:val="center"/>
                </w:tcPr>
                <w:p w14:paraId="37123EF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1次/半年</w:t>
                  </w:r>
                </w:p>
              </w:tc>
              <w:tc>
                <w:tcPr>
                  <w:tcW w:w="4762" w:type="dxa"/>
                  <w:vMerge w:val="restart"/>
                  <w:tcBorders>
                    <w:tl2br w:val="nil"/>
                    <w:tr2bl w:val="nil"/>
                  </w:tcBorders>
                  <w:noWrap w:val="0"/>
                  <w:tcMar>
                    <w:top w:w="15" w:type="dxa"/>
                    <w:left w:w="15" w:type="dxa"/>
                    <w:bottom w:w="15" w:type="dxa"/>
                    <w:right w:w="15" w:type="dxa"/>
                  </w:tcMar>
                  <w:vAlign w:val="center"/>
                </w:tcPr>
                <w:p w14:paraId="4699C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highlight w:val="none"/>
                      <w:lang w:val="en-US" w:eastAsia="zh-CN"/>
                    </w:rPr>
                  </w:pPr>
                  <w:r>
                    <w:rPr>
                      <w:color w:val="auto"/>
                      <w:sz w:val="21"/>
                      <w:szCs w:val="21"/>
                      <w:highlight w:val="none"/>
                    </w:rPr>
                    <w:t>《工业企业挥发性有机物排放控制标准》（DB13/2322-2016）</w:t>
                  </w:r>
                  <w:r>
                    <w:rPr>
                      <w:rFonts w:hint="eastAsia"/>
                      <w:color w:val="auto"/>
                      <w:sz w:val="21"/>
                      <w:szCs w:val="21"/>
                      <w:highlight w:val="none"/>
                    </w:rPr>
                    <w:t>表</w:t>
                  </w:r>
                  <w:r>
                    <w:rPr>
                      <w:color w:val="auto"/>
                      <w:sz w:val="21"/>
                      <w:szCs w:val="21"/>
                      <w:highlight w:val="none"/>
                    </w:rPr>
                    <w:t>2</w:t>
                  </w:r>
                  <w:r>
                    <w:rPr>
                      <w:rFonts w:hint="eastAsia"/>
                      <w:color w:val="auto"/>
                      <w:sz w:val="21"/>
                      <w:szCs w:val="21"/>
                      <w:highlight w:val="none"/>
                    </w:rPr>
                    <w:t>企业边界大气污染物浓度限值中其他企业：非甲烷总烃</w:t>
                  </w:r>
                  <w:r>
                    <w:rPr>
                      <w:color w:val="auto"/>
                      <w:sz w:val="21"/>
                      <w:szCs w:val="21"/>
                      <w:highlight w:val="none"/>
                    </w:rPr>
                    <w:t>2.0mg/m</w:t>
                  </w:r>
                  <w:r>
                    <w:rPr>
                      <w:color w:val="auto"/>
                      <w:sz w:val="21"/>
                      <w:szCs w:val="21"/>
                      <w:highlight w:val="none"/>
                      <w:vertAlign w:val="superscript"/>
                    </w:rPr>
                    <w:t>3</w:t>
                  </w:r>
                  <w:r>
                    <w:rPr>
                      <w:rFonts w:hint="eastAsia"/>
                      <w:color w:val="auto"/>
                      <w:sz w:val="21"/>
                      <w:szCs w:val="21"/>
                      <w:highlight w:val="none"/>
                      <w:lang w:eastAsia="zh-CN"/>
                    </w:rPr>
                    <w:t>，</w:t>
                  </w:r>
                  <w:r>
                    <w:rPr>
                      <w:rFonts w:hint="eastAsia"/>
                      <w:color w:val="auto"/>
                      <w:sz w:val="21"/>
                      <w:szCs w:val="21"/>
                      <w:highlight w:val="none"/>
                      <w:lang w:val="en-US" w:eastAsia="zh-CN"/>
                    </w:rPr>
                    <w:t>苯0.1</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lang w:eastAsia="zh-CN"/>
                    </w:rPr>
                    <w:t>，</w:t>
                  </w:r>
                  <w:r>
                    <w:rPr>
                      <w:rFonts w:hint="eastAsia"/>
                      <w:color w:val="auto"/>
                      <w:sz w:val="21"/>
                      <w:szCs w:val="21"/>
                      <w:highlight w:val="none"/>
                      <w:lang w:val="en-US" w:eastAsia="zh-CN"/>
                    </w:rPr>
                    <w:t>甲苯0.6</w:t>
                  </w:r>
                  <w:r>
                    <w:rPr>
                      <w:color w:val="auto"/>
                      <w:sz w:val="21"/>
                      <w:szCs w:val="21"/>
                      <w:highlight w:val="none"/>
                    </w:rPr>
                    <w:t>mg/m</w:t>
                  </w:r>
                  <w:r>
                    <w:rPr>
                      <w:color w:val="auto"/>
                      <w:sz w:val="21"/>
                      <w:szCs w:val="21"/>
                      <w:highlight w:val="none"/>
                      <w:vertAlign w:val="superscript"/>
                    </w:rPr>
                    <w:t>3</w:t>
                  </w:r>
                  <w:r>
                    <w:rPr>
                      <w:rFonts w:hint="eastAsia"/>
                      <w:color w:val="auto"/>
                      <w:sz w:val="21"/>
                      <w:szCs w:val="21"/>
                      <w:highlight w:val="none"/>
                      <w:lang w:eastAsia="zh-CN"/>
                    </w:rPr>
                    <w:t>，</w:t>
                  </w:r>
                  <w:r>
                    <w:rPr>
                      <w:rFonts w:hint="eastAsia"/>
                      <w:color w:val="auto"/>
                      <w:sz w:val="21"/>
                      <w:szCs w:val="21"/>
                      <w:highlight w:val="none"/>
                      <w:lang w:val="en-US" w:eastAsia="zh-CN"/>
                    </w:rPr>
                    <w:t>二甲苯0.2</w:t>
                  </w:r>
                  <w:r>
                    <w:rPr>
                      <w:color w:val="auto"/>
                      <w:sz w:val="21"/>
                      <w:szCs w:val="21"/>
                      <w:highlight w:val="none"/>
                    </w:rPr>
                    <w:t>mg/m</w:t>
                  </w:r>
                  <w:r>
                    <w:rPr>
                      <w:color w:val="auto"/>
                      <w:sz w:val="21"/>
                      <w:szCs w:val="21"/>
                      <w:highlight w:val="none"/>
                      <w:vertAlign w:val="superscript"/>
                    </w:rPr>
                    <w:t>3</w:t>
                  </w:r>
                </w:p>
              </w:tc>
            </w:tr>
            <w:tr w14:paraId="6F1DFF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0D8F2EF1">
                  <w:pPr>
                    <w:pStyle w:val="31"/>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195" w:type="dxa"/>
                  <w:tcBorders>
                    <w:tl2br w:val="nil"/>
                    <w:tr2bl w:val="nil"/>
                  </w:tcBorders>
                  <w:noWrap w:val="0"/>
                  <w:tcMar>
                    <w:top w:w="15" w:type="dxa"/>
                    <w:left w:w="15" w:type="dxa"/>
                    <w:bottom w:w="15" w:type="dxa"/>
                    <w:right w:w="15" w:type="dxa"/>
                  </w:tcMar>
                  <w:vAlign w:val="center"/>
                </w:tcPr>
                <w:p w14:paraId="481DE0D3">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苯</w:t>
                  </w:r>
                </w:p>
              </w:tc>
              <w:tc>
                <w:tcPr>
                  <w:tcW w:w="991" w:type="dxa"/>
                  <w:vMerge w:val="continue"/>
                  <w:tcBorders>
                    <w:tl2br w:val="nil"/>
                    <w:tr2bl w:val="nil"/>
                  </w:tcBorders>
                  <w:noWrap w:val="0"/>
                  <w:tcMar>
                    <w:top w:w="15" w:type="dxa"/>
                    <w:left w:w="15" w:type="dxa"/>
                    <w:bottom w:w="15" w:type="dxa"/>
                    <w:right w:w="15" w:type="dxa"/>
                  </w:tcMar>
                  <w:vAlign w:val="center"/>
                </w:tcPr>
                <w:p w14:paraId="1CEEC50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4762" w:type="dxa"/>
                  <w:vMerge w:val="continue"/>
                  <w:tcBorders>
                    <w:tl2br w:val="nil"/>
                    <w:tr2bl w:val="nil"/>
                  </w:tcBorders>
                  <w:noWrap w:val="0"/>
                  <w:tcMar>
                    <w:top w:w="15" w:type="dxa"/>
                    <w:left w:w="15" w:type="dxa"/>
                    <w:bottom w:w="15" w:type="dxa"/>
                    <w:right w:w="15" w:type="dxa"/>
                  </w:tcMar>
                  <w:vAlign w:val="center"/>
                </w:tcPr>
                <w:p w14:paraId="6F688D18">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r>
            <w:tr w14:paraId="5DB2BB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4486085D">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195" w:type="dxa"/>
                  <w:tcBorders>
                    <w:tl2br w:val="nil"/>
                    <w:tr2bl w:val="nil"/>
                  </w:tcBorders>
                  <w:noWrap w:val="0"/>
                  <w:tcMar>
                    <w:top w:w="15" w:type="dxa"/>
                    <w:left w:w="15" w:type="dxa"/>
                    <w:bottom w:w="15" w:type="dxa"/>
                    <w:right w:w="15" w:type="dxa"/>
                  </w:tcMar>
                  <w:vAlign w:val="center"/>
                </w:tcPr>
                <w:p w14:paraId="12D8101A">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甲苯</w:t>
                  </w:r>
                </w:p>
              </w:tc>
              <w:tc>
                <w:tcPr>
                  <w:tcW w:w="991" w:type="dxa"/>
                  <w:vMerge w:val="continue"/>
                  <w:tcBorders>
                    <w:tl2br w:val="nil"/>
                    <w:tr2bl w:val="nil"/>
                  </w:tcBorders>
                  <w:noWrap w:val="0"/>
                  <w:tcMar>
                    <w:top w:w="15" w:type="dxa"/>
                    <w:left w:w="15" w:type="dxa"/>
                    <w:bottom w:w="15" w:type="dxa"/>
                    <w:right w:w="15" w:type="dxa"/>
                  </w:tcMar>
                  <w:vAlign w:val="center"/>
                </w:tcPr>
                <w:p w14:paraId="447FD32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4762" w:type="dxa"/>
                  <w:vMerge w:val="continue"/>
                  <w:tcBorders>
                    <w:tl2br w:val="nil"/>
                    <w:tr2bl w:val="nil"/>
                  </w:tcBorders>
                  <w:noWrap w:val="0"/>
                  <w:tcMar>
                    <w:top w:w="15" w:type="dxa"/>
                    <w:left w:w="15" w:type="dxa"/>
                    <w:bottom w:w="15" w:type="dxa"/>
                    <w:right w:w="15" w:type="dxa"/>
                  </w:tcMar>
                  <w:vAlign w:val="center"/>
                </w:tcPr>
                <w:p w14:paraId="168B1857">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r>
            <w:tr w14:paraId="3141E0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1442" w:type="dxa"/>
                  <w:vMerge w:val="continue"/>
                  <w:tcBorders>
                    <w:tl2br w:val="nil"/>
                    <w:tr2bl w:val="nil"/>
                  </w:tcBorders>
                  <w:noWrap w:val="0"/>
                  <w:tcMar>
                    <w:top w:w="15" w:type="dxa"/>
                    <w:left w:w="15" w:type="dxa"/>
                    <w:bottom w:w="15" w:type="dxa"/>
                    <w:right w:w="15" w:type="dxa"/>
                  </w:tcMar>
                  <w:vAlign w:val="center"/>
                </w:tcPr>
                <w:p w14:paraId="38BFE7C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1195" w:type="dxa"/>
                  <w:tcBorders>
                    <w:tl2br w:val="nil"/>
                    <w:tr2bl w:val="nil"/>
                  </w:tcBorders>
                  <w:noWrap w:val="0"/>
                  <w:tcMar>
                    <w:top w:w="15" w:type="dxa"/>
                    <w:left w:w="15" w:type="dxa"/>
                    <w:bottom w:w="15" w:type="dxa"/>
                    <w:right w:w="15" w:type="dxa"/>
                  </w:tcMar>
                  <w:vAlign w:val="center"/>
                </w:tcPr>
                <w:p w14:paraId="55D358DE">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二甲苯</w:t>
                  </w:r>
                </w:p>
              </w:tc>
              <w:tc>
                <w:tcPr>
                  <w:tcW w:w="991" w:type="dxa"/>
                  <w:vMerge w:val="continue"/>
                  <w:tcBorders>
                    <w:tl2br w:val="nil"/>
                    <w:tr2bl w:val="nil"/>
                  </w:tcBorders>
                  <w:noWrap w:val="0"/>
                  <w:tcMar>
                    <w:top w:w="15" w:type="dxa"/>
                    <w:left w:w="15" w:type="dxa"/>
                    <w:bottom w:w="15" w:type="dxa"/>
                    <w:right w:w="15" w:type="dxa"/>
                  </w:tcMar>
                  <w:vAlign w:val="center"/>
                </w:tcPr>
                <w:p w14:paraId="1A99C38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c>
                <w:tcPr>
                  <w:tcW w:w="4762" w:type="dxa"/>
                  <w:vMerge w:val="continue"/>
                  <w:tcBorders>
                    <w:tl2br w:val="nil"/>
                    <w:tr2bl w:val="nil"/>
                  </w:tcBorders>
                  <w:noWrap w:val="0"/>
                  <w:tcMar>
                    <w:top w:w="15" w:type="dxa"/>
                    <w:left w:w="15" w:type="dxa"/>
                    <w:bottom w:w="15" w:type="dxa"/>
                    <w:right w:w="15" w:type="dxa"/>
                  </w:tcMar>
                  <w:vAlign w:val="center"/>
                </w:tcPr>
                <w:p w14:paraId="45D8F662">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p>
              </w:tc>
            </w:tr>
            <w:tr w14:paraId="76C667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01" w:hRule="atLeast"/>
                <w:jc w:val="center"/>
              </w:trPr>
              <w:tc>
                <w:tcPr>
                  <w:tcW w:w="8390" w:type="dxa"/>
                  <w:gridSpan w:val="4"/>
                  <w:tcBorders>
                    <w:tl2br w:val="nil"/>
                    <w:tr2bl w:val="nil"/>
                  </w:tcBorders>
                  <w:noWrap w:val="0"/>
                  <w:tcMar>
                    <w:top w:w="15" w:type="dxa"/>
                    <w:left w:w="15" w:type="dxa"/>
                    <w:bottom w:w="15" w:type="dxa"/>
                    <w:right w:w="15" w:type="dxa"/>
                  </w:tcMar>
                  <w:vAlign w:val="center"/>
                </w:tcPr>
                <w:p w14:paraId="31D126EA">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备注：</w:t>
                  </w:r>
                </w:p>
                <w:p w14:paraId="0D142A5A">
                  <w:pPr>
                    <w:pStyle w:val="31"/>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1）根据建设单位提供漆料VOCs检测报告，本项目所用漆料中不含苯，因此，源强核算时未对其进行核算，但考虑到厂家可能调整产品配比，或建设单位可能根据需求更换漆料类型，本次评价将其作为监测因子进行监测。</w:t>
                  </w:r>
                </w:p>
                <w:p w14:paraId="6F20C12B">
                  <w:pPr>
                    <w:pStyle w:val="31"/>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rFonts w:hint="default"/>
                      <w:b w:val="0"/>
                      <w:bCs w:val="0"/>
                      <w:color w:val="auto"/>
                      <w:sz w:val="21"/>
                      <w:szCs w:val="21"/>
                      <w:highlight w:val="none"/>
                      <w:lang w:val="en-US" w:eastAsia="zh-CN"/>
                    </w:rPr>
                  </w:pPr>
                  <w:r>
                    <w:rPr>
                      <w:rFonts w:hint="eastAsia"/>
                      <w:color w:val="auto"/>
                      <w:sz w:val="21"/>
                      <w:szCs w:val="21"/>
                      <w:highlight w:val="none"/>
                      <w:lang w:val="en-US" w:eastAsia="zh-CN"/>
                    </w:rPr>
                    <w:t>（2）</w:t>
                  </w:r>
                  <w:r>
                    <w:rPr>
                      <w:rFonts w:hint="eastAsia" w:ascii="Times New Roman" w:hAnsi="Times New Roman" w:eastAsia="宋体" w:cs="Times New Roman"/>
                      <w:color w:val="auto"/>
                      <w:sz w:val="21"/>
                      <w:szCs w:val="21"/>
                      <w:highlight w:val="none"/>
                      <w:vertAlign w:val="baseline"/>
                      <w:lang w:val="en-US" w:eastAsia="zh-CN"/>
                    </w:rPr>
                    <w:t>喷涂废气排放口（DA002）</w:t>
                  </w:r>
                  <w:r>
                    <w:rPr>
                      <w:rFonts w:hint="eastAsia"/>
                      <w:color w:val="auto"/>
                      <w:sz w:val="21"/>
                      <w:szCs w:val="21"/>
                      <w:highlight w:val="none"/>
                      <w:lang w:val="en-US" w:eastAsia="zh-CN"/>
                    </w:rPr>
                    <w:t>需监测进口非甲烷总烃浓度，处理效率应满足70%的要求，不满足要求时监测1#厂房车间界非甲烷总烃、苯、甲苯、二甲苯，满足要求时无需监测非甲烷总烃、苯、甲苯、二甲苯。</w:t>
                  </w:r>
                </w:p>
              </w:tc>
            </w:tr>
          </w:tbl>
          <w:p w14:paraId="36E27C65">
            <w:pPr>
              <w:keepNext w:val="0"/>
              <w:keepLines w:val="0"/>
              <w:pageBreakBefore w:val="0"/>
              <w:widowControl w:val="0"/>
              <w:numPr>
                <w:ilvl w:val="0"/>
                <w:numId w:val="31"/>
              </w:numPr>
              <w:suppressLineNumbers w:val="0"/>
              <w:kinsoku/>
              <w:wordWrap/>
              <w:overflowPunct/>
              <w:topLinePunct w:val="0"/>
              <w:bidi w:val="0"/>
              <w:spacing w:beforeAutospacing="0" w:after="0" w:afterAutospacing="0" w:line="480" w:lineRule="exact"/>
              <w:ind w:left="0" w:leftChars="0" w:right="0" w:firstLine="0" w:firstLineChars="0"/>
              <w:textAlignment w:val="auto"/>
              <w:rPr>
                <w:rFonts w:hint="eastAsia"/>
                <w:b/>
                <w:bCs/>
                <w:color w:val="auto"/>
                <w:highlight w:val="none"/>
                <w:lang w:val="en-US" w:eastAsia="zh-CN"/>
              </w:rPr>
            </w:pPr>
            <w:r>
              <w:rPr>
                <w:rFonts w:hint="eastAsia"/>
                <w:b/>
                <w:bCs/>
                <w:color w:val="auto"/>
                <w:highlight w:val="none"/>
                <w:lang w:val="en-US" w:eastAsia="zh-CN"/>
              </w:rPr>
              <w:t>废水</w:t>
            </w:r>
          </w:p>
          <w:p w14:paraId="1A4C399D">
            <w:pPr>
              <w:bidi w:val="0"/>
              <w:rPr>
                <w:rFonts w:hint="default"/>
                <w:b/>
                <w:bCs/>
                <w:color w:val="auto"/>
                <w:highlight w:val="none"/>
                <w:lang w:val="en-US" w:eastAsia="zh-CN"/>
              </w:rPr>
            </w:pPr>
            <w:r>
              <w:rPr>
                <w:rFonts w:hint="eastAsia"/>
                <w:b/>
                <w:bCs/>
                <w:color w:val="auto"/>
                <w:highlight w:val="none"/>
                <w:lang w:val="en-US" w:eastAsia="zh-CN"/>
              </w:rPr>
              <w:t>2.1废水污染源及治理设施</w:t>
            </w:r>
          </w:p>
          <w:p w14:paraId="6A8555C6">
            <w:pPr>
              <w:bidi w:val="0"/>
              <w:rPr>
                <w:rFonts w:hint="eastAsia"/>
                <w:color w:val="auto"/>
                <w:highlight w:val="none"/>
                <w:lang w:val="en-US" w:eastAsia="zh-CN"/>
              </w:rPr>
            </w:pPr>
            <w:r>
              <w:rPr>
                <w:rFonts w:hint="eastAsia"/>
                <w:color w:val="auto"/>
                <w:highlight w:val="none"/>
                <w:lang w:val="en-US" w:eastAsia="zh-CN"/>
              </w:rPr>
              <w:t>本项目废水主要为食堂废水，</w:t>
            </w:r>
            <w:r>
              <w:rPr>
                <w:rFonts w:hint="eastAsia"/>
                <w:color w:val="auto"/>
                <w:sz w:val="24"/>
                <w:szCs w:val="24"/>
                <w:highlight w:val="none"/>
                <w:lang w:val="en-US" w:eastAsia="zh-CN"/>
              </w:rPr>
              <w:t>食堂废水经油水分离器隔油后，与其他生活污水一起排入市政污水管网，</w:t>
            </w:r>
            <w:r>
              <w:rPr>
                <w:rFonts w:hint="eastAsia"/>
                <w:color w:val="auto"/>
                <w:highlight w:val="none"/>
                <w:lang w:val="en-US" w:eastAsia="zh-CN"/>
              </w:rPr>
              <w:t>最终进入西郊污水处理厂处理。</w:t>
            </w:r>
          </w:p>
          <w:p w14:paraId="5F981522">
            <w:pPr>
              <w:bidi w:val="0"/>
              <w:rPr>
                <w:rFonts w:hint="eastAsia" w:eastAsia="宋体"/>
                <w:color w:val="auto"/>
                <w:highlight w:val="none"/>
                <w:lang w:val="en-US" w:eastAsia="zh-CN"/>
              </w:rPr>
            </w:pPr>
            <w:r>
              <w:rPr>
                <w:rFonts w:hint="eastAsia"/>
                <w:color w:val="auto"/>
                <w:highlight w:val="none"/>
                <w:lang w:val="en-US" w:eastAsia="zh-CN"/>
              </w:rPr>
              <w:t>根据工程分析，本项目建成后全厂生活污水（含食堂废水）产生量为12.8</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w:t>
            </w:r>
            <w:r>
              <w:rPr>
                <w:rFonts w:hint="default"/>
                <w:color w:val="auto"/>
                <w:highlight w:val="none"/>
              </w:rPr>
              <w:t>（</w:t>
            </w:r>
            <w:r>
              <w:rPr>
                <w:rFonts w:hint="eastAsia"/>
                <w:color w:val="auto"/>
                <w:highlight w:val="none"/>
                <w:lang w:val="en-US" w:eastAsia="zh-CN"/>
              </w:rPr>
              <w:t>3200</w:t>
            </w:r>
            <w:r>
              <w:rPr>
                <w:rFonts w:hint="default"/>
                <w:color w:val="auto"/>
                <w:highlight w:val="none"/>
              </w:rPr>
              <w:t>m</w:t>
            </w:r>
            <w:r>
              <w:rPr>
                <w:rFonts w:hint="default"/>
                <w:color w:val="auto"/>
                <w:highlight w:val="none"/>
                <w:vertAlign w:val="superscript"/>
              </w:rPr>
              <w:t>3</w:t>
            </w:r>
            <w:r>
              <w:rPr>
                <w:rFonts w:hint="default"/>
                <w:color w:val="auto"/>
                <w:highlight w:val="none"/>
              </w:rPr>
              <w:t>/a）</w:t>
            </w:r>
            <w:r>
              <w:rPr>
                <w:rFonts w:hint="eastAsia"/>
                <w:color w:val="auto"/>
                <w:highlight w:val="none"/>
                <w:lang w:eastAsia="zh-CN"/>
              </w:rPr>
              <w:t>，</w:t>
            </w:r>
            <w:r>
              <w:rPr>
                <w:rFonts w:hint="eastAsia"/>
                <w:color w:val="auto"/>
                <w:highlight w:val="none"/>
                <w:lang w:val="en-US" w:eastAsia="zh-CN"/>
              </w:rPr>
              <w:t>类比其他同类项目，生活污水主要污染物及浓度为，</w:t>
            </w:r>
            <w:r>
              <w:rPr>
                <w:rFonts w:hint="eastAsia" w:ascii="Times New Roman" w:hAnsi="Times New Roman" w:cs="Times New Roman"/>
                <w:color w:val="auto"/>
                <w:sz w:val="24"/>
                <w:szCs w:val="24"/>
                <w:highlight w:val="none"/>
                <w:lang w:val="en-US" w:eastAsia="zh-CN"/>
              </w:rPr>
              <w:t>pH：6-9、</w:t>
            </w:r>
            <w:r>
              <w:rPr>
                <w:rFonts w:hint="eastAsia"/>
                <w:color w:val="auto"/>
                <w:highlight w:val="none"/>
                <w:lang w:val="en-US" w:eastAsia="zh-CN"/>
              </w:rPr>
              <w:t>COD：</w:t>
            </w:r>
            <w:r>
              <w:rPr>
                <w:rFonts w:hint="default" w:ascii="Times New Roman" w:hAnsi="Times New Roman" w:cs="Times New Roman"/>
                <w:color w:val="auto"/>
                <w:kern w:val="24"/>
                <w:sz w:val="24"/>
                <w:highlight w:val="none"/>
              </w:rPr>
              <w:t>3</w:t>
            </w:r>
            <w:r>
              <w:rPr>
                <w:rFonts w:hint="eastAsia" w:cs="Times New Roman"/>
                <w:color w:val="auto"/>
                <w:kern w:val="24"/>
                <w:sz w:val="24"/>
                <w:highlight w:val="none"/>
                <w:lang w:val="en-US" w:eastAsia="zh-CN"/>
              </w:rPr>
              <w:t>0</w:t>
            </w:r>
            <w:r>
              <w:rPr>
                <w:rFonts w:hint="default" w:ascii="Times New Roman" w:hAnsi="Times New Roman" w:cs="Times New Roman"/>
                <w:color w:val="auto"/>
                <w:kern w:val="24"/>
                <w:sz w:val="24"/>
                <w:highlight w:val="none"/>
              </w:rPr>
              <w:t>0mg/L、</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：200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SS：</w:t>
            </w:r>
            <w:r>
              <w:rPr>
                <w:rFonts w:hint="eastAsia" w:cs="Times New Roman"/>
                <w:color w:val="auto"/>
                <w:kern w:val="24"/>
                <w:sz w:val="24"/>
                <w:highlight w:val="none"/>
                <w:lang w:val="en-US" w:eastAsia="zh-CN"/>
              </w:rPr>
              <w:t>2</w:t>
            </w:r>
            <w:r>
              <w:rPr>
                <w:rFonts w:hint="default" w:ascii="Times New Roman" w:hAnsi="Times New Roman" w:cs="Times New Roman"/>
                <w:color w:val="auto"/>
                <w:kern w:val="24"/>
                <w:sz w:val="24"/>
                <w:highlight w:val="none"/>
              </w:rPr>
              <w:t>00mg/L、</w:t>
            </w:r>
            <w:r>
              <w:rPr>
                <w:rFonts w:hint="eastAsia" w:ascii="Times New Roman" w:hAnsi="Times New Roman" w:cs="Times New Roman"/>
                <w:color w:val="auto"/>
                <w:kern w:val="24"/>
                <w:sz w:val="24"/>
                <w:highlight w:val="none"/>
                <w:lang w:val="en-US" w:eastAsia="zh-CN"/>
              </w:rPr>
              <w:t>氨氮：25</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总氮：30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eastAsia="zh-CN"/>
              </w:rPr>
              <w:t>、</w:t>
            </w:r>
            <w:r>
              <w:rPr>
                <w:rFonts w:hint="eastAsia" w:ascii="Times New Roman" w:hAnsi="Times New Roman" w:cs="Times New Roman"/>
                <w:color w:val="auto"/>
                <w:kern w:val="24"/>
                <w:sz w:val="24"/>
                <w:highlight w:val="none"/>
                <w:lang w:val="en-US" w:eastAsia="zh-CN"/>
              </w:rPr>
              <w:t>总磷：2</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eastAsia="zh-CN"/>
              </w:rPr>
              <w:t>，</w:t>
            </w:r>
            <w:r>
              <w:rPr>
                <w:rFonts w:hint="eastAsia" w:ascii="Times New Roman" w:hAnsi="Times New Roman" w:cs="Times New Roman"/>
                <w:color w:val="auto"/>
                <w:kern w:val="24"/>
                <w:sz w:val="24"/>
                <w:highlight w:val="none"/>
                <w:lang w:val="en-US" w:eastAsia="zh-CN"/>
              </w:rPr>
              <w:t>动植物油：20mg/L（经油水分离器隔油后浓度），</w:t>
            </w:r>
            <w:r>
              <w:rPr>
                <w:rFonts w:hint="eastAsia" w:cs="Times New Roman"/>
                <w:color w:val="auto"/>
                <w:kern w:val="24"/>
                <w:sz w:val="24"/>
                <w:highlight w:val="none"/>
                <w:lang w:val="en-US" w:eastAsia="zh-CN"/>
              </w:rPr>
              <w:t>排放量为</w:t>
            </w:r>
            <w:r>
              <w:rPr>
                <w:rFonts w:hint="eastAsia"/>
                <w:color w:val="auto"/>
                <w:highlight w:val="none"/>
                <w:lang w:val="en-US" w:eastAsia="zh-CN"/>
              </w:rPr>
              <w:t>COD：</w:t>
            </w:r>
            <w:r>
              <w:rPr>
                <w:rFonts w:hint="eastAsia" w:cs="Times New Roman"/>
                <w:color w:val="auto"/>
                <w:kern w:val="24"/>
                <w:sz w:val="24"/>
                <w:highlight w:val="none"/>
                <w:lang w:val="en-US" w:eastAsia="zh-CN"/>
              </w:rPr>
              <w:t>0.960t/a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w:t>
            </w:r>
            <w:r>
              <w:rPr>
                <w:rFonts w:hint="eastAsia" w:cs="Times New Roman"/>
                <w:color w:val="auto"/>
                <w:kern w:val="24"/>
                <w:sz w:val="24"/>
                <w:highlight w:val="none"/>
                <w:lang w:val="en-US" w:eastAsia="zh-CN"/>
              </w:rPr>
              <w:t>0.640t/a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SS：</w:t>
            </w:r>
            <w:r>
              <w:rPr>
                <w:rFonts w:hint="eastAsia" w:cs="Times New Roman"/>
                <w:color w:val="auto"/>
                <w:kern w:val="24"/>
                <w:sz w:val="24"/>
                <w:highlight w:val="none"/>
                <w:lang w:val="en-US" w:eastAsia="zh-CN"/>
              </w:rPr>
              <w:t>0.640t/a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氨氮：</w:t>
            </w:r>
            <w:r>
              <w:rPr>
                <w:rFonts w:hint="eastAsia" w:cs="Times New Roman"/>
                <w:color w:val="auto"/>
                <w:kern w:val="24"/>
                <w:sz w:val="24"/>
                <w:highlight w:val="none"/>
                <w:lang w:val="en-US" w:eastAsia="zh-CN"/>
              </w:rPr>
              <w:t>0.080t/a</w:t>
            </w:r>
            <w:r>
              <w:rPr>
                <w:rFonts w:hint="default" w:ascii="Times New Roman" w:hAnsi="Times New Roman" w:cs="Times New Roman"/>
                <w:color w:val="auto"/>
                <w:kern w:val="24"/>
                <w:sz w:val="24"/>
                <w:highlight w:val="none"/>
              </w:rPr>
              <w:t>、</w:t>
            </w:r>
            <w:r>
              <w:rPr>
                <w:rFonts w:hint="eastAsia" w:ascii="Times New Roman" w:hAnsi="Times New Roman" w:cs="Times New Roman"/>
                <w:color w:val="auto"/>
                <w:kern w:val="24"/>
                <w:sz w:val="24"/>
                <w:highlight w:val="none"/>
                <w:lang w:val="en-US" w:eastAsia="zh-CN"/>
              </w:rPr>
              <w:t>总氮：</w:t>
            </w:r>
            <w:r>
              <w:rPr>
                <w:rFonts w:hint="eastAsia" w:cs="Times New Roman"/>
                <w:color w:val="auto"/>
                <w:kern w:val="24"/>
                <w:sz w:val="24"/>
                <w:highlight w:val="none"/>
                <w:lang w:val="en-US" w:eastAsia="zh-CN"/>
              </w:rPr>
              <w:t>0.096t/a</w:t>
            </w:r>
            <w:r>
              <w:rPr>
                <w:rFonts w:hint="eastAsia" w:ascii="Times New Roman" w:hAnsi="Times New Roman" w:cs="Times New Roman"/>
                <w:color w:val="auto"/>
                <w:kern w:val="24"/>
                <w:sz w:val="24"/>
                <w:highlight w:val="none"/>
                <w:lang w:eastAsia="zh-CN"/>
              </w:rPr>
              <w:t>、</w:t>
            </w:r>
            <w:r>
              <w:rPr>
                <w:rFonts w:hint="eastAsia" w:ascii="Times New Roman" w:hAnsi="Times New Roman" w:cs="Times New Roman"/>
                <w:color w:val="auto"/>
                <w:kern w:val="24"/>
                <w:sz w:val="24"/>
                <w:highlight w:val="none"/>
                <w:lang w:val="en-US" w:eastAsia="zh-CN"/>
              </w:rPr>
              <w:t>总磷：</w:t>
            </w:r>
            <w:r>
              <w:rPr>
                <w:rFonts w:hint="eastAsia" w:cs="Times New Roman"/>
                <w:color w:val="auto"/>
                <w:kern w:val="24"/>
                <w:sz w:val="24"/>
                <w:highlight w:val="none"/>
                <w:lang w:val="en-US" w:eastAsia="zh-CN"/>
              </w:rPr>
              <w:t>0.006t/a、</w:t>
            </w:r>
            <w:r>
              <w:rPr>
                <w:rFonts w:hint="eastAsia" w:ascii="Times New Roman" w:hAnsi="Times New Roman" w:cs="Times New Roman"/>
                <w:color w:val="auto"/>
                <w:kern w:val="24"/>
                <w:sz w:val="24"/>
                <w:highlight w:val="none"/>
                <w:lang w:val="en-US" w:eastAsia="zh-CN"/>
              </w:rPr>
              <w:t>动植物油：</w:t>
            </w:r>
            <w:r>
              <w:rPr>
                <w:rFonts w:hint="eastAsia" w:cs="Times New Roman"/>
                <w:color w:val="auto"/>
                <w:kern w:val="24"/>
                <w:sz w:val="24"/>
                <w:highlight w:val="none"/>
                <w:lang w:val="en-US" w:eastAsia="zh-CN"/>
              </w:rPr>
              <w:t>0.640t/a，</w:t>
            </w:r>
            <w:r>
              <w:rPr>
                <w:rFonts w:hint="eastAsia" w:ascii="Times New Roman" w:hAnsi="Times New Roman" w:cs="Times New Roman"/>
                <w:color w:val="auto"/>
                <w:kern w:val="24"/>
                <w:sz w:val="24"/>
                <w:highlight w:val="none"/>
                <w:lang w:val="en-US" w:eastAsia="zh-CN"/>
              </w:rPr>
              <w:t>满足</w:t>
            </w:r>
            <w:r>
              <w:rPr>
                <w:rFonts w:hint="eastAsia"/>
                <w:color w:val="auto"/>
                <w:highlight w:val="none"/>
                <w:lang w:val="en-US" w:eastAsia="zh-CN"/>
              </w:rPr>
              <w:t>《污水综合排放标准》（GB8978</w:t>
            </w:r>
            <w:r>
              <w:rPr>
                <w:rFonts w:hint="eastAsia" w:ascii="宋体" w:hAnsi="宋体" w:eastAsia="宋体" w:cs="宋体"/>
                <w:color w:val="auto"/>
                <w:highlight w:val="none"/>
                <w:lang w:val="en-US" w:eastAsia="zh-CN"/>
              </w:rPr>
              <w:t>－</w:t>
            </w:r>
            <w:r>
              <w:rPr>
                <w:rFonts w:hint="eastAsia"/>
                <w:color w:val="auto"/>
                <w:highlight w:val="none"/>
                <w:lang w:val="en-US" w:eastAsia="zh-CN"/>
              </w:rPr>
              <w:t>1996）表4中三级标准，氨氮、总氮、总磷满足《污水排入城镇下水道水质标准》（GB/T31962</w:t>
            </w:r>
            <w:r>
              <w:rPr>
                <w:rFonts w:hint="eastAsia" w:ascii="宋体" w:hAnsi="宋体" w:eastAsia="宋体" w:cs="宋体"/>
                <w:color w:val="auto"/>
                <w:highlight w:val="none"/>
                <w:lang w:val="en-US" w:eastAsia="zh-CN"/>
              </w:rPr>
              <w:t>－</w:t>
            </w:r>
            <w:r>
              <w:rPr>
                <w:rFonts w:hint="eastAsia"/>
                <w:color w:val="auto"/>
                <w:highlight w:val="none"/>
                <w:lang w:val="en-US" w:eastAsia="zh-CN"/>
              </w:rPr>
              <w:t>2015）中限值要求，同时满足西郊污水处理厂进水水质要求：</w:t>
            </w:r>
            <w:r>
              <w:rPr>
                <w:rFonts w:hint="eastAsia" w:ascii="Times New Roman" w:hAnsi="Times New Roman" w:cs="Times New Roman"/>
                <w:color w:val="auto"/>
                <w:sz w:val="24"/>
                <w:szCs w:val="24"/>
                <w:highlight w:val="none"/>
                <w:lang w:val="en-US" w:eastAsia="zh-CN"/>
              </w:rPr>
              <w:t>pH：6-9、</w:t>
            </w:r>
            <w:r>
              <w:rPr>
                <w:rFonts w:hint="eastAsia"/>
                <w:color w:val="auto"/>
                <w:highlight w:val="none"/>
                <w:lang w:val="en-US" w:eastAsia="zh-CN"/>
              </w:rPr>
              <w:t>COD：</w:t>
            </w:r>
            <w:r>
              <w:rPr>
                <w:rFonts w:hint="eastAsia" w:ascii="Times New Roman" w:hAnsi="Times New Roman" w:cs="Times New Roman"/>
                <w:color w:val="auto"/>
                <w:kern w:val="24"/>
                <w:sz w:val="24"/>
                <w:highlight w:val="none"/>
                <w:lang w:val="en-US" w:eastAsia="zh-CN"/>
              </w:rPr>
              <w:t>425</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BOD</w:t>
            </w:r>
            <w:r>
              <w:rPr>
                <w:rFonts w:hint="eastAsia" w:ascii="Times New Roman" w:hAnsi="Times New Roman" w:cs="Times New Roman"/>
                <w:color w:val="auto"/>
                <w:kern w:val="24"/>
                <w:sz w:val="24"/>
                <w:highlight w:val="none"/>
                <w:vertAlign w:val="subscript"/>
                <w:lang w:val="en-US" w:eastAsia="zh-CN"/>
              </w:rPr>
              <w:t>5</w:t>
            </w:r>
            <w:r>
              <w:rPr>
                <w:rFonts w:hint="eastAsia" w:ascii="Times New Roman" w:hAnsi="Times New Roman" w:cs="Times New Roman"/>
                <w:color w:val="auto"/>
                <w:kern w:val="24"/>
                <w:sz w:val="24"/>
                <w:highlight w:val="none"/>
                <w:lang w:val="en-US" w:eastAsia="zh-CN"/>
              </w:rPr>
              <w:t>：225</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SS：</w:t>
            </w:r>
            <w:r>
              <w:rPr>
                <w:rFonts w:hint="eastAsia" w:cs="Times New Roman"/>
                <w:color w:val="auto"/>
                <w:kern w:val="24"/>
                <w:sz w:val="24"/>
                <w:highlight w:val="none"/>
                <w:lang w:val="en-US" w:eastAsia="zh-CN"/>
              </w:rPr>
              <w:t>300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氨氮：45</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val="en-US" w:eastAsia="zh-CN"/>
              </w:rPr>
              <w:t>总氮：70</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eastAsia="zh-CN"/>
              </w:rPr>
              <w:t>、</w:t>
            </w:r>
            <w:r>
              <w:rPr>
                <w:rFonts w:hint="eastAsia" w:ascii="Times New Roman" w:hAnsi="Times New Roman" w:cs="Times New Roman"/>
                <w:color w:val="auto"/>
                <w:kern w:val="24"/>
                <w:sz w:val="24"/>
                <w:highlight w:val="none"/>
                <w:lang w:val="en-US" w:eastAsia="zh-CN"/>
              </w:rPr>
              <w:t>总磷：3</w:t>
            </w:r>
            <w:r>
              <w:rPr>
                <w:rFonts w:hint="default" w:ascii="Times New Roman" w:hAnsi="Times New Roman" w:cs="Times New Roman"/>
                <w:color w:val="auto"/>
                <w:kern w:val="24"/>
                <w:sz w:val="24"/>
                <w:highlight w:val="none"/>
              </w:rPr>
              <w:t>mg/L</w:t>
            </w:r>
            <w:r>
              <w:rPr>
                <w:rFonts w:hint="eastAsia" w:ascii="Times New Roman" w:hAnsi="Times New Roman" w:cs="Times New Roman"/>
                <w:color w:val="auto"/>
                <w:kern w:val="24"/>
                <w:sz w:val="24"/>
                <w:highlight w:val="none"/>
                <w:lang w:eastAsia="zh-CN"/>
              </w:rPr>
              <w:t>。</w:t>
            </w:r>
          </w:p>
          <w:p w14:paraId="254458BE">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highlight w:val="none"/>
                <w:lang w:val="en-US" w:eastAsia="zh-CN"/>
              </w:rPr>
            </w:pPr>
            <w:r>
              <w:rPr>
                <w:rFonts w:hint="eastAsia"/>
                <w:b/>
                <w:bCs/>
                <w:color w:val="auto"/>
                <w:highlight w:val="none"/>
                <w:lang w:val="en-US" w:eastAsia="zh-CN"/>
              </w:rPr>
              <w:t>2.2依托集中污水处理厂可行性分析</w:t>
            </w:r>
          </w:p>
          <w:p w14:paraId="530314C2">
            <w:pPr>
              <w:bidi w:val="0"/>
              <w:rPr>
                <w:rFonts w:ascii="Times New Roman" w:hAnsi="Times New Roman" w:cs="Times New Roman"/>
                <w:color w:val="auto"/>
                <w:highlight w:val="none"/>
                <w:lang w:val="en-US"/>
              </w:rPr>
            </w:pPr>
            <w:r>
              <w:rPr>
                <w:rFonts w:ascii="Times New Roman" w:hAnsi="Times New Roman" w:cs="Times New Roman"/>
                <w:color w:val="auto"/>
                <w:highlight w:val="none"/>
                <w:lang w:val="en-US"/>
              </w:rPr>
              <w:t>唐山市西郊污水处理厂（老厂）位于唐山市路南区西电路北侧，青龙河西侧，污水处理能力3.6万m</w:t>
            </w:r>
            <w:r>
              <w:rPr>
                <w:rFonts w:ascii="Times New Roman" w:hAnsi="Times New Roman" w:cs="Times New Roman"/>
                <w:color w:val="auto"/>
                <w:highlight w:val="none"/>
                <w:vertAlign w:val="superscript"/>
                <w:lang w:val="en-US"/>
              </w:rPr>
              <w:t>3</w:t>
            </w:r>
            <w:r>
              <w:rPr>
                <w:rFonts w:ascii="Times New Roman" w:hAnsi="Times New Roman" w:cs="Times New Roman"/>
                <w:color w:val="auto"/>
                <w:highlight w:val="none"/>
                <w:lang w:val="en-US"/>
              </w:rPr>
              <w:t>/d，于1985年建成投入运行，因设备老化早已停止运行；原西郊污水处理二厂污水处理能力12万m</w:t>
            </w:r>
            <w:r>
              <w:rPr>
                <w:rFonts w:ascii="Times New Roman" w:hAnsi="Times New Roman" w:cs="Times New Roman"/>
                <w:color w:val="auto"/>
                <w:highlight w:val="none"/>
                <w:vertAlign w:val="superscript"/>
                <w:lang w:val="en-US"/>
              </w:rPr>
              <w:t>3</w:t>
            </w:r>
            <w:r>
              <w:rPr>
                <w:rFonts w:ascii="Times New Roman" w:hAnsi="Times New Roman" w:cs="Times New Roman"/>
                <w:color w:val="auto"/>
                <w:highlight w:val="none"/>
                <w:lang w:val="en-US"/>
              </w:rPr>
              <w:t>/d，于2005年建成投入运行，出水标准为国家二级出水标准。2013年，对原唐山西郊污水处理厂（老厂）和原西郊污水处理厂二厂进行整体升级改造，即为现状唐山市西郊污水处理厂，规划总规模 20万m</w:t>
            </w:r>
            <w:r>
              <w:rPr>
                <w:rFonts w:ascii="Times New Roman" w:hAnsi="Times New Roman" w:cs="Times New Roman"/>
                <w:color w:val="auto"/>
                <w:highlight w:val="none"/>
                <w:vertAlign w:val="superscript"/>
                <w:lang w:val="en-US"/>
              </w:rPr>
              <w:t>3</w:t>
            </w:r>
            <w:r>
              <w:rPr>
                <w:rFonts w:ascii="Times New Roman" w:hAnsi="Times New Roman" w:cs="Times New Roman"/>
                <w:color w:val="auto"/>
                <w:highlight w:val="none"/>
                <w:lang w:val="en-US"/>
              </w:rPr>
              <w:t>/d，设计规模16万m</w:t>
            </w:r>
            <w:r>
              <w:rPr>
                <w:rFonts w:ascii="Times New Roman" w:hAnsi="Times New Roman" w:cs="Times New Roman"/>
                <w:color w:val="auto"/>
                <w:highlight w:val="none"/>
                <w:vertAlign w:val="superscript"/>
                <w:lang w:val="en-US"/>
              </w:rPr>
              <w:t>3</w:t>
            </w:r>
            <w:r>
              <w:rPr>
                <w:rFonts w:ascii="Times New Roman" w:hAnsi="Times New Roman" w:cs="Times New Roman"/>
                <w:color w:val="auto"/>
                <w:highlight w:val="none"/>
                <w:lang w:val="en-US"/>
              </w:rPr>
              <w:t>/d，现状处理规模12万m</w:t>
            </w:r>
            <w:r>
              <w:rPr>
                <w:rFonts w:ascii="Times New Roman" w:hAnsi="Times New Roman" w:cs="Times New Roman"/>
                <w:color w:val="auto"/>
                <w:highlight w:val="none"/>
                <w:vertAlign w:val="superscript"/>
                <w:lang w:val="en-US"/>
              </w:rPr>
              <w:t>3</w:t>
            </w:r>
            <w:r>
              <w:rPr>
                <w:rFonts w:ascii="Times New Roman" w:hAnsi="Times New Roman" w:cs="Times New Roman"/>
                <w:color w:val="auto"/>
                <w:highlight w:val="none"/>
                <w:lang w:val="en-US"/>
              </w:rPr>
              <w:t>/d，处理后的污水出水水质达到《城镇污水处理厂污染物排放标准》（GB18918-2002）的一级A标准。现状西郊污水处理厂的污水处理采用A</w:t>
            </w:r>
            <w:r>
              <w:rPr>
                <w:rFonts w:ascii="Times New Roman" w:hAnsi="Times New Roman" w:cs="Times New Roman"/>
                <w:color w:val="auto"/>
                <w:highlight w:val="none"/>
                <w:vertAlign w:val="superscript"/>
                <w:lang w:val="en-US"/>
              </w:rPr>
              <w:t>2</w:t>
            </w:r>
            <w:r>
              <w:rPr>
                <w:rFonts w:ascii="Times New Roman" w:hAnsi="Times New Roman" w:cs="Times New Roman"/>
                <w:color w:val="auto"/>
                <w:highlight w:val="none"/>
                <w:lang w:val="en-US"/>
              </w:rPr>
              <w:t>/O工艺；深度处理采用高效沉淀池+转盘滤池过滤工艺；消毒采用二氧化氯消毒工艺；污泥采用重力浓缩+机械脱水工艺，尾水排入青龙河。</w:t>
            </w:r>
          </w:p>
          <w:p w14:paraId="3DD85C81">
            <w:pPr>
              <w:bidi w:val="0"/>
              <w:rPr>
                <w:color w:val="auto"/>
                <w:highlight w:val="none"/>
                <w:lang w:val="en-US"/>
              </w:rPr>
            </w:pPr>
            <w:r>
              <w:rPr>
                <w:color w:val="auto"/>
                <w:highlight w:val="none"/>
                <w:lang w:val="en-US"/>
              </w:rPr>
              <w:t>目前污水厂的出水标准已有提升到地表水类四类水的需求。而处于中心市区的唐山市西郊污水处理厂受用地的限制，难以再找到提标扩建的用地。因此在两方面的需求下，有必要考虑将位于中心市区、提标扩建困难的唐山市西郊污水处理厂迁建至中心市区以外。在此背景下，唐山市城市管理局拟投资129717.63万元建设唐山市西郊污水处理厂迁建工程项目。</w:t>
            </w:r>
          </w:p>
          <w:p w14:paraId="30F0E62E">
            <w:pPr>
              <w:bidi w:val="0"/>
              <w:rPr>
                <w:rFonts w:hint="eastAsia" w:ascii="Times New Roman" w:hAnsi="Times New Roman" w:eastAsia="宋体" w:cs="Times New Roman"/>
                <w:color w:val="auto"/>
                <w:highlight w:val="none"/>
                <w:lang w:val="en-US" w:eastAsia="zh-CN"/>
              </w:rPr>
            </w:pPr>
            <w:r>
              <w:rPr>
                <w:rFonts w:ascii="Times New Roman" w:hAnsi="Times New Roman" w:cs="Times New Roman"/>
                <w:color w:val="auto"/>
                <w:highlight w:val="none"/>
                <w:lang w:val="en-US"/>
              </w:rPr>
              <w:t>迁建的新唐山市西郊污水处理厂位于邱柳线以东、刘各庄东村以南，近期建设规模20万m</w:t>
            </w:r>
            <w:r>
              <w:rPr>
                <w:rFonts w:ascii="Times New Roman" w:hAnsi="Times New Roman" w:cs="Times New Roman"/>
                <w:color w:val="auto"/>
                <w:highlight w:val="none"/>
                <w:vertAlign w:val="superscript"/>
                <w:lang w:val="en-US"/>
              </w:rPr>
              <w:t>3</w:t>
            </w:r>
            <w:r>
              <w:rPr>
                <w:rFonts w:ascii="Times New Roman" w:hAnsi="Times New Roman" w:cs="Times New Roman"/>
                <w:color w:val="auto"/>
                <w:highlight w:val="none"/>
                <w:lang w:val="en-US"/>
              </w:rPr>
              <w:t>/d，远期总规模30万m</w:t>
            </w:r>
            <w:r>
              <w:rPr>
                <w:rFonts w:ascii="Times New Roman" w:hAnsi="Times New Roman" w:cs="Times New Roman"/>
                <w:color w:val="auto"/>
                <w:highlight w:val="none"/>
                <w:vertAlign w:val="superscript"/>
                <w:lang w:val="en-US"/>
              </w:rPr>
              <w:t>3</w:t>
            </w:r>
            <w:r>
              <w:rPr>
                <w:rFonts w:ascii="Times New Roman" w:hAnsi="Times New Roman" w:cs="Times New Roman"/>
                <w:color w:val="auto"/>
                <w:highlight w:val="none"/>
                <w:lang w:val="en-US"/>
              </w:rPr>
              <w:t>/d，占地约330亩。根据西郊污水处理厂迁建项目环境影响评价报告，污水处理厂迁建完成后，出水水质参照执行北京市地方标准《城镇污水处理厂水污染物排放标准》（DB11/890-2012）表1中的B标准。迁建西郊污水处理厂污水处理主体工艺采用</w:t>
            </w:r>
            <w:r>
              <w:rPr>
                <w:rFonts w:hint="eastAsia" w:ascii="宋体" w:hAnsi="宋体" w:eastAsia="宋体" w:cs="宋体"/>
                <w:color w:val="auto"/>
                <w:highlight w:val="none"/>
                <w:lang w:val="en-US"/>
              </w:rPr>
              <w:t>“格栅+曝气沉砂池+多点进水多段</w:t>
            </w:r>
            <w:r>
              <w:rPr>
                <w:rFonts w:hint="default" w:ascii="Times New Roman" w:hAnsi="Times New Roman" w:eastAsia="宋体" w:cs="Times New Roman"/>
                <w:color w:val="auto"/>
                <w:highlight w:val="none"/>
                <w:lang w:val="en-US"/>
              </w:rPr>
              <w:t>AAO</w:t>
            </w:r>
            <w:r>
              <w:rPr>
                <w:rFonts w:hint="eastAsia" w:ascii="宋体" w:hAnsi="宋体" w:eastAsia="宋体" w:cs="宋体"/>
                <w:color w:val="auto"/>
                <w:highlight w:val="none"/>
                <w:lang w:val="en-US"/>
              </w:rPr>
              <w:t>生化池（预留远期生物填料强化可能）</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rPr>
              <w:t>圆形周进周出二沉池+高效沉淀池+深床滤池+臭氧+次氯酸钠消毒工艺”</w:t>
            </w:r>
            <w:r>
              <w:rPr>
                <w:rFonts w:ascii="Times New Roman" w:hAnsi="Times New Roman" w:cs="Times New Roman"/>
                <w:color w:val="auto"/>
                <w:highlight w:val="none"/>
                <w:lang w:val="en-US"/>
              </w:rPr>
              <w:t>，污泥处理工艺采用</w:t>
            </w:r>
            <w:r>
              <w:rPr>
                <w:rFonts w:hint="eastAsia" w:ascii="宋体" w:hAnsi="宋体" w:eastAsia="宋体" w:cs="宋体"/>
                <w:color w:val="auto"/>
                <w:highlight w:val="none"/>
                <w:lang w:val="en-US"/>
              </w:rPr>
              <w:t>“重力浓缩+机械离心脱水”</w:t>
            </w:r>
            <w:r>
              <w:rPr>
                <w:rFonts w:ascii="Times New Roman" w:hAnsi="Times New Roman" w:cs="Times New Roman"/>
                <w:color w:val="auto"/>
                <w:highlight w:val="none"/>
                <w:lang w:val="en-US"/>
              </w:rPr>
              <w:t>。收水范围为建设路以西地区，包括站西区、凤凰新城和高新区</w:t>
            </w:r>
            <w:r>
              <w:rPr>
                <w:rFonts w:hint="eastAsia" w:ascii="Times New Roman" w:hAnsi="Times New Roman" w:cs="Times New Roman"/>
                <w:color w:val="auto"/>
                <w:highlight w:val="none"/>
                <w:lang w:val="en-US" w:eastAsia="zh-CN"/>
              </w:rPr>
              <w:t>。</w:t>
            </w:r>
          </w:p>
          <w:p w14:paraId="2664B3B8">
            <w:pPr>
              <w:bidi w:val="0"/>
              <w:rPr>
                <w:color w:val="auto"/>
                <w:sz w:val="24"/>
                <w:highlight w:val="none"/>
              </w:rPr>
            </w:pPr>
            <w:r>
              <w:rPr>
                <w:rFonts w:hint="eastAsia"/>
                <w:color w:val="auto"/>
                <w:kern w:val="24"/>
                <w:sz w:val="24"/>
                <w:highlight w:val="none"/>
                <w:lang w:val="en-US" w:eastAsia="zh-CN"/>
              </w:rPr>
              <w:t>本项目位于西郊污水处理厂</w:t>
            </w:r>
            <w:r>
              <w:rPr>
                <w:rFonts w:hint="eastAsia"/>
                <w:color w:val="auto"/>
                <w:sz w:val="24"/>
                <w:highlight w:val="none"/>
                <w:lang w:val="en-US" w:eastAsia="zh-CN"/>
              </w:rPr>
              <w:t>收水范围内，新增废水排放量为</w:t>
            </w:r>
            <w:r>
              <w:rPr>
                <w:rFonts w:hint="eastAsia"/>
                <w:color w:val="auto"/>
                <w:sz w:val="24"/>
                <w:szCs w:val="24"/>
                <w:highlight w:val="none"/>
                <w:lang w:val="en-US" w:eastAsia="zh-CN"/>
              </w:rPr>
              <w:t>3.2m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/d（800m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/a），本项目建成后全厂</w:t>
            </w:r>
            <w:r>
              <w:rPr>
                <w:rFonts w:hint="eastAsia"/>
                <w:color w:val="auto"/>
                <w:kern w:val="24"/>
                <w:sz w:val="24"/>
                <w:highlight w:val="none"/>
                <w:lang w:val="en-US" w:eastAsia="zh-CN"/>
              </w:rPr>
              <w:t>废水排放量为</w:t>
            </w:r>
            <w:r>
              <w:rPr>
                <w:rFonts w:hint="eastAsia"/>
                <w:color w:val="auto"/>
                <w:highlight w:val="none"/>
                <w:lang w:val="en-US" w:eastAsia="zh-CN"/>
              </w:rPr>
              <w:t>12.8</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w:t>
            </w:r>
            <w:r>
              <w:rPr>
                <w:rFonts w:hint="default"/>
                <w:color w:val="auto"/>
                <w:highlight w:val="none"/>
              </w:rPr>
              <w:t>（</w:t>
            </w:r>
            <w:r>
              <w:rPr>
                <w:rFonts w:hint="eastAsia"/>
                <w:color w:val="auto"/>
                <w:highlight w:val="none"/>
                <w:lang w:val="en-US" w:eastAsia="zh-CN"/>
              </w:rPr>
              <w:t>3200</w:t>
            </w:r>
            <w:r>
              <w:rPr>
                <w:rFonts w:hint="default"/>
                <w:color w:val="auto"/>
                <w:highlight w:val="none"/>
              </w:rPr>
              <w:t>m</w:t>
            </w:r>
            <w:r>
              <w:rPr>
                <w:rFonts w:hint="default"/>
                <w:color w:val="auto"/>
                <w:highlight w:val="none"/>
                <w:vertAlign w:val="superscript"/>
              </w:rPr>
              <w:t>3</w:t>
            </w:r>
            <w:r>
              <w:rPr>
                <w:rFonts w:hint="default"/>
                <w:color w:val="auto"/>
                <w:highlight w:val="none"/>
              </w:rPr>
              <w:t>/a）</w:t>
            </w:r>
            <w:r>
              <w:rPr>
                <w:rFonts w:hint="eastAsia"/>
                <w:color w:val="auto"/>
                <w:sz w:val="24"/>
                <w:highlight w:val="none"/>
                <w:lang w:eastAsia="zh-CN"/>
              </w:rPr>
              <w:t>，</w:t>
            </w:r>
            <w:r>
              <w:rPr>
                <w:color w:val="auto"/>
                <w:kern w:val="24"/>
                <w:sz w:val="24"/>
                <w:highlight w:val="none"/>
                <w:lang w:val="zh-CN"/>
              </w:rPr>
              <w:t>各污染物</w:t>
            </w:r>
            <w:r>
              <w:rPr>
                <w:rFonts w:hint="eastAsia"/>
                <w:color w:val="auto"/>
                <w:kern w:val="24"/>
                <w:sz w:val="24"/>
                <w:highlight w:val="none"/>
                <w:lang w:val="en-US" w:eastAsia="zh-CN"/>
              </w:rPr>
              <w:t>排放</w:t>
            </w:r>
            <w:r>
              <w:rPr>
                <w:color w:val="auto"/>
                <w:kern w:val="24"/>
                <w:sz w:val="24"/>
                <w:highlight w:val="none"/>
                <w:lang w:val="zh-CN"/>
              </w:rPr>
              <w:t>浓度</w:t>
            </w:r>
            <w:r>
              <w:rPr>
                <w:rFonts w:hint="eastAsia"/>
                <w:snapToGrid w:val="0"/>
                <w:color w:val="auto"/>
                <w:kern w:val="24"/>
                <w:sz w:val="24"/>
                <w:highlight w:val="none"/>
                <w:lang w:val="en-US" w:eastAsia="zh-CN"/>
              </w:rPr>
              <w:t>满足西郊</w:t>
            </w:r>
            <w:r>
              <w:rPr>
                <w:snapToGrid w:val="0"/>
                <w:color w:val="auto"/>
                <w:kern w:val="24"/>
                <w:sz w:val="24"/>
                <w:highlight w:val="none"/>
              </w:rPr>
              <w:t>污水处理厂进水水质要求</w:t>
            </w:r>
            <w:r>
              <w:rPr>
                <w:rFonts w:hint="eastAsia"/>
                <w:snapToGrid w:val="0"/>
                <w:color w:val="auto"/>
                <w:kern w:val="24"/>
                <w:sz w:val="24"/>
                <w:highlight w:val="none"/>
                <w:lang w:eastAsia="zh-CN"/>
              </w:rPr>
              <w:t>，</w:t>
            </w:r>
            <w:r>
              <w:rPr>
                <w:rFonts w:hint="eastAsia"/>
                <w:snapToGrid w:val="0"/>
                <w:color w:val="auto"/>
                <w:kern w:val="24"/>
                <w:sz w:val="24"/>
                <w:highlight w:val="none"/>
                <w:lang w:val="en-US" w:eastAsia="zh-CN"/>
              </w:rPr>
              <w:t>项目废水排入不会对该污水处理厂运营产生冲击影响</w:t>
            </w:r>
            <w:r>
              <w:rPr>
                <w:rFonts w:hint="eastAsia"/>
                <w:color w:val="auto"/>
                <w:spacing w:val="-8"/>
                <w:kern w:val="24"/>
                <w:sz w:val="24"/>
                <w:highlight w:val="none"/>
                <w:lang w:val="zh-CN"/>
              </w:rPr>
              <w:t>。</w:t>
            </w:r>
            <w:r>
              <w:rPr>
                <w:rFonts w:hint="eastAsia"/>
                <w:color w:val="auto"/>
                <w:spacing w:val="-8"/>
                <w:kern w:val="24"/>
                <w:sz w:val="24"/>
                <w:highlight w:val="none"/>
                <w:lang w:val="en-US" w:eastAsia="zh-CN"/>
              </w:rPr>
              <w:t>因此，</w:t>
            </w:r>
            <w:r>
              <w:rPr>
                <w:rFonts w:hint="default" w:ascii="Times New Roman" w:hAnsi="Times New Roman" w:cs="Times New Roman"/>
                <w:smallCaps w:val="0"/>
                <w:color w:val="auto"/>
                <w:spacing w:val="0"/>
                <w:position w:val="0"/>
                <w:sz w:val="24"/>
                <w:szCs w:val="24"/>
                <w:highlight w:val="none"/>
              </w:rPr>
              <w:t>本项目</w:t>
            </w:r>
            <w:r>
              <w:rPr>
                <w:rFonts w:hint="eastAsia" w:ascii="Times New Roman" w:hAnsi="Times New Roman" w:cs="Times New Roman"/>
                <w:smallCaps w:val="0"/>
                <w:color w:val="auto"/>
                <w:spacing w:val="0"/>
                <w:position w:val="0"/>
                <w:sz w:val="24"/>
                <w:szCs w:val="24"/>
                <w:highlight w:val="none"/>
                <w:lang w:val="en-US" w:eastAsia="zh-CN"/>
              </w:rPr>
              <w:t>生活污水</w:t>
            </w:r>
            <w:r>
              <w:rPr>
                <w:rFonts w:hint="default" w:ascii="Times New Roman" w:hAnsi="Times New Roman" w:cs="Times New Roman"/>
                <w:smallCaps w:val="0"/>
                <w:color w:val="auto"/>
                <w:spacing w:val="0"/>
                <w:position w:val="0"/>
                <w:sz w:val="24"/>
                <w:szCs w:val="24"/>
                <w:highlight w:val="none"/>
              </w:rPr>
              <w:t>排入</w:t>
            </w:r>
            <w:r>
              <w:rPr>
                <w:rFonts w:hint="eastAsia" w:cs="Times New Roman"/>
                <w:smallCaps w:val="0"/>
                <w:color w:val="auto"/>
                <w:spacing w:val="0"/>
                <w:kern w:val="24"/>
                <w:position w:val="0"/>
                <w:sz w:val="24"/>
                <w:szCs w:val="24"/>
                <w:highlight w:val="none"/>
                <w:lang w:val="en-US" w:eastAsia="zh-CN" w:bidi="ar-SA"/>
              </w:rPr>
              <w:t>西郊污水处理厂</w:t>
            </w:r>
            <w:r>
              <w:rPr>
                <w:rFonts w:hint="default" w:ascii="Times New Roman" w:hAnsi="Times New Roman" w:cs="Times New Roman"/>
                <w:smallCaps w:val="0"/>
                <w:color w:val="auto"/>
                <w:spacing w:val="0"/>
                <w:position w:val="0"/>
                <w:sz w:val="24"/>
                <w:szCs w:val="24"/>
                <w:highlight w:val="none"/>
              </w:rPr>
              <w:t>进一步处理是可行的</w:t>
            </w:r>
            <w:r>
              <w:rPr>
                <w:color w:val="auto"/>
                <w:sz w:val="24"/>
                <w:highlight w:val="none"/>
              </w:rPr>
              <w:t>。</w:t>
            </w:r>
          </w:p>
          <w:p w14:paraId="207B5E25">
            <w:pPr>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2.3废水污染物治理设施信息表</w:t>
            </w:r>
          </w:p>
          <w:p w14:paraId="0D441B28">
            <w:pPr>
              <w:bidi w:val="0"/>
              <w:rPr>
                <w:color w:val="auto"/>
                <w:sz w:val="24"/>
                <w:szCs w:val="24"/>
                <w:highlight w:val="none"/>
              </w:rPr>
            </w:pPr>
            <w:r>
              <w:rPr>
                <w:rFonts w:hint="eastAsia"/>
                <w:color w:val="auto"/>
                <w:sz w:val="24"/>
                <w:szCs w:val="24"/>
                <w:highlight w:val="none"/>
              </w:rPr>
              <w:t>（1）</w:t>
            </w:r>
            <w:r>
              <w:rPr>
                <w:color w:val="auto"/>
                <w:sz w:val="24"/>
                <w:szCs w:val="24"/>
                <w:highlight w:val="none"/>
              </w:rPr>
              <w:t>废水类别、污染物及污染物治理设施信息表</w:t>
            </w:r>
            <w:r>
              <w:rPr>
                <w:rFonts w:hint="eastAsia"/>
                <w:color w:val="auto"/>
                <w:sz w:val="24"/>
                <w:szCs w:val="24"/>
                <w:highlight w:val="none"/>
              </w:rPr>
              <w:t>。</w:t>
            </w:r>
          </w:p>
          <w:p w14:paraId="513F8386">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ascii="Times New Roman" w:hAnsi="Times New Roman" w:eastAsia="宋体" w:cs="Times New Roman"/>
                <w:b/>
                <w:color w:val="auto"/>
                <w:spacing w:val="0"/>
                <w:position w:val="0"/>
                <w:sz w:val="24"/>
                <w:szCs w:val="24"/>
                <w:highlight w:val="none"/>
              </w:rPr>
            </w:pPr>
            <w:r>
              <w:rPr>
                <w:rFonts w:ascii="Times New Roman" w:hAnsi="Times New Roman" w:eastAsia="宋体" w:cs="Times New Roman"/>
                <w:b/>
                <w:color w:val="auto"/>
                <w:spacing w:val="0"/>
                <w:position w:val="0"/>
                <w:sz w:val="21"/>
                <w:szCs w:val="21"/>
                <w:highlight w:val="none"/>
              </w:rPr>
              <w:t>表</w:t>
            </w:r>
            <w:r>
              <w:rPr>
                <w:rFonts w:hint="eastAsia" w:cs="Times New Roman"/>
                <w:b/>
                <w:color w:val="auto"/>
                <w:spacing w:val="0"/>
                <w:position w:val="0"/>
                <w:sz w:val="21"/>
                <w:szCs w:val="21"/>
                <w:highlight w:val="none"/>
                <w:lang w:val="en-US" w:eastAsia="zh-CN"/>
              </w:rPr>
              <w:t xml:space="preserve">50  </w:t>
            </w:r>
            <w:r>
              <w:rPr>
                <w:rFonts w:ascii="Times New Roman" w:hAnsi="Times New Roman" w:eastAsia="宋体" w:cs="Times New Roman"/>
                <w:b/>
                <w:color w:val="auto"/>
                <w:spacing w:val="0"/>
                <w:position w:val="0"/>
                <w:sz w:val="21"/>
                <w:szCs w:val="21"/>
                <w:highlight w:val="none"/>
              </w:rPr>
              <w:t>废水类别、污染物及污染物治理设施信息表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446"/>
              <w:gridCol w:w="679"/>
              <w:gridCol w:w="997"/>
              <w:gridCol w:w="1148"/>
              <w:gridCol w:w="1087"/>
              <w:gridCol w:w="815"/>
              <w:gridCol w:w="725"/>
              <w:gridCol w:w="770"/>
              <w:gridCol w:w="529"/>
              <w:gridCol w:w="664"/>
              <w:gridCol w:w="530"/>
            </w:tblGrid>
            <w:tr w14:paraId="09C0E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446" w:type="dxa"/>
                  <w:vMerge w:val="restart"/>
                  <w:noWrap w:val="0"/>
                  <w:vAlign w:val="center"/>
                </w:tcPr>
                <w:p w14:paraId="0E65C2E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序</w:t>
                  </w:r>
                </w:p>
                <w:p w14:paraId="1EDACBD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号</w:t>
                  </w:r>
                </w:p>
              </w:tc>
              <w:tc>
                <w:tcPr>
                  <w:tcW w:w="679" w:type="dxa"/>
                  <w:vMerge w:val="restart"/>
                  <w:noWrap w:val="0"/>
                  <w:vAlign w:val="center"/>
                </w:tcPr>
                <w:p w14:paraId="4C088F8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废水类别</w:t>
                  </w:r>
                </w:p>
              </w:tc>
              <w:tc>
                <w:tcPr>
                  <w:tcW w:w="997" w:type="dxa"/>
                  <w:vMerge w:val="restart"/>
                  <w:noWrap w:val="0"/>
                  <w:vAlign w:val="center"/>
                </w:tcPr>
                <w:p w14:paraId="1E2FE99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bidi="ar"/>
                    </w:rPr>
                  </w:pPr>
                  <w:r>
                    <w:rPr>
                      <w:rFonts w:ascii="Times New Roman" w:hAnsi="Times New Roman" w:eastAsia="宋体" w:cs="Times New Roman"/>
                      <w:color w:val="auto"/>
                      <w:spacing w:val="0"/>
                      <w:position w:val="0"/>
                      <w:sz w:val="21"/>
                      <w:szCs w:val="21"/>
                      <w:highlight w:val="none"/>
                      <w:lang w:bidi="ar"/>
                    </w:rPr>
                    <w:t>污染物</w:t>
                  </w:r>
                </w:p>
                <w:p w14:paraId="2AF2F1D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种类</w:t>
                  </w:r>
                </w:p>
              </w:tc>
              <w:tc>
                <w:tcPr>
                  <w:tcW w:w="1148" w:type="dxa"/>
                  <w:vMerge w:val="restart"/>
                  <w:noWrap w:val="0"/>
                  <w:vAlign w:val="center"/>
                </w:tcPr>
                <w:p w14:paraId="13CBA14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排放去向</w:t>
                  </w:r>
                </w:p>
              </w:tc>
              <w:tc>
                <w:tcPr>
                  <w:tcW w:w="1087" w:type="dxa"/>
                  <w:vMerge w:val="restart"/>
                  <w:noWrap w:val="0"/>
                  <w:vAlign w:val="center"/>
                </w:tcPr>
                <w:p w14:paraId="7BD2401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排放规律</w:t>
                  </w:r>
                </w:p>
              </w:tc>
              <w:tc>
                <w:tcPr>
                  <w:tcW w:w="2310" w:type="dxa"/>
                  <w:gridSpan w:val="3"/>
                  <w:noWrap w:val="0"/>
                  <w:vAlign w:val="center"/>
                </w:tcPr>
                <w:p w14:paraId="581B883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污染治理设施</w:t>
                  </w:r>
                </w:p>
              </w:tc>
              <w:tc>
                <w:tcPr>
                  <w:tcW w:w="529" w:type="dxa"/>
                  <w:vMerge w:val="restart"/>
                  <w:noWrap w:val="0"/>
                  <w:vAlign w:val="center"/>
                </w:tcPr>
                <w:p w14:paraId="71D845F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排放口编号</w:t>
                  </w:r>
                </w:p>
              </w:tc>
              <w:tc>
                <w:tcPr>
                  <w:tcW w:w="664" w:type="dxa"/>
                  <w:vMerge w:val="restart"/>
                  <w:noWrap w:val="0"/>
                  <w:vAlign w:val="center"/>
                </w:tcPr>
                <w:p w14:paraId="345FBDE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排放口设置是否符合要求</w:t>
                  </w:r>
                </w:p>
              </w:tc>
              <w:tc>
                <w:tcPr>
                  <w:tcW w:w="530" w:type="dxa"/>
                  <w:vMerge w:val="restart"/>
                  <w:noWrap w:val="0"/>
                  <w:vAlign w:val="center"/>
                </w:tcPr>
                <w:p w14:paraId="6FCDF23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排放口类型</w:t>
                  </w:r>
                </w:p>
              </w:tc>
            </w:tr>
            <w:tr w14:paraId="4C0ED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917" w:hRule="atLeast"/>
                <w:jc w:val="center"/>
              </w:trPr>
              <w:tc>
                <w:tcPr>
                  <w:tcW w:w="446" w:type="dxa"/>
                  <w:vMerge w:val="continue"/>
                  <w:noWrap w:val="0"/>
                  <w:vAlign w:val="center"/>
                </w:tcPr>
                <w:p w14:paraId="63A45DC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679" w:type="dxa"/>
                  <w:vMerge w:val="continue"/>
                  <w:noWrap w:val="0"/>
                  <w:vAlign w:val="center"/>
                </w:tcPr>
                <w:p w14:paraId="4E22712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997" w:type="dxa"/>
                  <w:vMerge w:val="continue"/>
                  <w:noWrap w:val="0"/>
                  <w:vAlign w:val="center"/>
                </w:tcPr>
                <w:p w14:paraId="5173E8C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148" w:type="dxa"/>
                  <w:vMerge w:val="continue"/>
                  <w:noWrap w:val="0"/>
                  <w:vAlign w:val="center"/>
                </w:tcPr>
                <w:p w14:paraId="2C403E5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087" w:type="dxa"/>
                  <w:vMerge w:val="continue"/>
                  <w:noWrap w:val="0"/>
                  <w:vAlign w:val="center"/>
                </w:tcPr>
                <w:p w14:paraId="552EF27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815" w:type="dxa"/>
                  <w:noWrap w:val="0"/>
                  <w:vAlign w:val="center"/>
                </w:tcPr>
                <w:p w14:paraId="4B4642C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污染治理设施编号</w:t>
                  </w:r>
                </w:p>
              </w:tc>
              <w:tc>
                <w:tcPr>
                  <w:tcW w:w="725" w:type="dxa"/>
                  <w:noWrap w:val="0"/>
                  <w:vAlign w:val="center"/>
                </w:tcPr>
                <w:p w14:paraId="18631DA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污染治理设施名称</w:t>
                  </w:r>
                </w:p>
              </w:tc>
              <w:tc>
                <w:tcPr>
                  <w:tcW w:w="770" w:type="dxa"/>
                  <w:noWrap w:val="0"/>
                  <w:vAlign w:val="center"/>
                </w:tcPr>
                <w:p w14:paraId="48CD1BF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lang w:bidi="ar"/>
                    </w:rPr>
                    <w:t>污染治理设施工艺</w:t>
                  </w:r>
                </w:p>
              </w:tc>
              <w:tc>
                <w:tcPr>
                  <w:tcW w:w="529" w:type="dxa"/>
                  <w:vMerge w:val="continue"/>
                  <w:noWrap w:val="0"/>
                  <w:vAlign w:val="center"/>
                </w:tcPr>
                <w:p w14:paraId="2F9DE73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664" w:type="dxa"/>
                  <w:vMerge w:val="continue"/>
                  <w:noWrap w:val="0"/>
                  <w:vAlign w:val="center"/>
                </w:tcPr>
                <w:p w14:paraId="3E3FFDB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30" w:type="dxa"/>
                  <w:vMerge w:val="continue"/>
                  <w:noWrap w:val="0"/>
                  <w:vAlign w:val="center"/>
                </w:tcPr>
                <w:p w14:paraId="09BF489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75C3F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739" w:hRule="atLeast"/>
                <w:jc w:val="center"/>
              </w:trPr>
              <w:tc>
                <w:tcPr>
                  <w:tcW w:w="446" w:type="dxa"/>
                  <w:noWrap w:val="0"/>
                  <w:vAlign w:val="center"/>
                </w:tcPr>
                <w:p w14:paraId="22E24983">
                  <w:pPr>
                    <w:keepNext w:val="0"/>
                    <w:keepLines w:val="0"/>
                    <w:pageBreakBefore w:val="0"/>
                    <w:widowControl w:val="0"/>
                    <w:numPr>
                      <w:ilvl w:val="0"/>
                      <w:numId w:val="32"/>
                    </w:numPr>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bidi="ar"/>
                    </w:rPr>
                  </w:pPr>
                </w:p>
              </w:tc>
              <w:tc>
                <w:tcPr>
                  <w:tcW w:w="679" w:type="dxa"/>
                  <w:noWrap w:val="0"/>
                  <w:vAlign w:val="center"/>
                </w:tcPr>
                <w:p w14:paraId="77CC97E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
                    </w:rPr>
                  </w:pPr>
                  <w:r>
                    <w:rPr>
                      <w:rFonts w:ascii="Times New Roman" w:hAnsi="Times New Roman" w:eastAsia="宋体" w:cs="Times New Roman"/>
                      <w:color w:val="auto"/>
                      <w:spacing w:val="0"/>
                      <w:position w:val="0"/>
                      <w:sz w:val="21"/>
                      <w:szCs w:val="21"/>
                      <w:highlight w:val="none"/>
                      <w:lang w:bidi="ar"/>
                    </w:rPr>
                    <w:t>生活污水</w:t>
                  </w:r>
                </w:p>
              </w:tc>
              <w:tc>
                <w:tcPr>
                  <w:tcW w:w="997" w:type="dxa"/>
                  <w:noWrap w:val="0"/>
                  <w:vAlign w:val="center"/>
                </w:tcPr>
                <w:p w14:paraId="5443944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
                    </w:rPr>
                  </w:pPr>
                  <w:r>
                    <w:rPr>
                      <w:rFonts w:hint="eastAsia" w:ascii="Times New Roman" w:hAnsi="Times New Roman" w:eastAsia="宋体" w:cs="Times New Roman"/>
                      <w:color w:val="auto"/>
                      <w:spacing w:val="0"/>
                      <w:position w:val="0"/>
                      <w:sz w:val="21"/>
                      <w:szCs w:val="21"/>
                      <w:highlight w:val="none"/>
                    </w:rPr>
                    <w:t>pH、</w:t>
                  </w:r>
                  <w:r>
                    <w:rPr>
                      <w:rFonts w:ascii="Times New Roman" w:hAnsi="Times New Roman" w:eastAsia="宋体" w:cs="Times New Roman"/>
                      <w:color w:val="auto"/>
                      <w:spacing w:val="0"/>
                      <w:position w:val="0"/>
                      <w:sz w:val="21"/>
                      <w:szCs w:val="21"/>
                      <w:highlight w:val="none"/>
                    </w:rPr>
                    <w:t>COD、BOD</w:t>
                  </w:r>
                  <w:r>
                    <w:rPr>
                      <w:rFonts w:ascii="Times New Roman" w:hAnsi="Times New Roman" w:eastAsia="宋体" w:cs="Times New Roman"/>
                      <w:color w:val="auto"/>
                      <w:spacing w:val="0"/>
                      <w:position w:val="0"/>
                      <w:sz w:val="21"/>
                      <w:szCs w:val="21"/>
                      <w:highlight w:val="none"/>
                      <w:vertAlign w:val="subscript"/>
                    </w:rPr>
                    <w:t>5</w:t>
                  </w:r>
                  <w:r>
                    <w:rPr>
                      <w:rFonts w:ascii="Times New Roman" w:hAnsi="Times New Roman" w:eastAsia="宋体" w:cs="Times New Roman"/>
                      <w:color w:val="auto"/>
                      <w:spacing w:val="0"/>
                      <w:position w:val="0"/>
                      <w:sz w:val="21"/>
                      <w:szCs w:val="21"/>
                      <w:highlight w:val="none"/>
                    </w:rPr>
                    <w:t>、氨氮、SS</w:t>
                  </w:r>
                  <w:r>
                    <w:rPr>
                      <w:rFonts w:hint="eastAsia" w:ascii="Times New Roman" w:hAnsi="Times New Roman" w:eastAsia="宋体" w:cs="Times New Roman"/>
                      <w:color w:val="auto"/>
                      <w:spacing w:val="0"/>
                      <w:position w:val="0"/>
                      <w:sz w:val="21"/>
                      <w:szCs w:val="21"/>
                      <w:highlight w:val="none"/>
                    </w:rPr>
                    <w:t>、总氮</w:t>
                  </w:r>
                  <w:r>
                    <w:rPr>
                      <w:rFonts w:hint="eastAsia" w:cs="Times New Roman"/>
                      <w:color w:val="auto"/>
                      <w:spacing w:val="0"/>
                      <w:position w:val="0"/>
                      <w:sz w:val="21"/>
                      <w:szCs w:val="21"/>
                      <w:highlight w:val="none"/>
                      <w:lang w:eastAsia="zh-CN"/>
                    </w:rPr>
                    <w:t>、</w:t>
                  </w:r>
                  <w:r>
                    <w:rPr>
                      <w:rFonts w:hint="eastAsia" w:cs="Times New Roman"/>
                      <w:color w:val="auto"/>
                      <w:spacing w:val="0"/>
                      <w:position w:val="0"/>
                      <w:sz w:val="21"/>
                      <w:szCs w:val="21"/>
                      <w:highlight w:val="none"/>
                      <w:lang w:val="en-US" w:eastAsia="zh-CN"/>
                    </w:rPr>
                    <w:t>总磷、动植物油</w:t>
                  </w:r>
                </w:p>
              </w:tc>
              <w:tc>
                <w:tcPr>
                  <w:tcW w:w="1148" w:type="dxa"/>
                  <w:noWrap w:val="0"/>
                  <w:vAlign w:val="center"/>
                </w:tcPr>
                <w:p w14:paraId="46D3C5D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
                    </w:rPr>
                  </w:pPr>
                  <w:r>
                    <w:rPr>
                      <w:rFonts w:ascii="Times New Roman" w:hAnsi="Times New Roman" w:eastAsia="宋体" w:cs="Times New Roman"/>
                      <w:color w:val="auto"/>
                      <w:spacing w:val="0"/>
                      <w:position w:val="0"/>
                      <w:sz w:val="21"/>
                      <w:szCs w:val="21"/>
                      <w:highlight w:val="none"/>
                    </w:rPr>
                    <w:t>城市污水处理厂</w:t>
                  </w:r>
                </w:p>
              </w:tc>
              <w:tc>
                <w:tcPr>
                  <w:tcW w:w="1087" w:type="dxa"/>
                  <w:noWrap w:val="0"/>
                  <w:vAlign w:val="center"/>
                </w:tcPr>
                <w:p w14:paraId="7D8A0D8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bidi="ar"/>
                    </w:rPr>
                  </w:pPr>
                  <w:r>
                    <w:rPr>
                      <w:rFonts w:ascii="Times New Roman" w:hAnsi="Times New Roman" w:eastAsia="宋体" w:cs="Times New Roman"/>
                      <w:color w:val="auto"/>
                      <w:spacing w:val="0"/>
                      <w:position w:val="0"/>
                      <w:sz w:val="21"/>
                      <w:szCs w:val="21"/>
                      <w:highlight w:val="none"/>
                    </w:rPr>
                    <w:t>间断排放，排放期间流量不稳定且无规律，但不属于冲击型排放</w:t>
                  </w:r>
                </w:p>
              </w:tc>
              <w:tc>
                <w:tcPr>
                  <w:tcW w:w="815" w:type="dxa"/>
                  <w:noWrap w:val="0"/>
                  <w:vAlign w:val="center"/>
                </w:tcPr>
                <w:p w14:paraId="4A77C39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bidi="ar"/>
                    </w:rPr>
                  </w:pPr>
                  <w:r>
                    <w:rPr>
                      <w:rFonts w:hint="eastAsia" w:ascii="宋体" w:hAnsi="宋体" w:eastAsia="宋体" w:cs="宋体"/>
                      <w:color w:val="auto"/>
                      <w:spacing w:val="0"/>
                      <w:position w:val="0"/>
                      <w:sz w:val="21"/>
                      <w:szCs w:val="21"/>
                      <w:highlight w:val="none"/>
                      <w:lang w:val="en-US" w:eastAsia="zh-CN" w:bidi="ar"/>
                    </w:rPr>
                    <w:t>－</w:t>
                  </w:r>
                </w:p>
              </w:tc>
              <w:tc>
                <w:tcPr>
                  <w:tcW w:w="725" w:type="dxa"/>
                  <w:noWrap w:val="0"/>
                  <w:vAlign w:val="center"/>
                </w:tcPr>
                <w:p w14:paraId="6AFF840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bidi="ar"/>
                    </w:rPr>
                  </w:pPr>
                  <w:r>
                    <w:rPr>
                      <w:rFonts w:hint="eastAsia" w:ascii="宋体" w:hAnsi="宋体" w:eastAsia="宋体" w:cs="宋体"/>
                      <w:color w:val="auto"/>
                      <w:spacing w:val="0"/>
                      <w:position w:val="0"/>
                      <w:sz w:val="21"/>
                      <w:szCs w:val="21"/>
                      <w:highlight w:val="none"/>
                      <w:lang w:val="en-US" w:eastAsia="zh-CN" w:bidi="ar"/>
                    </w:rPr>
                    <w:t>－</w:t>
                  </w:r>
                </w:p>
              </w:tc>
              <w:tc>
                <w:tcPr>
                  <w:tcW w:w="770" w:type="dxa"/>
                  <w:noWrap w:val="0"/>
                  <w:vAlign w:val="center"/>
                </w:tcPr>
                <w:p w14:paraId="69094F8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bidi="ar"/>
                    </w:rPr>
                    <w:t>－</w:t>
                  </w:r>
                </w:p>
              </w:tc>
              <w:tc>
                <w:tcPr>
                  <w:tcW w:w="529" w:type="dxa"/>
                  <w:noWrap w:val="0"/>
                  <w:vAlign w:val="center"/>
                </w:tcPr>
                <w:p w14:paraId="68C8B2E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bidi="ar"/>
                    </w:rPr>
                  </w:pPr>
                  <w:r>
                    <w:rPr>
                      <w:rFonts w:hint="eastAsia" w:ascii="Times New Roman" w:hAnsi="Times New Roman" w:eastAsia="宋体" w:cs="Times New Roman"/>
                      <w:color w:val="auto"/>
                      <w:spacing w:val="0"/>
                      <w:position w:val="0"/>
                      <w:sz w:val="21"/>
                      <w:szCs w:val="21"/>
                      <w:highlight w:val="none"/>
                    </w:rPr>
                    <w:t>DW001</w:t>
                  </w:r>
                </w:p>
              </w:tc>
              <w:tc>
                <w:tcPr>
                  <w:tcW w:w="664" w:type="dxa"/>
                  <w:noWrap w:val="0"/>
                  <w:vAlign w:val="center"/>
                </w:tcPr>
                <w:p w14:paraId="444E0F7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eastAsia="zh-CN" w:bidi="ar"/>
                    </w:rPr>
                    <w:t>☑</w:t>
                  </w:r>
                  <w:r>
                    <w:rPr>
                      <w:rFonts w:ascii="Times New Roman" w:hAnsi="Times New Roman" w:eastAsia="宋体" w:cs="Times New Roman"/>
                      <w:color w:val="auto"/>
                      <w:spacing w:val="0"/>
                      <w:position w:val="0"/>
                      <w:sz w:val="21"/>
                      <w:szCs w:val="21"/>
                      <w:highlight w:val="none"/>
                      <w:lang w:bidi="ar"/>
                    </w:rPr>
                    <w:t>是</w:t>
                  </w:r>
                </w:p>
                <w:p w14:paraId="62AD79B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bidi="ar"/>
                    </w:rPr>
                  </w:pPr>
                  <w:r>
                    <w:rPr>
                      <w:rFonts w:hint="eastAsia" w:ascii="Times New Roman" w:hAnsi="Times New Roman" w:eastAsia="宋体" w:cs="Times New Roman"/>
                      <w:color w:val="auto"/>
                      <w:spacing w:val="0"/>
                      <w:position w:val="0"/>
                      <w:sz w:val="21"/>
                      <w:szCs w:val="21"/>
                      <w:highlight w:val="none"/>
                      <w:lang w:eastAsia="zh-CN" w:bidi="ar"/>
                    </w:rPr>
                    <w:t>□</w:t>
                  </w:r>
                  <w:r>
                    <w:rPr>
                      <w:rFonts w:ascii="Times New Roman" w:hAnsi="Times New Roman" w:eastAsia="宋体" w:cs="Times New Roman"/>
                      <w:color w:val="auto"/>
                      <w:spacing w:val="0"/>
                      <w:position w:val="0"/>
                      <w:sz w:val="21"/>
                      <w:szCs w:val="21"/>
                      <w:highlight w:val="none"/>
                      <w:lang w:bidi="ar"/>
                    </w:rPr>
                    <w:t>否</w:t>
                  </w:r>
                </w:p>
              </w:tc>
              <w:tc>
                <w:tcPr>
                  <w:tcW w:w="530" w:type="dxa"/>
                  <w:noWrap w:val="0"/>
                  <w:vAlign w:val="center"/>
                </w:tcPr>
                <w:p w14:paraId="44F6F40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bidi="ar"/>
                    </w:rPr>
                  </w:pPr>
                  <w:r>
                    <w:rPr>
                      <w:rFonts w:hint="eastAsia" w:ascii="Times New Roman" w:hAnsi="Times New Roman" w:eastAsia="宋体" w:cs="Times New Roman"/>
                      <w:color w:val="auto"/>
                      <w:spacing w:val="0"/>
                      <w:position w:val="0"/>
                      <w:sz w:val="21"/>
                      <w:szCs w:val="21"/>
                      <w:highlight w:val="none"/>
                      <w:lang w:val="en-US" w:eastAsia="zh-CN" w:bidi="ar"/>
                    </w:rPr>
                    <w:t>一般排放口</w:t>
                  </w:r>
                </w:p>
              </w:tc>
            </w:tr>
          </w:tbl>
          <w:p w14:paraId="665F6CD4">
            <w:pPr>
              <w:bidi w:val="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color w:val="auto"/>
                <w:sz w:val="24"/>
                <w:szCs w:val="24"/>
                <w:highlight w:val="none"/>
              </w:rPr>
              <w:t>废水间接排放口基本情况表</w:t>
            </w:r>
            <w:r>
              <w:rPr>
                <w:rFonts w:hint="eastAsia"/>
                <w:color w:val="auto"/>
                <w:sz w:val="24"/>
                <w:szCs w:val="24"/>
                <w:highlight w:val="none"/>
              </w:rPr>
              <w:t>。</w:t>
            </w:r>
          </w:p>
          <w:p w14:paraId="780D63EF">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ascii="Times New Roman" w:hAnsi="Times New Roman" w:eastAsia="宋体" w:cs="Times New Roman"/>
                <w:b/>
                <w:color w:val="auto"/>
                <w:spacing w:val="0"/>
                <w:position w:val="0"/>
                <w:sz w:val="24"/>
                <w:szCs w:val="24"/>
                <w:highlight w:val="none"/>
              </w:rPr>
            </w:pPr>
            <w:r>
              <w:rPr>
                <w:rFonts w:ascii="Times New Roman" w:hAnsi="Times New Roman" w:eastAsia="宋体" w:cs="Times New Roman"/>
                <w:b/>
                <w:color w:val="auto"/>
                <w:spacing w:val="0"/>
                <w:position w:val="0"/>
                <w:sz w:val="21"/>
                <w:szCs w:val="21"/>
                <w:highlight w:val="none"/>
              </w:rPr>
              <w:t>表</w:t>
            </w:r>
            <w:r>
              <w:rPr>
                <w:rFonts w:hint="eastAsia" w:cs="Times New Roman"/>
                <w:b/>
                <w:color w:val="auto"/>
                <w:spacing w:val="0"/>
                <w:position w:val="0"/>
                <w:sz w:val="21"/>
                <w:szCs w:val="21"/>
                <w:highlight w:val="none"/>
                <w:lang w:val="en-US" w:eastAsia="zh-CN"/>
              </w:rPr>
              <w:t xml:space="preserve">51  </w:t>
            </w:r>
            <w:r>
              <w:rPr>
                <w:rFonts w:ascii="Times New Roman" w:hAnsi="Times New Roman" w:eastAsia="宋体" w:cs="Times New Roman"/>
                <w:b/>
                <w:color w:val="auto"/>
                <w:spacing w:val="0"/>
                <w:position w:val="0"/>
                <w:sz w:val="21"/>
                <w:szCs w:val="21"/>
                <w:highlight w:val="none"/>
              </w:rPr>
              <w:t>废水间接排放口基本情况表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439"/>
              <w:gridCol w:w="487"/>
              <w:gridCol w:w="743"/>
              <w:gridCol w:w="819"/>
              <w:gridCol w:w="493"/>
              <w:gridCol w:w="537"/>
              <w:gridCol w:w="507"/>
              <w:gridCol w:w="522"/>
              <w:gridCol w:w="492"/>
              <w:gridCol w:w="686"/>
              <w:gridCol w:w="1392"/>
              <w:gridCol w:w="1273"/>
            </w:tblGrid>
            <w:tr w14:paraId="7353F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7" w:hRule="atLeast"/>
                <w:jc w:val="center"/>
              </w:trPr>
              <w:tc>
                <w:tcPr>
                  <w:tcW w:w="439" w:type="dxa"/>
                  <w:vMerge w:val="restart"/>
                  <w:noWrap w:val="0"/>
                  <w:vAlign w:val="center"/>
                </w:tcPr>
                <w:p w14:paraId="79027EB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序</w:t>
                  </w:r>
                </w:p>
                <w:p w14:paraId="28A5E4C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号</w:t>
                  </w:r>
                </w:p>
              </w:tc>
              <w:tc>
                <w:tcPr>
                  <w:tcW w:w="487" w:type="dxa"/>
                  <w:vMerge w:val="restart"/>
                  <w:noWrap w:val="0"/>
                  <w:vAlign w:val="center"/>
                </w:tcPr>
                <w:p w14:paraId="63A200C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排放口编号</w:t>
                  </w:r>
                </w:p>
              </w:tc>
              <w:tc>
                <w:tcPr>
                  <w:tcW w:w="1562" w:type="dxa"/>
                  <w:gridSpan w:val="2"/>
                  <w:noWrap w:val="0"/>
                  <w:vAlign w:val="center"/>
                </w:tcPr>
                <w:p w14:paraId="3919DBE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排放口地理坐标</w:t>
                  </w:r>
                </w:p>
              </w:tc>
              <w:tc>
                <w:tcPr>
                  <w:tcW w:w="493" w:type="dxa"/>
                  <w:vMerge w:val="restart"/>
                  <w:noWrap w:val="0"/>
                  <w:vAlign w:val="center"/>
                </w:tcPr>
                <w:p w14:paraId="112C6F9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废水排放量/</w:t>
                  </w:r>
                  <w:r>
                    <w:rPr>
                      <w:rFonts w:hint="eastAsia" w:ascii="Times New Roman" w:hAnsi="Times New Roman" w:eastAsia="宋体" w:cs="Times New Roman"/>
                      <w:color w:val="auto"/>
                      <w:spacing w:val="0"/>
                      <w:position w:val="0"/>
                      <w:sz w:val="21"/>
                      <w:szCs w:val="21"/>
                      <w:highlight w:val="none"/>
                    </w:rPr>
                    <w:t>（</w:t>
                  </w:r>
                  <w:r>
                    <w:rPr>
                      <w:rFonts w:hint="eastAsia" w:ascii="Times New Roman" w:hAnsi="Times New Roman" w:eastAsia="宋体" w:cs="Times New Roman"/>
                      <w:color w:val="auto"/>
                      <w:spacing w:val="0"/>
                      <w:position w:val="0"/>
                      <w:sz w:val="21"/>
                      <w:szCs w:val="21"/>
                      <w:highlight w:val="none"/>
                      <w:lang w:val="en-US" w:eastAsia="zh-CN"/>
                    </w:rPr>
                    <w:t>万</w:t>
                  </w:r>
                  <w:r>
                    <w:rPr>
                      <w:rFonts w:ascii="Times New Roman" w:hAnsi="Times New Roman" w:eastAsia="宋体" w:cs="Times New Roman"/>
                      <w:color w:val="auto"/>
                      <w:spacing w:val="0"/>
                      <w:position w:val="0"/>
                      <w:sz w:val="21"/>
                      <w:szCs w:val="21"/>
                      <w:highlight w:val="none"/>
                    </w:rPr>
                    <w:t>t/a</w:t>
                  </w:r>
                  <w:r>
                    <w:rPr>
                      <w:rFonts w:hint="eastAsia" w:ascii="Times New Roman" w:hAnsi="Times New Roman" w:eastAsia="宋体" w:cs="Times New Roman"/>
                      <w:color w:val="auto"/>
                      <w:spacing w:val="0"/>
                      <w:position w:val="0"/>
                      <w:sz w:val="21"/>
                      <w:szCs w:val="21"/>
                      <w:highlight w:val="none"/>
                    </w:rPr>
                    <w:t>）</w:t>
                  </w:r>
                </w:p>
              </w:tc>
              <w:tc>
                <w:tcPr>
                  <w:tcW w:w="537" w:type="dxa"/>
                  <w:vMerge w:val="restart"/>
                  <w:noWrap w:val="0"/>
                  <w:vAlign w:val="center"/>
                </w:tcPr>
                <w:p w14:paraId="565C6BE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排放</w:t>
                  </w:r>
                </w:p>
                <w:p w14:paraId="1CA3BCF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去向</w:t>
                  </w:r>
                </w:p>
              </w:tc>
              <w:tc>
                <w:tcPr>
                  <w:tcW w:w="507" w:type="dxa"/>
                  <w:vMerge w:val="restart"/>
                  <w:noWrap w:val="0"/>
                  <w:vAlign w:val="center"/>
                </w:tcPr>
                <w:p w14:paraId="03962A2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排放</w:t>
                  </w:r>
                </w:p>
                <w:p w14:paraId="13678F4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规律</w:t>
                  </w:r>
                </w:p>
              </w:tc>
              <w:tc>
                <w:tcPr>
                  <w:tcW w:w="522" w:type="dxa"/>
                  <w:vMerge w:val="restart"/>
                  <w:noWrap w:val="0"/>
                  <w:vAlign w:val="center"/>
                </w:tcPr>
                <w:p w14:paraId="10DDE27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间歇排放时段</w:t>
                  </w:r>
                </w:p>
              </w:tc>
              <w:tc>
                <w:tcPr>
                  <w:tcW w:w="3843" w:type="dxa"/>
                  <w:gridSpan w:val="4"/>
                  <w:noWrap w:val="0"/>
                  <w:vAlign w:val="center"/>
                </w:tcPr>
                <w:p w14:paraId="0F1F732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受纳污水处理厂信息</w:t>
                  </w:r>
                </w:p>
              </w:tc>
            </w:tr>
            <w:tr w14:paraId="40A56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573" w:hRule="atLeast"/>
                <w:jc w:val="center"/>
              </w:trPr>
              <w:tc>
                <w:tcPr>
                  <w:tcW w:w="439" w:type="dxa"/>
                  <w:vMerge w:val="continue"/>
                  <w:noWrap w:val="0"/>
                  <w:vAlign w:val="center"/>
                </w:tcPr>
                <w:p w14:paraId="13E0971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87" w:type="dxa"/>
                  <w:vMerge w:val="continue"/>
                  <w:noWrap w:val="0"/>
                  <w:vAlign w:val="center"/>
                </w:tcPr>
                <w:p w14:paraId="4034F01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743" w:type="dxa"/>
                  <w:noWrap w:val="0"/>
                  <w:vAlign w:val="center"/>
                </w:tcPr>
                <w:p w14:paraId="116735F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经度</w:t>
                  </w:r>
                </w:p>
              </w:tc>
              <w:tc>
                <w:tcPr>
                  <w:tcW w:w="819" w:type="dxa"/>
                  <w:noWrap w:val="0"/>
                  <w:vAlign w:val="center"/>
                </w:tcPr>
                <w:p w14:paraId="0F9C2E9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纬度</w:t>
                  </w:r>
                </w:p>
              </w:tc>
              <w:tc>
                <w:tcPr>
                  <w:tcW w:w="493" w:type="dxa"/>
                  <w:vMerge w:val="continue"/>
                  <w:noWrap w:val="0"/>
                  <w:vAlign w:val="center"/>
                </w:tcPr>
                <w:p w14:paraId="16B959F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37" w:type="dxa"/>
                  <w:vMerge w:val="continue"/>
                  <w:noWrap w:val="0"/>
                  <w:vAlign w:val="center"/>
                </w:tcPr>
                <w:p w14:paraId="2A27E1B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07" w:type="dxa"/>
                  <w:vMerge w:val="continue"/>
                  <w:noWrap w:val="0"/>
                  <w:vAlign w:val="center"/>
                </w:tcPr>
                <w:p w14:paraId="0B15632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22" w:type="dxa"/>
                  <w:vMerge w:val="continue"/>
                  <w:noWrap w:val="0"/>
                  <w:vAlign w:val="center"/>
                </w:tcPr>
                <w:p w14:paraId="132FF87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2" w:type="dxa"/>
                  <w:noWrap w:val="0"/>
                  <w:vAlign w:val="center"/>
                </w:tcPr>
                <w:p w14:paraId="4AE1C1E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名称</w:t>
                  </w:r>
                </w:p>
              </w:tc>
              <w:tc>
                <w:tcPr>
                  <w:tcW w:w="686" w:type="dxa"/>
                  <w:noWrap w:val="0"/>
                  <w:vAlign w:val="center"/>
                </w:tcPr>
                <w:p w14:paraId="0013F10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污染物种类</w:t>
                  </w:r>
                </w:p>
              </w:tc>
              <w:tc>
                <w:tcPr>
                  <w:tcW w:w="1392" w:type="dxa"/>
                  <w:noWrap w:val="0"/>
                  <w:vAlign w:val="center"/>
                </w:tcPr>
                <w:p w14:paraId="3822E8C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z w:val="21"/>
                      <w:szCs w:val="21"/>
                      <w:highlight w:val="none"/>
                    </w:rPr>
                    <w:t>《城镇污水处理厂污染物排放标准》（GB18918</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2002）中表1一级A标准浓度限值/（mg/L）</w:t>
                  </w:r>
                </w:p>
              </w:tc>
              <w:tc>
                <w:tcPr>
                  <w:tcW w:w="1273" w:type="dxa"/>
                  <w:noWrap w:val="0"/>
                  <w:vAlign w:val="center"/>
                </w:tcPr>
                <w:p w14:paraId="4A4479D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《城镇污水处理厂水污染物排放标准》（DB11/890-2012）表1中的B标准</w:t>
                  </w:r>
                  <w:r>
                    <w:rPr>
                      <w:rFonts w:hint="default" w:ascii="Times New Roman" w:hAnsi="Times New Roman" w:eastAsia="宋体" w:cs="Times New Roman"/>
                      <w:color w:val="auto"/>
                      <w:sz w:val="21"/>
                      <w:szCs w:val="21"/>
                      <w:highlight w:val="none"/>
                    </w:rPr>
                    <w:t>浓度限值/（mg/L）</w:t>
                  </w:r>
                </w:p>
              </w:tc>
            </w:tr>
            <w:tr w14:paraId="2FAA9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00" w:hRule="atLeast"/>
                <w:jc w:val="center"/>
              </w:trPr>
              <w:tc>
                <w:tcPr>
                  <w:tcW w:w="439" w:type="dxa"/>
                  <w:vMerge w:val="restart"/>
                  <w:noWrap w:val="0"/>
                  <w:vAlign w:val="center"/>
                </w:tcPr>
                <w:p w14:paraId="024E2BB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487" w:type="dxa"/>
                  <w:vMerge w:val="restart"/>
                  <w:noWrap w:val="0"/>
                  <w:vAlign w:val="center"/>
                </w:tcPr>
                <w:p w14:paraId="2E06494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DW001</w:t>
                  </w:r>
                </w:p>
              </w:tc>
              <w:tc>
                <w:tcPr>
                  <w:tcW w:w="743" w:type="dxa"/>
                  <w:vMerge w:val="restart"/>
                  <w:noWrap w:val="0"/>
                  <w:vAlign w:val="center"/>
                </w:tcPr>
                <w:p w14:paraId="285B54A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118.149866</w:t>
                  </w:r>
                  <w:r>
                    <w:rPr>
                      <w:rFonts w:ascii="Times New Roman" w:hAnsi="Times New Roman" w:eastAsia="宋体" w:cs="Times New Roman"/>
                      <w:color w:val="auto"/>
                      <w:spacing w:val="0"/>
                      <w:position w:val="0"/>
                      <w:sz w:val="21"/>
                      <w:szCs w:val="21"/>
                      <w:highlight w:val="none"/>
                    </w:rPr>
                    <w:t>°</w:t>
                  </w:r>
                </w:p>
              </w:tc>
              <w:tc>
                <w:tcPr>
                  <w:tcW w:w="819" w:type="dxa"/>
                  <w:vMerge w:val="restart"/>
                  <w:noWrap w:val="0"/>
                  <w:vAlign w:val="center"/>
                </w:tcPr>
                <w:p w14:paraId="1DF375A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39.684061</w:t>
                  </w:r>
                  <w:r>
                    <w:rPr>
                      <w:rFonts w:ascii="Times New Roman" w:hAnsi="Times New Roman" w:eastAsia="宋体" w:cs="Times New Roman"/>
                      <w:color w:val="auto"/>
                      <w:spacing w:val="0"/>
                      <w:position w:val="0"/>
                      <w:sz w:val="21"/>
                      <w:szCs w:val="21"/>
                      <w:highlight w:val="none"/>
                    </w:rPr>
                    <w:t>°</w:t>
                  </w:r>
                </w:p>
              </w:tc>
              <w:tc>
                <w:tcPr>
                  <w:tcW w:w="493" w:type="dxa"/>
                  <w:vMerge w:val="restart"/>
                  <w:noWrap w:val="0"/>
                  <w:vAlign w:val="center"/>
                </w:tcPr>
                <w:p w14:paraId="6072460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olor w:val="auto"/>
                      <w:sz w:val="21"/>
                      <w:szCs w:val="21"/>
                      <w:highlight w:val="none"/>
                      <w:lang w:val="en-US" w:eastAsia="zh-CN"/>
                    </w:rPr>
                    <w:t>0.32</w:t>
                  </w:r>
                </w:p>
              </w:tc>
              <w:tc>
                <w:tcPr>
                  <w:tcW w:w="537" w:type="dxa"/>
                  <w:vMerge w:val="restart"/>
                  <w:noWrap w:val="0"/>
                  <w:vAlign w:val="center"/>
                </w:tcPr>
                <w:p w14:paraId="432893D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城市污水处理厂</w:t>
                  </w:r>
                </w:p>
              </w:tc>
              <w:tc>
                <w:tcPr>
                  <w:tcW w:w="507" w:type="dxa"/>
                  <w:vMerge w:val="restart"/>
                  <w:noWrap w:val="0"/>
                  <w:vAlign w:val="center"/>
                </w:tcPr>
                <w:p w14:paraId="62F5792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无规律</w:t>
                  </w:r>
                </w:p>
              </w:tc>
              <w:tc>
                <w:tcPr>
                  <w:tcW w:w="522" w:type="dxa"/>
                  <w:vMerge w:val="restart"/>
                  <w:noWrap w:val="0"/>
                  <w:vAlign w:val="center"/>
                </w:tcPr>
                <w:p w14:paraId="0950E15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无规律</w:t>
                  </w:r>
                </w:p>
              </w:tc>
              <w:tc>
                <w:tcPr>
                  <w:tcW w:w="492" w:type="dxa"/>
                  <w:vMerge w:val="restart"/>
                  <w:noWrap w:val="0"/>
                  <w:vAlign w:val="center"/>
                </w:tcPr>
                <w:p w14:paraId="435078F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西郊污水处理厂</w:t>
                  </w:r>
                </w:p>
              </w:tc>
              <w:tc>
                <w:tcPr>
                  <w:tcW w:w="686" w:type="dxa"/>
                  <w:noWrap w:val="0"/>
                  <w:vAlign w:val="center"/>
                </w:tcPr>
                <w:p w14:paraId="0EC5CC1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pH</w:t>
                  </w:r>
                </w:p>
              </w:tc>
              <w:tc>
                <w:tcPr>
                  <w:tcW w:w="1392" w:type="dxa"/>
                  <w:noWrap w:val="0"/>
                  <w:vAlign w:val="center"/>
                </w:tcPr>
                <w:p w14:paraId="38E8022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6~9</w:t>
                  </w:r>
                </w:p>
              </w:tc>
              <w:tc>
                <w:tcPr>
                  <w:tcW w:w="1273" w:type="dxa"/>
                  <w:noWrap w:val="0"/>
                  <w:vAlign w:val="center"/>
                </w:tcPr>
                <w:p w14:paraId="2A5CA34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rPr>
                    <w:t>6~9</w:t>
                  </w:r>
                </w:p>
              </w:tc>
            </w:tr>
            <w:tr w14:paraId="6847F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23" w:hRule="atLeast"/>
                <w:jc w:val="center"/>
              </w:trPr>
              <w:tc>
                <w:tcPr>
                  <w:tcW w:w="439" w:type="dxa"/>
                  <w:vMerge w:val="continue"/>
                  <w:noWrap w:val="0"/>
                  <w:vAlign w:val="center"/>
                </w:tcPr>
                <w:p w14:paraId="7298383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Times New Roman" w:hAnsi="Times New Roman" w:eastAsia="宋体" w:cs="Times New Roman"/>
                      <w:color w:val="auto"/>
                      <w:spacing w:val="0"/>
                      <w:position w:val="0"/>
                      <w:sz w:val="21"/>
                      <w:szCs w:val="21"/>
                      <w:highlight w:val="none"/>
                    </w:rPr>
                  </w:pPr>
                </w:p>
              </w:tc>
              <w:tc>
                <w:tcPr>
                  <w:tcW w:w="487" w:type="dxa"/>
                  <w:vMerge w:val="continue"/>
                  <w:noWrap w:val="0"/>
                  <w:vAlign w:val="center"/>
                </w:tcPr>
                <w:p w14:paraId="023983A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743" w:type="dxa"/>
                  <w:vMerge w:val="continue"/>
                  <w:noWrap w:val="0"/>
                  <w:vAlign w:val="center"/>
                </w:tcPr>
                <w:p w14:paraId="4A105F4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819" w:type="dxa"/>
                  <w:vMerge w:val="continue"/>
                  <w:noWrap w:val="0"/>
                  <w:vAlign w:val="center"/>
                </w:tcPr>
                <w:p w14:paraId="1A4118E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3" w:type="dxa"/>
                  <w:vMerge w:val="continue"/>
                  <w:noWrap w:val="0"/>
                  <w:vAlign w:val="center"/>
                </w:tcPr>
                <w:p w14:paraId="4DD203D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37" w:type="dxa"/>
                  <w:vMerge w:val="continue"/>
                  <w:noWrap w:val="0"/>
                  <w:vAlign w:val="center"/>
                </w:tcPr>
                <w:p w14:paraId="1E8C544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07" w:type="dxa"/>
                  <w:vMerge w:val="continue"/>
                  <w:noWrap w:val="0"/>
                  <w:vAlign w:val="center"/>
                </w:tcPr>
                <w:p w14:paraId="17E4034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22" w:type="dxa"/>
                  <w:vMerge w:val="continue"/>
                  <w:noWrap w:val="0"/>
                  <w:vAlign w:val="center"/>
                </w:tcPr>
                <w:p w14:paraId="0FC4FA8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2" w:type="dxa"/>
                  <w:vMerge w:val="continue"/>
                  <w:noWrap w:val="0"/>
                  <w:vAlign w:val="center"/>
                </w:tcPr>
                <w:p w14:paraId="7373F09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686" w:type="dxa"/>
                  <w:noWrap w:val="0"/>
                  <w:vAlign w:val="center"/>
                </w:tcPr>
                <w:p w14:paraId="3F99DEA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COD</w:t>
                  </w:r>
                </w:p>
              </w:tc>
              <w:tc>
                <w:tcPr>
                  <w:tcW w:w="1392" w:type="dxa"/>
                  <w:noWrap w:val="0"/>
                  <w:vAlign w:val="center"/>
                </w:tcPr>
                <w:p w14:paraId="4731605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50</w:t>
                  </w:r>
                </w:p>
              </w:tc>
              <w:tc>
                <w:tcPr>
                  <w:tcW w:w="1273" w:type="dxa"/>
                  <w:noWrap w:val="0"/>
                  <w:vAlign w:val="center"/>
                </w:tcPr>
                <w:p w14:paraId="71782EF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30</w:t>
                  </w:r>
                </w:p>
              </w:tc>
            </w:tr>
            <w:tr w14:paraId="0BB85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90" w:hRule="atLeast"/>
                <w:jc w:val="center"/>
              </w:trPr>
              <w:tc>
                <w:tcPr>
                  <w:tcW w:w="439" w:type="dxa"/>
                  <w:vMerge w:val="continue"/>
                  <w:noWrap w:val="0"/>
                  <w:vAlign w:val="center"/>
                </w:tcPr>
                <w:p w14:paraId="2351083A">
                  <w:pPr>
                    <w:pStyle w:val="47"/>
                    <w:keepNext w:val="0"/>
                    <w:keepLines w:val="0"/>
                    <w:pageBreakBefore w:val="0"/>
                    <w:widowControl w:val="0"/>
                    <w:shd w:val="clear" w:color="auto" w:fill="auto"/>
                    <w:kinsoku/>
                    <w:wordWrap/>
                    <w:overflowPunct/>
                    <w:topLinePunct w:val="0"/>
                    <w:autoSpaceDE/>
                    <w:autoSpaceDN/>
                    <w:bidi w:val="0"/>
                    <w:adjustRightInd/>
                    <w:snapToGrid/>
                    <w:spacing w:before="0" w:after="0" w:line="0" w:lineRule="atLeast"/>
                    <w:jc w:val="center"/>
                    <w:textAlignment w:val="auto"/>
                    <w:rPr>
                      <w:rFonts w:ascii="Times New Roman" w:hAnsi="Times New Roman" w:eastAsia="宋体" w:cs="Times New Roman"/>
                      <w:color w:val="auto"/>
                      <w:spacing w:val="0"/>
                      <w:position w:val="0"/>
                      <w:sz w:val="21"/>
                      <w:szCs w:val="21"/>
                      <w:highlight w:val="none"/>
                      <w:lang w:eastAsia="zh-CN"/>
                    </w:rPr>
                  </w:pPr>
                </w:p>
              </w:tc>
              <w:tc>
                <w:tcPr>
                  <w:tcW w:w="487" w:type="dxa"/>
                  <w:vMerge w:val="continue"/>
                  <w:noWrap w:val="0"/>
                  <w:vAlign w:val="center"/>
                </w:tcPr>
                <w:p w14:paraId="2F12C59C">
                  <w:pPr>
                    <w:pStyle w:val="47"/>
                    <w:keepNext w:val="0"/>
                    <w:keepLines w:val="0"/>
                    <w:pageBreakBefore w:val="0"/>
                    <w:widowControl w:val="0"/>
                    <w:shd w:val="clear" w:color="auto" w:fill="auto"/>
                    <w:kinsoku/>
                    <w:wordWrap/>
                    <w:overflowPunct/>
                    <w:topLinePunct w:val="0"/>
                    <w:autoSpaceDE/>
                    <w:autoSpaceDN/>
                    <w:bidi w:val="0"/>
                    <w:adjustRightInd/>
                    <w:snapToGrid/>
                    <w:spacing w:before="0" w:after="0"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eastAsia="zh-CN"/>
                    </w:rPr>
                  </w:pPr>
                </w:p>
              </w:tc>
              <w:tc>
                <w:tcPr>
                  <w:tcW w:w="743" w:type="dxa"/>
                  <w:vMerge w:val="continue"/>
                  <w:noWrap w:val="0"/>
                  <w:vAlign w:val="center"/>
                </w:tcPr>
                <w:p w14:paraId="29EA1EB8">
                  <w:pPr>
                    <w:pStyle w:val="47"/>
                    <w:keepNext w:val="0"/>
                    <w:keepLines w:val="0"/>
                    <w:pageBreakBefore w:val="0"/>
                    <w:widowControl w:val="0"/>
                    <w:shd w:val="clear" w:color="auto" w:fill="auto"/>
                    <w:kinsoku/>
                    <w:wordWrap/>
                    <w:overflowPunct/>
                    <w:topLinePunct w:val="0"/>
                    <w:autoSpaceDE/>
                    <w:autoSpaceDN/>
                    <w:bidi w:val="0"/>
                    <w:adjustRightInd/>
                    <w:snapToGrid/>
                    <w:spacing w:before="0" w:after="0"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eastAsia="zh-CN"/>
                    </w:rPr>
                  </w:pPr>
                </w:p>
              </w:tc>
              <w:tc>
                <w:tcPr>
                  <w:tcW w:w="819" w:type="dxa"/>
                  <w:vMerge w:val="continue"/>
                  <w:noWrap w:val="0"/>
                  <w:vAlign w:val="center"/>
                </w:tcPr>
                <w:p w14:paraId="5EA1B4A9">
                  <w:pPr>
                    <w:pStyle w:val="47"/>
                    <w:keepNext w:val="0"/>
                    <w:keepLines w:val="0"/>
                    <w:pageBreakBefore w:val="0"/>
                    <w:widowControl w:val="0"/>
                    <w:shd w:val="clear" w:color="auto" w:fill="auto"/>
                    <w:kinsoku/>
                    <w:wordWrap/>
                    <w:overflowPunct/>
                    <w:topLinePunct w:val="0"/>
                    <w:autoSpaceDE/>
                    <w:autoSpaceDN/>
                    <w:bidi w:val="0"/>
                    <w:adjustRightInd/>
                    <w:snapToGrid/>
                    <w:spacing w:before="0" w:after="0"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eastAsia="zh-CN"/>
                    </w:rPr>
                  </w:pPr>
                </w:p>
              </w:tc>
              <w:tc>
                <w:tcPr>
                  <w:tcW w:w="493" w:type="dxa"/>
                  <w:vMerge w:val="continue"/>
                  <w:noWrap w:val="0"/>
                  <w:vAlign w:val="center"/>
                </w:tcPr>
                <w:p w14:paraId="232F41FE">
                  <w:pPr>
                    <w:pStyle w:val="47"/>
                    <w:keepNext w:val="0"/>
                    <w:keepLines w:val="0"/>
                    <w:pageBreakBefore w:val="0"/>
                    <w:widowControl w:val="0"/>
                    <w:shd w:val="clear" w:color="auto" w:fill="auto"/>
                    <w:kinsoku/>
                    <w:wordWrap/>
                    <w:overflowPunct/>
                    <w:topLinePunct w:val="0"/>
                    <w:autoSpaceDE/>
                    <w:autoSpaceDN/>
                    <w:bidi w:val="0"/>
                    <w:adjustRightInd/>
                    <w:snapToGrid/>
                    <w:spacing w:before="0" w:after="0"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eastAsia="zh-CN"/>
                    </w:rPr>
                  </w:pPr>
                </w:p>
              </w:tc>
              <w:tc>
                <w:tcPr>
                  <w:tcW w:w="537" w:type="dxa"/>
                  <w:vMerge w:val="continue"/>
                  <w:noWrap w:val="0"/>
                  <w:vAlign w:val="center"/>
                </w:tcPr>
                <w:p w14:paraId="54551967">
                  <w:pPr>
                    <w:pStyle w:val="47"/>
                    <w:keepNext w:val="0"/>
                    <w:keepLines w:val="0"/>
                    <w:pageBreakBefore w:val="0"/>
                    <w:widowControl w:val="0"/>
                    <w:shd w:val="clear" w:color="auto" w:fill="auto"/>
                    <w:kinsoku/>
                    <w:wordWrap/>
                    <w:overflowPunct/>
                    <w:topLinePunct w:val="0"/>
                    <w:autoSpaceDE/>
                    <w:autoSpaceDN/>
                    <w:bidi w:val="0"/>
                    <w:adjustRightInd/>
                    <w:snapToGrid/>
                    <w:spacing w:before="0" w:after="0"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eastAsia="zh-CN"/>
                    </w:rPr>
                  </w:pPr>
                </w:p>
              </w:tc>
              <w:tc>
                <w:tcPr>
                  <w:tcW w:w="507" w:type="dxa"/>
                  <w:vMerge w:val="continue"/>
                  <w:noWrap w:val="0"/>
                  <w:vAlign w:val="center"/>
                </w:tcPr>
                <w:p w14:paraId="44928EF9">
                  <w:pPr>
                    <w:pStyle w:val="47"/>
                    <w:keepNext w:val="0"/>
                    <w:keepLines w:val="0"/>
                    <w:pageBreakBefore w:val="0"/>
                    <w:widowControl w:val="0"/>
                    <w:shd w:val="clear" w:color="auto" w:fill="auto"/>
                    <w:kinsoku/>
                    <w:wordWrap/>
                    <w:overflowPunct/>
                    <w:topLinePunct w:val="0"/>
                    <w:autoSpaceDE/>
                    <w:autoSpaceDN/>
                    <w:bidi w:val="0"/>
                    <w:adjustRightInd/>
                    <w:snapToGrid/>
                    <w:spacing w:before="0" w:after="0"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eastAsia="zh-CN"/>
                    </w:rPr>
                  </w:pPr>
                </w:p>
              </w:tc>
              <w:tc>
                <w:tcPr>
                  <w:tcW w:w="522" w:type="dxa"/>
                  <w:vMerge w:val="continue"/>
                  <w:noWrap w:val="0"/>
                  <w:vAlign w:val="center"/>
                </w:tcPr>
                <w:p w14:paraId="05788EE9">
                  <w:pPr>
                    <w:pStyle w:val="47"/>
                    <w:keepNext w:val="0"/>
                    <w:keepLines w:val="0"/>
                    <w:pageBreakBefore w:val="0"/>
                    <w:widowControl w:val="0"/>
                    <w:shd w:val="clear" w:color="auto" w:fill="auto"/>
                    <w:kinsoku/>
                    <w:wordWrap/>
                    <w:overflowPunct/>
                    <w:topLinePunct w:val="0"/>
                    <w:autoSpaceDE/>
                    <w:autoSpaceDN/>
                    <w:bidi w:val="0"/>
                    <w:adjustRightInd/>
                    <w:snapToGrid/>
                    <w:spacing w:before="0" w:after="0"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eastAsia="zh-CN"/>
                    </w:rPr>
                  </w:pPr>
                </w:p>
              </w:tc>
              <w:tc>
                <w:tcPr>
                  <w:tcW w:w="492" w:type="dxa"/>
                  <w:vMerge w:val="continue"/>
                  <w:noWrap w:val="0"/>
                  <w:vAlign w:val="center"/>
                </w:tcPr>
                <w:p w14:paraId="469A1DA4">
                  <w:pPr>
                    <w:pStyle w:val="47"/>
                    <w:keepNext w:val="0"/>
                    <w:keepLines w:val="0"/>
                    <w:pageBreakBefore w:val="0"/>
                    <w:widowControl w:val="0"/>
                    <w:shd w:val="clear" w:color="auto" w:fill="auto"/>
                    <w:kinsoku/>
                    <w:wordWrap/>
                    <w:overflowPunct/>
                    <w:topLinePunct w:val="0"/>
                    <w:autoSpaceDE/>
                    <w:autoSpaceDN/>
                    <w:bidi w:val="0"/>
                    <w:adjustRightInd/>
                    <w:snapToGrid/>
                    <w:spacing w:before="0" w:after="0"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lang w:eastAsia="zh-CN"/>
                    </w:rPr>
                  </w:pPr>
                </w:p>
              </w:tc>
              <w:tc>
                <w:tcPr>
                  <w:tcW w:w="686" w:type="dxa"/>
                  <w:noWrap w:val="0"/>
                  <w:vAlign w:val="center"/>
                </w:tcPr>
                <w:p w14:paraId="3962BC2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氨氮</w:t>
                  </w:r>
                </w:p>
              </w:tc>
              <w:tc>
                <w:tcPr>
                  <w:tcW w:w="1392" w:type="dxa"/>
                  <w:noWrap w:val="0"/>
                  <w:vAlign w:val="center"/>
                </w:tcPr>
                <w:p w14:paraId="4B66C42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5</w:t>
                  </w:r>
                </w:p>
              </w:tc>
              <w:tc>
                <w:tcPr>
                  <w:tcW w:w="1273" w:type="dxa"/>
                  <w:noWrap w:val="0"/>
                  <w:vAlign w:val="center"/>
                </w:tcPr>
                <w:p w14:paraId="14FEC26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1.5</w:t>
                  </w:r>
                </w:p>
              </w:tc>
            </w:tr>
            <w:tr w14:paraId="30C81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46" w:hRule="atLeast"/>
                <w:jc w:val="center"/>
              </w:trPr>
              <w:tc>
                <w:tcPr>
                  <w:tcW w:w="439" w:type="dxa"/>
                  <w:vMerge w:val="continue"/>
                  <w:noWrap w:val="0"/>
                  <w:vAlign w:val="center"/>
                </w:tcPr>
                <w:p w14:paraId="30FC325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Times New Roman" w:hAnsi="Times New Roman" w:eastAsia="宋体" w:cs="Times New Roman"/>
                      <w:color w:val="auto"/>
                      <w:spacing w:val="0"/>
                      <w:position w:val="0"/>
                      <w:sz w:val="21"/>
                      <w:szCs w:val="21"/>
                      <w:highlight w:val="none"/>
                    </w:rPr>
                  </w:pPr>
                </w:p>
              </w:tc>
              <w:tc>
                <w:tcPr>
                  <w:tcW w:w="487" w:type="dxa"/>
                  <w:vMerge w:val="continue"/>
                  <w:noWrap w:val="0"/>
                  <w:vAlign w:val="center"/>
                </w:tcPr>
                <w:p w14:paraId="231DD09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743" w:type="dxa"/>
                  <w:vMerge w:val="continue"/>
                  <w:noWrap w:val="0"/>
                  <w:vAlign w:val="center"/>
                </w:tcPr>
                <w:p w14:paraId="3F68725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819" w:type="dxa"/>
                  <w:vMerge w:val="continue"/>
                  <w:noWrap w:val="0"/>
                  <w:vAlign w:val="center"/>
                </w:tcPr>
                <w:p w14:paraId="2E4CB4D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3" w:type="dxa"/>
                  <w:vMerge w:val="continue"/>
                  <w:noWrap w:val="0"/>
                  <w:vAlign w:val="center"/>
                </w:tcPr>
                <w:p w14:paraId="3864E34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37" w:type="dxa"/>
                  <w:vMerge w:val="continue"/>
                  <w:noWrap w:val="0"/>
                  <w:vAlign w:val="center"/>
                </w:tcPr>
                <w:p w14:paraId="60F18EE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07" w:type="dxa"/>
                  <w:vMerge w:val="continue"/>
                  <w:noWrap w:val="0"/>
                  <w:vAlign w:val="center"/>
                </w:tcPr>
                <w:p w14:paraId="4FF9C95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22" w:type="dxa"/>
                  <w:vMerge w:val="continue"/>
                  <w:noWrap w:val="0"/>
                  <w:vAlign w:val="center"/>
                </w:tcPr>
                <w:p w14:paraId="76E7834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2" w:type="dxa"/>
                  <w:vMerge w:val="continue"/>
                  <w:noWrap w:val="0"/>
                  <w:vAlign w:val="center"/>
                </w:tcPr>
                <w:p w14:paraId="1F2B50A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686" w:type="dxa"/>
                  <w:noWrap w:val="0"/>
                  <w:vAlign w:val="center"/>
                </w:tcPr>
                <w:p w14:paraId="724F0B0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BOD</w:t>
                  </w:r>
                  <w:r>
                    <w:rPr>
                      <w:rFonts w:ascii="Times New Roman" w:hAnsi="Times New Roman" w:eastAsia="宋体" w:cs="Times New Roman"/>
                      <w:color w:val="auto"/>
                      <w:spacing w:val="0"/>
                      <w:position w:val="0"/>
                      <w:sz w:val="21"/>
                      <w:szCs w:val="21"/>
                      <w:highlight w:val="none"/>
                      <w:vertAlign w:val="subscript"/>
                    </w:rPr>
                    <w:t>5</w:t>
                  </w:r>
                </w:p>
              </w:tc>
              <w:tc>
                <w:tcPr>
                  <w:tcW w:w="1392" w:type="dxa"/>
                  <w:noWrap w:val="0"/>
                  <w:vAlign w:val="center"/>
                </w:tcPr>
                <w:p w14:paraId="0172123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w:t>
                  </w:r>
                </w:p>
              </w:tc>
              <w:tc>
                <w:tcPr>
                  <w:tcW w:w="1273" w:type="dxa"/>
                  <w:noWrap w:val="0"/>
                  <w:vAlign w:val="center"/>
                </w:tcPr>
                <w:p w14:paraId="646A8DA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6</w:t>
                  </w:r>
                </w:p>
              </w:tc>
            </w:tr>
            <w:tr w14:paraId="5AD06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6" w:hRule="atLeast"/>
                <w:jc w:val="center"/>
              </w:trPr>
              <w:tc>
                <w:tcPr>
                  <w:tcW w:w="439" w:type="dxa"/>
                  <w:vMerge w:val="continue"/>
                  <w:noWrap w:val="0"/>
                  <w:vAlign w:val="center"/>
                </w:tcPr>
                <w:p w14:paraId="4C9D6C9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Times New Roman" w:hAnsi="Times New Roman" w:eastAsia="宋体" w:cs="Times New Roman"/>
                      <w:color w:val="auto"/>
                      <w:spacing w:val="0"/>
                      <w:position w:val="0"/>
                      <w:sz w:val="21"/>
                      <w:szCs w:val="21"/>
                      <w:highlight w:val="none"/>
                    </w:rPr>
                  </w:pPr>
                </w:p>
              </w:tc>
              <w:tc>
                <w:tcPr>
                  <w:tcW w:w="487" w:type="dxa"/>
                  <w:vMerge w:val="continue"/>
                  <w:noWrap w:val="0"/>
                  <w:vAlign w:val="center"/>
                </w:tcPr>
                <w:p w14:paraId="323095F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743" w:type="dxa"/>
                  <w:vMerge w:val="continue"/>
                  <w:noWrap w:val="0"/>
                  <w:vAlign w:val="center"/>
                </w:tcPr>
                <w:p w14:paraId="024B0C4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819" w:type="dxa"/>
                  <w:vMerge w:val="continue"/>
                  <w:noWrap w:val="0"/>
                  <w:vAlign w:val="center"/>
                </w:tcPr>
                <w:p w14:paraId="4D3F272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3" w:type="dxa"/>
                  <w:vMerge w:val="continue"/>
                  <w:noWrap w:val="0"/>
                  <w:vAlign w:val="center"/>
                </w:tcPr>
                <w:p w14:paraId="63D613C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37" w:type="dxa"/>
                  <w:vMerge w:val="continue"/>
                  <w:noWrap w:val="0"/>
                  <w:vAlign w:val="center"/>
                </w:tcPr>
                <w:p w14:paraId="547E871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07" w:type="dxa"/>
                  <w:vMerge w:val="continue"/>
                  <w:noWrap w:val="0"/>
                  <w:vAlign w:val="center"/>
                </w:tcPr>
                <w:p w14:paraId="36F9D0B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22" w:type="dxa"/>
                  <w:vMerge w:val="continue"/>
                  <w:noWrap w:val="0"/>
                  <w:vAlign w:val="center"/>
                </w:tcPr>
                <w:p w14:paraId="78876C1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2" w:type="dxa"/>
                  <w:vMerge w:val="continue"/>
                  <w:noWrap w:val="0"/>
                  <w:vAlign w:val="center"/>
                </w:tcPr>
                <w:p w14:paraId="3F9EF2F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686" w:type="dxa"/>
                  <w:noWrap w:val="0"/>
                  <w:vAlign w:val="center"/>
                </w:tcPr>
                <w:p w14:paraId="48EDE3C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SS</w:t>
                  </w:r>
                </w:p>
              </w:tc>
              <w:tc>
                <w:tcPr>
                  <w:tcW w:w="1392" w:type="dxa"/>
                  <w:noWrap w:val="0"/>
                  <w:vAlign w:val="center"/>
                </w:tcPr>
                <w:p w14:paraId="1597FDA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w:t>
                  </w:r>
                </w:p>
              </w:tc>
              <w:tc>
                <w:tcPr>
                  <w:tcW w:w="1273" w:type="dxa"/>
                  <w:noWrap w:val="0"/>
                  <w:vAlign w:val="center"/>
                </w:tcPr>
                <w:p w14:paraId="00D18D6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5</w:t>
                  </w:r>
                </w:p>
              </w:tc>
            </w:tr>
            <w:tr w14:paraId="774ED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78" w:hRule="atLeast"/>
                <w:jc w:val="center"/>
              </w:trPr>
              <w:tc>
                <w:tcPr>
                  <w:tcW w:w="439" w:type="dxa"/>
                  <w:vMerge w:val="continue"/>
                  <w:noWrap w:val="0"/>
                  <w:vAlign w:val="center"/>
                </w:tcPr>
                <w:p w14:paraId="7D7D73B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Times New Roman" w:hAnsi="Times New Roman" w:eastAsia="宋体" w:cs="Times New Roman"/>
                      <w:color w:val="auto"/>
                      <w:spacing w:val="0"/>
                      <w:position w:val="0"/>
                      <w:sz w:val="21"/>
                      <w:szCs w:val="21"/>
                      <w:highlight w:val="none"/>
                    </w:rPr>
                  </w:pPr>
                </w:p>
              </w:tc>
              <w:tc>
                <w:tcPr>
                  <w:tcW w:w="487" w:type="dxa"/>
                  <w:vMerge w:val="continue"/>
                  <w:noWrap w:val="0"/>
                  <w:vAlign w:val="center"/>
                </w:tcPr>
                <w:p w14:paraId="161FFB5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743" w:type="dxa"/>
                  <w:vMerge w:val="continue"/>
                  <w:noWrap w:val="0"/>
                  <w:vAlign w:val="center"/>
                </w:tcPr>
                <w:p w14:paraId="718E22D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819" w:type="dxa"/>
                  <w:vMerge w:val="continue"/>
                  <w:noWrap w:val="0"/>
                  <w:vAlign w:val="center"/>
                </w:tcPr>
                <w:p w14:paraId="75DA8CA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3" w:type="dxa"/>
                  <w:vMerge w:val="continue"/>
                  <w:noWrap w:val="0"/>
                  <w:vAlign w:val="center"/>
                </w:tcPr>
                <w:p w14:paraId="3AC3EDD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37" w:type="dxa"/>
                  <w:vMerge w:val="continue"/>
                  <w:noWrap w:val="0"/>
                  <w:vAlign w:val="center"/>
                </w:tcPr>
                <w:p w14:paraId="1A16177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07" w:type="dxa"/>
                  <w:vMerge w:val="continue"/>
                  <w:noWrap w:val="0"/>
                  <w:vAlign w:val="center"/>
                </w:tcPr>
                <w:p w14:paraId="77D3D8B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22" w:type="dxa"/>
                  <w:vMerge w:val="continue"/>
                  <w:noWrap w:val="0"/>
                  <w:vAlign w:val="center"/>
                </w:tcPr>
                <w:p w14:paraId="46D8C9B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2" w:type="dxa"/>
                  <w:vMerge w:val="continue"/>
                  <w:noWrap w:val="0"/>
                  <w:vAlign w:val="center"/>
                </w:tcPr>
                <w:p w14:paraId="59BAA58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686" w:type="dxa"/>
                  <w:noWrap w:val="0"/>
                  <w:vAlign w:val="center"/>
                </w:tcPr>
                <w:p w14:paraId="2012519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总磷</w:t>
                  </w:r>
                </w:p>
              </w:tc>
              <w:tc>
                <w:tcPr>
                  <w:tcW w:w="1392" w:type="dxa"/>
                  <w:noWrap w:val="0"/>
                  <w:vAlign w:val="center"/>
                </w:tcPr>
                <w:p w14:paraId="270800C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0.5</w:t>
                  </w:r>
                </w:p>
              </w:tc>
              <w:tc>
                <w:tcPr>
                  <w:tcW w:w="1273" w:type="dxa"/>
                  <w:noWrap w:val="0"/>
                  <w:vAlign w:val="center"/>
                </w:tcPr>
                <w:p w14:paraId="2928F80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0.3</w:t>
                  </w:r>
                </w:p>
              </w:tc>
            </w:tr>
            <w:tr w14:paraId="7CFFB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55" w:hRule="atLeast"/>
                <w:jc w:val="center"/>
              </w:trPr>
              <w:tc>
                <w:tcPr>
                  <w:tcW w:w="439" w:type="dxa"/>
                  <w:vMerge w:val="continue"/>
                  <w:noWrap w:val="0"/>
                  <w:vAlign w:val="center"/>
                </w:tcPr>
                <w:p w14:paraId="4124249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Times New Roman" w:hAnsi="Times New Roman" w:eastAsia="宋体" w:cs="Times New Roman"/>
                      <w:color w:val="auto"/>
                      <w:spacing w:val="0"/>
                      <w:position w:val="0"/>
                      <w:sz w:val="21"/>
                      <w:szCs w:val="21"/>
                      <w:highlight w:val="none"/>
                    </w:rPr>
                  </w:pPr>
                </w:p>
              </w:tc>
              <w:tc>
                <w:tcPr>
                  <w:tcW w:w="487" w:type="dxa"/>
                  <w:vMerge w:val="continue"/>
                  <w:noWrap w:val="0"/>
                  <w:vAlign w:val="center"/>
                </w:tcPr>
                <w:p w14:paraId="713BE4A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743" w:type="dxa"/>
                  <w:vMerge w:val="continue"/>
                  <w:noWrap w:val="0"/>
                  <w:vAlign w:val="center"/>
                </w:tcPr>
                <w:p w14:paraId="516A78D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819" w:type="dxa"/>
                  <w:vMerge w:val="continue"/>
                  <w:noWrap w:val="0"/>
                  <w:vAlign w:val="center"/>
                </w:tcPr>
                <w:p w14:paraId="3D4F954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3" w:type="dxa"/>
                  <w:vMerge w:val="continue"/>
                  <w:noWrap w:val="0"/>
                  <w:vAlign w:val="center"/>
                </w:tcPr>
                <w:p w14:paraId="463DDC8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37" w:type="dxa"/>
                  <w:vMerge w:val="continue"/>
                  <w:noWrap w:val="0"/>
                  <w:vAlign w:val="center"/>
                </w:tcPr>
                <w:p w14:paraId="4CFD603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07" w:type="dxa"/>
                  <w:vMerge w:val="continue"/>
                  <w:noWrap w:val="0"/>
                  <w:vAlign w:val="center"/>
                </w:tcPr>
                <w:p w14:paraId="62DEFD8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22" w:type="dxa"/>
                  <w:vMerge w:val="continue"/>
                  <w:noWrap w:val="0"/>
                  <w:vAlign w:val="center"/>
                </w:tcPr>
                <w:p w14:paraId="10F479B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2" w:type="dxa"/>
                  <w:vMerge w:val="continue"/>
                  <w:noWrap w:val="0"/>
                  <w:vAlign w:val="center"/>
                </w:tcPr>
                <w:p w14:paraId="734A586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686" w:type="dxa"/>
                  <w:noWrap w:val="0"/>
                  <w:vAlign w:val="center"/>
                </w:tcPr>
                <w:p w14:paraId="49358A9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总氮</w:t>
                  </w:r>
                </w:p>
              </w:tc>
              <w:tc>
                <w:tcPr>
                  <w:tcW w:w="1392" w:type="dxa"/>
                  <w:noWrap w:val="0"/>
                  <w:vAlign w:val="center"/>
                </w:tcPr>
                <w:p w14:paraId="16CDC45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15</w:t>
                  </w:r>
                </w:p>
              </w:tc>
              <w:tc>
                <w:tcPr>
                  <w:tcW w:w="1273" w:type="dxa"/>
                  <w:noWrap w:val="0"/>
                  <w:vAlign w:val="center"/>
                </w:tcPr>
                <w:p w14:paraId="486F28A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15</w:t>
                  </w:r>
                </w:p>
              </w:tc>
            </w:tr>
            <w:tr w14:paraId="09059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55" w:hRule="atLeast"/>
                <w:jc w:val="center"/>
              </w:trPr>
              <w:tc>
                <w:tcPr>
                  <w:tcW w:w="439" w:type="dxa"/>
                  <w:vMerge w:val="continue"/>
                  <w:noWrap w:val="0"/>
                  <w:vAlign w:val="center"/>
                </w:tcPr>
                <w:p w14:paraId="709AE74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Times New Roman" w:hAnsi="Times New Roman" w:eastAsia="宋体" w:cs="Times New Roman"/>
                      <w:color w:val="auto"/>
                      <w:spacing w:val="0"/>
                      <w:position w:val="0"/>
                      <w:sz w:val="21"/>
                      <w:szCs w:val="21"/>
                      <w:highlight w:val="none"/>
                    </w:rPr>
                  </w:pPr>
                </w:p>
              </w:tc>
              <w:tc>
                <w:tcPr>
                  <w:tcW w:w="487" w:type="dxa"/>
                  <w:vMerge w:val="continue"/>
                  <w:noWrap w:val="0"/>
                  <w:vAlign w:val="center"/>
                </w:tcPr>
                <w:p w14:paraId="790E51A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743" w:type="dxa"/>
                  <w:vMerge w:val="continue"/>
                  <w:noWrap w:val="0"/>
                  <w:vAlign w:val="center"/>
                </w:tcPr>
                <w:p w14:paraId="774AD9C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819" w:type="dxa"/>
                  <w:vMerge w:val="continue"/>
                  <w:noWrap w:val="0"/>
                  <w:vAlign w:val="center"/>
                </w:tcPr>
                <w:p w14:paraId="2AB7C12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3" w:type="dxa"/>
                  <w:vMerge w:val="continue"/>
                  <w:noWrap w:val="0"/>
                  <w:vAlign w:val="center"/>
                </w:tcPr>
                <w:p w14:paraId="496174C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37" w:type="dxa"/>
                  <w:vMerge w:val="continue"/>
                  <w:noWrap w:val="0"/>
                  <w:vAlign w:val="center"/>
                </w:tcPr>
                <w:p w14:paraId="27DD124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07" w:type="dxa"/>
                  <w:vMerge w:val="continue"/>
                  <w:noWrap w:val="0"/>
                  <w:vAlign w:val="center"/>
                </w:tcPr>
                <w:p w14:paraId="107D308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522" w:type="dxa"/>
                  <w:vMerge w:val="continue"/>
                  <w:noWrap w:val="0"/>
                  <w:vAlign w:val="center"/>
                </w:tcPr>
                <w:p w14:paraId="45F14C6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492" w:type="dxa"/>
                  <w:vMerge w:val="continue"/>
                  <w:noWrap w:val="0"/>
                  <w:vAlign w:val="center"/>
                </w:tcPr>
                <w:p w14:paraId="1BD4228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686" w:type="dxa"/>
                  <w:noWrap w:val="0"/>
                  <w:vAlign w:val="center"/>
                </w:tcPr>
                <w:p w14:paraId="215ADCC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动植物油</w:t>
                  </w:r>
                </w:p>
              </w:tc>
              <w:tc>
                <w:tcPr>
                  <w:tcW w:w="1392" w:type="dxa"/>
                  <w:noWrap w:val="0"/>
                  <w:vAlign w:val="center"/>
                </w:tcPr>
                <w:p w14:paraId="174EC0B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w:t>
                  </w:r>
                </w:p>
              </w:tc>
              <w:tc>
                <w:tcPr>
                  <w:tcW w:w="1273" w:type="dxa"/>
                  <w:noWrap w:val="0"/>
                  <w:vAlign w:val="center"/>
                </w:tcPr>
                <w:p w14:paraId="1917A41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0.5</w:t>
                  </w:r>
                </w:p>
              </w:tc>
            </w:tr>
          </w:tbl>
          <w:p w14:paraId="2BC98309">
            <w:pPr>
              <w:bidi w:val="0"/>
              <w:rPr>
                <w:rFonts w:hint="default"/>
                <w:color w:val="auto"/>
                <w:highlight w:val="none"/>
                <w:lang w:val="en-US" w:eastAsia="zh-CN"/>
              </w:rPr>
            </w:pPr>
            <w:r>
              <w:rPr>
                <w:rFonts w:hint="eastAsia"/>
                <w:color w:val="auto"/>
                <w:highlight w:val="none"/>
                <w:lang w:val="en-US" w:eastAsia="zh-CN"/>
              </w:rPr>
              <w:t>废水污染物排放情况见下表。</w:t>
            </w:r>
          </w:p>
          <w:p w14:paraId="07DC4683">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ascii="Times New Roman" w:hAnsi="Times New Roman" w:eastAsia="宋体" w:cs="Times New Roman"/>
                <w:b/>
                <w:color w:val="auto"/>
                <w:spacing w:val="0"/>
                <w:position w:val="0"/>
                <w:sz w:val="21"/>
                <w:szCs w:val="21"/>
                <w:highlight w:val="none"/>
              </w:rPr>
            </w:pPr>
          </w:p>
          <w:p w14:paraId="40CD0912">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hint="default" w:ascii="Times New Roman" w:hAnsi="Times New Roman" w:eastAsia="宋体" w:cs="Times New Roman"/>
                <w:b/>
                <w:color w:val="auto"/>
                <w:spacing w:val="0"/>
                <w:position w:val="0"/>
                <w:sz w:val="24"/>
                <w:szCs w:val="24"/>
                <w:highlight w:val="none"/>
                <w:lang w:val="en-US" w:eastAsia="zh-CN"/>
              </w:rPr>
            </w:pPr>
            <w:r>
              <w:rPr>
                <w:rFonts w:ascii="Times New Roman" w:hAnsi="Times New Roman" w:eastAsia="宋体" w:cs="Times New Roman"/>
                <w:b/>
                <w:color w:val="auto"/>
                <w:spacing w:val="0"/>
                <w:position w:val="0"/>
                <w:sz w:val="21"/>
                <w:szCs w:val="21"/>
                <w:highlight w:val="none"/>
              </w:rPr>
              <w:t>表</w:t>
            </w:r>
            <w:r>
              <w:rPr>
                <w:rFonts w:hint="eastAsia" w:cs="Times New Roman"/>
                <w:b/>
                <w:color w:val="auto"/>
                <w:spacing w:val="0"/>
                <w:position w:val="0"/>
                <w:sz w:val="21"/>
                <w:szCs w:val="21"/>
                <w:highlight w:val="none"/>
                <w:lang w:val="en-US" w:eastAsia="zh-CN"/>
              </w:rPr>
              <w:t xml:space="preserve">52  </w:t>
            </w:r>
            <w:r>
              <w:rPr>
                <w:rFonts w:ascii="Times New Roman" w:hAnsi="Times New Roman" w:eastAsia="宋体" w:cs="Times New Roman"/>
                <w:b/>
                <w:color w:val="auto"/>
                <w:spacing w:val="0"/>
                <w:position w:val="0"/>
                <w:sz w:val="21"/>
                <w:szCs w:val="21"/>
                <w:highlight w:val="none"/>
              </w:rPr>
              <w:t>废水</w:t>
            </w:r>
            <w:r>
              <w:rPr>
                <w:rFonts w:hint="eastAsia" w:cs="Times New Roman"/>
                <w:b/>
                <w:color w:val="auto"/>
                <w:spacing w:val="0"/>
                <w:position w:val="0"/>
                <w:sz w:val="21"/>
                <w:szCs w:val="21"/>
                <w:highlight w:val="none"/>
                <w:lang w:val="en-US" w:eastAsia="zh-CN"/>
              </w:rPr>
              <w:t>污染物排放情况</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729"/>
              <w:gridCol w:w="1293"/>
              <w:gridCol w:w="1122"/>
              <w:gridCol w:w="1042"/>
              <w:gridCol w:w="1093"/>
              <w:gridCol w:w="1539"/>
              <w:gridCol w:w="1572"/>
            </w:tblGrid>
            <w:tr w14:paraId="610DA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729" w:type="dxa"/>
                  <w:noWrap w:val="0"/>
                  <w:vAlign w:val="center"/>
                </w:tcPr>
                <w:p w14:paraId="65AF710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序号</w:t>
                  </w:r>
                </w:p>
              </w:tc>
              <w:tc>
                <w:tcPr>
                  <w:tcW w:w="1293" w:type="dxa"/>
                  <w:noWrap w:val="0"/>
                  <w:vAlign w:val="center"/>
                </w:tcPr>
                <w:p w14:paraId="0017663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污染物</w:t>
                  </w:r>
                </w:p>
              </w:tc>
              <w:tc>
                <w:tcPr>
                  <w:tcW w:w="1122" w:type="dxa"/>
                  <w:noWrap w:val="0"/>
                  <w:vAlign w:val="center"/>
                </w:tcPr>
                <w:p w14:paraId="49E2889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排放浓度</w:t>
                  </w:r>
                </w:p>
              </w:tc>
              <w:tc>
                <w:tcPr>
                  <w:tcW w:w="1042" w:type="dxa"/>
                  <w:noWrap w:val="0"/>
                  <w:vAlign w:val="center"/>
                </w:tcPr>
                <w:p w14:paraId="6847E8B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排放限值</w:t>
                  </w:r>
                </w:p>
              </w:tc>
              <w:tc>
                <w:tcPr>
                  <w:tcW w:w="1093" w:type="dxa"/>
                  <w:noWrap w:val="0"/>
                  <w:vAlign w:val="center"/>
                </w:tcPr>
                <w:p w14:paraId="25665D2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废水排放量</w:t>
                  </w:r>
                </w:p>
              </w:tc>
              <w:tc>
                <w:tcPr>
                  <w:tcW w:w="1539" w:type="dxa"/>
                  <w:noWrap w:val="0"/>
                  <w:vAlign w:val="center"/>
                </w:tcPr>
                <w:p w14:paraId="5E9003D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排放量</w:t>
                  </w:r>
                </w:p>
              </w:tc>
              <w:tc>
                <w:tcPr>
                  <w:tcW w:w="1572" w:type="dxa"/>
                  <w:noWrap w:val="0"/>
                  <w:vAlign w:val="center"/>
                </w:tcPr>
                <w:p w14:paraId="67FC67C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val="en-US" w:eastAsia="zh-CN"/>
                    </w:rPr>
                    <w:t>排放去向</w:t>
                  </w:r>
                </w:p>
              </w:tc>
            </w:tr>
            <w:tr w14:paraId="0BEB5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729" w:type="dxa"/>
                  <w:noWrap w:val="0"/>
                  <w:vAlign w:val="center"/>
                </w:tcPr>
                <w:p w14:paraId="37B31ACC">
                  <w:pPr>
                    <w:keepNext w:val="0"/>
                    <w:keepLines w:val="0"/>
                    <w:pageBreakBefore w:val="0"/>
                    <w:widowControl w:val="0"/>
                    <w:numPr>
                      <w:ilvl w:val="0"/>
                      <w:numId w:val="33"/>
                    </w:numPr>
                    <w:kinsoku/>
                    <w:wordWrap/>
                    <w:overflowPunct/>
                    <w:topLinePunct w:val="0"/>
                    <w:autoSpaceDE/>
                    <w:autoSpaceDN/>
                    <w:bidi w:val="0"/>
                    <w:adjustRightInd/>
                    <w:snapToGrid/>
                    <w:spacing w:line="0" w:lineRule="atLeas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293" w:type="dxa"/>
                  <w:noWrap w:val="0"/>
                  <w:vAlign w:val="center"/>
                </w:tcPr>
                <w:p w14:paraId="23F8088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rPr>
                    <w:t>pH</w:t>
                  </w:r>
                  <w:r>
                    <w:rPr>
                      <w:rFonts w:hint="eastAsia" w:cs="Times New Roman"/>
                      <w:color w:val="auto"/>
                      <w:spacing w:val="0"/>
                      <w:position w:val="0"/>
                      <w:sz w:val="21"/>
                      <w:szCs w:val="21"/>
                      <w:highlight w:val="none"/>
                      <w:lang w:eastAsia="zh-CN"/>
                    </w:rPr>
                    <w:t>（</w:t>
                  </w:r>
                  <w:r>
                    <w:rPr>
                      <w:rFonts w:hint="eastAsia" w:cs="Times New Roman"/>
                      <w:color w:val="auto"/>
                      <w:spacing w:val="0"/>
                      <w:position w:val="0"/>
                      <w:sz w:val="21"/>
                      <w:szCs w:val="21"/>
                      <w:highlight w:val="none"/>
                      <w:lang w:val="en-US" w:eastAsia="zh-CN"/>
                    </w:rPr>
                    <w:t>无量纲</w:t>
                  </w:r>
                  <w:r>
                    <w:rPr>
                      <w:rFonts w:hint="eastAsia" w:cs="Times New Roman"/>
                      <w:color w:val="auto"/>
                      <w:spacing w:val="0"/>
                      <w:position w:val="0"/>
                      <w:sz w:val="21"/>
                      <w:szCs w:val="21"/>
                      <w:highlight w:val="none"/>
                      <w:lang w:eastAsia="zh-CN"/>
                    </w:rPr>
                    <w:t>）</w:t>
                  </w:r>
                </w:p>
              </w:tc>
              <w:tc>
                <w:tcPr>
                  <w:tcW w:w="1122" w:type="dxa"/>
                  <w:noWrap w:val="0"/>
                  <w:vAlign w:val="center"/>
                </w:tcPr>
                <w:p w14:paraId="5F90E4D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7-9</w:t>
                  </w:r>
                </w:p>
              </w:tc>
              <w:tc>
                <w:tcPr>
                  <w:tcW w:w="1042" w:type="dxa"/>
                  <w:noWrap w:val="0"/>
                  <w:vAlign w:val="center"/>
                </w:tcPr>
                <w:p w14:paraId="2639E79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6-9</w:t>
                  </w:r>
                  <w:r>
                    <w:rPr>
                      <w:rFonts w:hint="default" w:ascii="Times New Roman" w:hAnsi="Times New Roman" w:cs="Times New Roman"/>
                      <w:color w:val="auto"/>
                      <w:spacing w:val="0"/>
                      <w:position w:val="0"/>
                      <w:sz w:val="21"/>
                      <w:szCs w:val="21"/>
                      <w:highlight w:val="none"/>
                      <w:lang w:val="en-US" w:eastAsia="zh-CN"/>
                    </w:rPr>
                    <w:t>mg/L</w:t>
                  </w:r>
                </w:p>
              </w:tc>
              <w:tc>
                <w:tcPr>
                  <w:tcW w:w="1093" w:type="dxa"/>
                  <w:vMerge w:val="restart"/>
                  <w:noWrap w:val="0"/>
                  <w:vAlign w:val="center"/>
                </w:tcPr>
                <w:p w14:paraId="295F31C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3200m</w:t>
                  </w:r>
                  <w:r>
                    <w:rPr>
                      <w:rFonts w:hint="eastAsia" w:cs="Times New Roman"/>
                      <w:color w:val="auto"/>
                      <w:spacing w:val="0"/>
                      <w:position w:val="0"/>
                      <w:sz w:val="21"/>
                      <w:szCs w:val="21"/>
                      <w:highlight w:val="none"/>
                      <w:vertAlign w:val="superscript"/>
                      <w:lang w:val="en-US" w:eastAsia="zh-CN"/>
                    </w:rPr>
                    <w:t>3</w:t>
                  </w:r>
                  <w:r>
                    <w:rPr>
                      <w:rFonts w:hint="eastAsia" w:cs="Times New Roman"/>
                      <w:color w:val="auto"/>
                      <w:spacing w:val="0"/>
                      <w:position w:val="0"/>
                      <w:sz w:val="21"/>
                      <w:szCs w:val="21"/>
                      <w:highlight w:val="none"/>
                      <w:lang w:val="en-US" w:eastAsia="zh-CN"/>
                    </w:rPr>
                    <w:t>/a</w:t>
                  </w:r>
                </w:p>
              </w:tc>
              <w:tc>
                <w:tcPr>
                  <w:tcW w:w="1539" w:type="dxa"/>
                  <w:noWrap w:val="0"/>
                  <w:vAlign w:val="center"/>
                </w:tcPr>
                <w:p w14:paraId="723F22A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w:t>
                  </w:r>
                </w:p>
              </w:tc>
              <w:tc>
                <w:tcPr>
                  <w:tcW w:w="1572" w:type="dxa"/>
                  <w:vMerge w:val="restart"/>
                  <w:noWrap w:val="0"/>
                  <w:vAlign w:val="center"/>
                </w:tcPr>
                <w:p w14:paraId="08B8E99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排入市政</w:t>
                  </w:r>
                  <w:r>
                    <w:rPr>
                      <w:rFonts w:hint="eastAsia" w:cs="Times New Roman"/>
                      <w:color w:val="auto"/>
                      <w:spacing w:val="0"/>
                      <w:position w:val="0"/>
                      <w:sz w:val="21"/>
                      <w:szCs w:val="21"/>
                      <w:highlight w:val="none"/>
                      <w:lang w:val="en-US" w:eastAsia="zh-CN"/>
                    </w:rPr>
                    <w:t>污水</w:t>
                  </w:r>
                  <w:r>
                    <w:rPr>
                      <w:rFonts w:hint="eastAsia" w:ascii="Times New Roman" w:hAnsi="Times New Roman" w:eastAsia="宋体" w:cs="Times New Roman"/>
                      <w:color w:val="auto"/>
                      <w:spacing w:val="0"/>
                      <w:position w:val="0"/>
                      <w:sz w:val="21"/>
                      <w:szCs w:val="21"/>
                      <w:highlight w:val="none"/>
                      <w:lang w:val="en-US" w:eastAsia="zh-CN"/>
                    </w:rPr>
                    <w:t>管网，最终进入西郊污水处理厂处理</w:t>
                  </w:r>
                </w:p>
              </w:tc>
            </w:tr>
            <w:tr w14:paraId="0D2C0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729" w:type="dxa"/>
                  <w:vAlign w:val="center"/>
                </w:tcPr>
                <w:p w14:paraId="786D9941">
                  <w:pPr>
                    <w:keepNext w:val="0"/>
                    <w:keepLines w:val="0"/>
                    <w:pageBreakBefore w:val="0"/>
                    <w:widowControl w:val="0"/>
                    <w:numPr>
                      <w:ilvl w:val="0"/>
                      <w:numId w:val="33"/>
                    </w:numPr>
                    <w:kinsoku/>
                    <w:wordWrap/>
                    <w:overflowPunct/>
                    <w:topLinePunct w:val="0"/>
                    <w:autoSpaceDE/>
                    <w:autoSpaceDN/>
                    <w:bidi w:val="0"/>
                    <w:adjustRightInd/>
                    <w:snapToGrid/>
                    <w:spacing w:line="0" w:lineRule="atLeas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293" w:type="dxa"/>
                  <w:vAlign w:val="center"/>
                </w:tcPr>
                <w:p w14:paraId="6F7FD9E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cs="Times New Roman" w:eastAsiaTheme="minorEastAsia"/>
                      <w:snapToGrid w:val="0"/>
                      <w:color w:val="auto"/>
                      <w:kern w:val="21"/>
                      <w:sz w:val="21"/>
                      <w:szCs w:val="21"/>
                      <w:highlight w:val="none"/>
                      <w:lang w:val="en-US" w:eastAsia="zh-CN"/>
                    </w:rPr>
                    <w:t>COD</w:t>
                  </w:r>
                </w:p>
              </w:tc>
              <w:tc>
                <w:tcPr>
                  <w:tcW w:w="1122" w:type="dxa"/>
                  <w:vAlign w:val="center"/>
                </w:tcPr>
                <w:p w14:paraId="60B6867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300</w:t>
                  </w:r>
                  <w:r>
                    <w:rPr>
                      <w:rFonts w:hint="default" w:ascii="Times New Roman" w:hAnsi="Times New Roman" w:cs="Times New Roman"/>
                      <w:color w:val="auto"/>
                      <w:spacing w:val="0"/>
                      <w:position w:val="0"/>
                      <w:sz w:val="21"/>
                      <w:szCs w:val="21"/>
                      <w:highlight w:val="none"/>
                      <w:lang w:val="en-US" w:eastAsia="zh-CN"/>
                    </w:rPr>
                    <w:t>mg/L</w:t>
                  </w:r>
                </w:p>
              </w:tc>
              <w:tc>
                <w:tcPr>
                  <w:tcW w:w="1042" w:type="dxa"/>
                  <w:vAlign w:val="center"/>
                </w:tcPr>
                <w:p w14:paraId="169024F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300</w:t>
                  </w:r>
                  <w:r>
                    <w:rPr>
                      <w:rFonts w:hint="default" w:ascii="Times New Roman" w:hAnsi="Times New Roman" w:cs="Times New Roman"/>
                      <w:color w:val="auto"/>
                      <w:spacing w:val="0"/>
                      <w:position w:val="0"/>
                      <w:sz w:val="21"/>
                      <w:szCs w:val="21"/>
                      <w:highlight w:val="none"/>
                      <w:lang w:val="en-US" w:eastAsia="zh-CN"/>
                    </w:rPr>
                    <w:t>mg/L</w:t>
                  </w:r>
                </w:p>
              </w:tc>
              <w:tc>
                <w:tcPr>
                  <w:tcW w:w="1093" w:type="dxa"/>
                  <w:vMerge w:val="continue"/>
                  <w:vAlign w:val="center"/>
                </w:tcPr>
                <w:p w14:paraId="51BD6A2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539" w:type="dxa"/>
                  <w:vAlign w:val="center"/>
                </w:tcPr>
                <w:p w14:paraId="7B828D9D">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Times New Roman" w:eastAsiaTheme="minorEastAsia"/>
                      <w:snapToGrid w:val="0"/>
                      <w:color w:val="auto"/>
                      <w:kern w:val="21"/>
                      <w:sz w:val="21"/>
                      <w:szCs w:val="21"/>
                      <w:highlight w:val="none"/>
                      <w:lang w:val="en-US" w:eastAsia="zh-CN"/>
                    </w:rPr>
                    <w:t>0.960</w:t>
                  </w:r>
                  <w:r>
                    <w:rPr>
                      <w:rFonts w:hint="default" w:ascii="Times New Roman" w:hAnsi="Times New Roman" w:cs="Times New Roman" w:eastAsiaTheme="minorEastAsia"/>
                      <w:snapToGrid w:val="0"/>
                      <w:color w:val="auto"/>
                      <w:kern w:val="21"/>
                      <w:sz w:val="21"/>
                      <w:szCs w:val="21"/>
                      <w:highlight w:val="none"/>
                      <w:lang w:val="en-US" w:eastAsia="zh-CN"/>
                    </w:rPr>
                    <w:t>t/a</w:t>
                  </w:r>
                </w:p>
              </w:tc>
              <w:tc>
                <w:tcPr>
                  <w:tcW w:w="1572" w:type="dxa"/>
                  <w:vMerge w:val="continue"/>
                  <w:vAlign w:val="center"/>
                </w:tcPr>
                <w:p w14:paraId="303D1F4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55B29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25" w:hRule="atLeast"/>
                <w:jc w:val="center"/>
              </w:trPr>
              <w:tc>
                <w:tcPr>
                  <w:tcW w:w="729" w:type="dxa"/>
                  <w:vAlign w:val="center"/>
                </w:tcPr>
                <w:p w14:paraId="5824BA96">
                  <w:pPr>
                    <w:keepNext w:val="0"/>
                    <w:keepLines w:val="0"/>
                    <w:pageBreakBefore w:val="0"/>
                    <w:widowControl w:val="0"/>
                    <w:numPr>
                      <w:ilvl w:val="0"/>
                      <w:numId w:val="33"/>
                    </w:numPr>
                    <w:kinsoku/>
                    <w:wordWrap/>
                    <w:overflowPunct/>
                    <w:topLinePunct w:val="0"/>
                    <w:autoSpaceDE/>
                    <w:autoSpaceDN/>
                    <w:bidi w:val="0"/>
                    <w:adjustRightInd/>
                    <w:snapToGrid/>
                    <w:spacing w:line="0" w:lineRule="atLeas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293" w:type="dxa"/>
                  <w:vAlign w:val="center"/>
                </w:tcPr>
                <w:p w14:paraId="46AF03E7">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kern w:val="2"/>
                      <w:position w:val="0"/>
                      <w:sz w:val="21"/>
                      <w:szCs w:val="21"/>
                      <w:highlight w:val="none"/>
                      <w:lang w:val="en-US" w:eastAsia="zh-CN" w:bidi="ar-SA"/>
                    </w:rPr>
                  </w:pPr>
                  <w:r>
                    <w:rPr>
                      <w:rFonts w:ascii="Times New Roman" w:hAnsi="Times New Roman" w:eastAsia="宋体" w:cs="Times New Roman"/>
                      <w:color w:val="auto"/>
                      <w:spacing w:val="0"/>
                      <w:position w:val="0"/>
                      <w:sz w:val="21"/>
                      <w:szCs w:val="21"/>
                      <w:highlight w:val="none"/>
                    </w:rPr>
                    <w:t>BOD</w:t>
                  </w:r>
                  <w:r>
                    <w:rPr>
                      <w:rFonts w:ascii="Times New Roman" w:hAnsi="Times New Roman" w:eastAsia="宋体" w:cs="Times New Roman"/>
                      <w:color w:val="auto"/>
                      <w:spacing w:val="0"/>
                      <w:position w:val="0"/>
                      <w:sz w:val="21"/>
                      <w:szCs w:val="21"/>
                      <w:highlight w:val="none"/>
                      <w:vertAlign w:val="subscript"/>
                    </w:rPr>
                    <w:t>5</w:t>
                  </w:r>
                </w:p>
              </w:tc>
              <w:tc>
                <w:tcPr>
                  <w:tcW w:w="1122" w:type="dxa"/>
                  <w:vAlign w:val="center"/>
                </w:tcPr>
                <w:p w14:paraId="3FE2796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200</w:t>
                  </w:r>
                  <w:r>
                    <w:rPr>
                      <w:rFonts w:hint="default" w:ascii="Times New Roman" w:hAnsi="Times New Roman" w:cs="Times New Roman"/>
                      <w:color w:val="auto"/>
                      <w:spacing w:val="0"/>
                      <w:position w:val="0"/>
                      <w:sz w:val="21"/>
                      <w:szCs w:val="21"/>
                      <w:highlight w:val="none"/>
                      <w:lang w:val="en-US" w:eastAsia="zh-CN"/>
                    </w:rPr>
                    <w:t>mg/L</w:t>
                  </w:r>
                </w:p>
              </w:tc>
              <w:tc>
                <w:tcPr>
                  <w:tcW w:w="1042" w:type="dxa"/>
                  <w:vAlign w:val="center"/>
                </w:tcPr>
                <w:p w14:paraId="12E931C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250</w:t>
                  </w:r>
                  <w:r>
                    <w:rPr>
                      <w:rFonts w:hint="default" w:ascii="Times New Roman" w:hAnsi="Times New Roman" w:cs="Times New Roman"/>
                      <w:color w:val="auto"/>
                      <w:spacing w:val="0"/>
                      <w:position w:val="0"/>
                      <w:sz w:val="21"/>
                      <w:szCs w:val="21"/>
                      <w:highlight w:val="none"/>
                      <w:lang w:val="en-US" w:eastAsia="zh-CN"/>
                    </w:rPr>
                    <w:t>mg/L</w:t>
                  </w:r>
                </w:p>
              </w:tc>
              <w:tc>
                <w:tcPr>
                  <w:tcW w:w="1093" w:type="dxa"/>
                  <w:vMerge w:val="continue"/>
                  <w:vAlign w:val="center"/>
                </w:tcPr>
                <w:p w14:paraId="1AAD6BD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539" w:type="dxa"/>
                  <w:vAlign w:val="center"/>
                </w:tcPr>
                <w:p w14:paraId="37BD9664">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Times New Roman" w:eastAsiaTheme="minorEastAsia"/>
                      <w:snapToGrid w:val="0"/>
                      <w:color w:val="auto"/>
                      <w:kern w:val="21"/>
                      <w:sz w:val="21"/>
                      <w:szCs w:val="21"/>
                      <w:highlight w:val="none"/>
                      <w:lang w:val="en-US" w:eastAsia="zh-CN"/>
                    </w:rPr>
                    <w:t>0.640</w:t>
                  </w:r>
                  <w:r>
                    <w:rPr>
                      <w:rFonts w:hint="default" w:ascii="Times New Roman" w:hAnsi="Times New Roman" w:cs="Times New Roman" w:eastAsiaTheme="minorEastAsia"/>
                      <w:snapToGrid w:val="0"/>
                      <w:color w:val="auto"/>
                      <w:kern w:val="21"/>
                      <w:sz w:val="21"/>
                      <w:szCs w:val="21"/>
                      <w:highlight w:val="none"/>
                      <w:lang w:val="en-US" w:eastAsia="zh-CN"/>
                    </w:rPr>
                    <w:t>t/a</w:t>
                  </w:r>
                </w:p>
              </w:tc>
              <w:tc>
                <w:tcPr>
                  <w:tcW w:w="1572" w:type="dxa"/>
                  <w:vMerge w:val="continue"/>
                  <w:vAlign w:val="center"/>
                </w:tcPr>
                <w:p w14:paraId="1B8CD56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4D04A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729" w:type="dxa"/>
                  <w:vAlign w:val="center"/>
                </w:tcPr>
                <w:p w14:paraId="7B4DEC51">
                  <w:pPr>
                    <w:keepNext w:val="0"/>
                    <w:keepLines w:val="0"/>
                    <w:pageBreakBefore w:val="0"/>
                    <w:widowControl w:val="0"/>
                    <w:numPr>
                      <w:ilvl w:val="0"/>
                      <w:numId w:val="33"/>
                    </w:numPr>
                    <w:kinsoku/>
                    <w:wordWrap/>
                    <w:overflowPunct/>
                    <w:topLinePunct w:val="0"/>
                    <w:autoSpaceDE/>
                    <w:autoSpaceDN/>
                    <w:bidi w:val="0"/>
                    <w:adjustRightInd/>
                    <w:snapToGrid/>
                    <w:spacing w:line="0" w:lineRule="atLeas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293" w:type="dxa"/>
                  <w:vAlign w:val="center"/>
                </w:tcPr>
                <w:p w14:paraId="0AF2D7FB">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cs="Times New Roman" w:eastAsiaTheme="minorEastAsia"/>
                      <w:snapToGrid w:val="0"/>
                      <w:color w:val="auto"/>
                      <w:kern w:val="21"/>
                      <w:sz w:val="21"/>
                      <w:szCs w:val="21"/>
                      <w:highlight w:val="none"/>
                      <w:lang w:val="en-US" w:eastAsia="zh-CN"/>
                    </w:rPr>
                    <w:t>氨氮</w:t>
                  </w:r>
                </w:p>
              </w:tc>
              <w:tc>
                <w:tcPr>
                  <w:tcW w:w="1122" w:type="dxa"/>
                  <w:vAlign w:val="center"/>
                </w:tcPr>
                <w:p w14:paraId="239D041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25</w:t>
                  </w:r>
                  <w:r>
                    <w:rPr>
                      <w:rFonts w:hint="default" w:ascii="Times New Roman" w:hAnsi="Times New Roman" w:cs="Times New Roman"/>
                      <w:color w:val="auto"/>
                      <w:spacing w:val="0"/>
                      <w:position w:val="0"/>
                      <w:sz w:val="21"/>
                      <w:szCs w:val="21"/>
                      <w:highlight w:val="none"/>
                      <w:lang w:val="en-US" w:eastAsia="zh-CN"/>
                    </w:rPr>
                    <w:t>mg/L</w:t>
                  </w:r>
                </w:p>
              </w:tc>
              <w:tc>
                <w:tcPr>
                  <w:tcW w:w="1042" w:type="dxa"/>
                  <w:vAlign w:val="center"/>
                </w:tcPr>
                <w:p w14:paraId="76B713E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45</w:t>
                  </w:r>
                  <w:r>
                    <w:rPr>
                      <w:rFonts w:hint="default" w:ascii="Times New Roman" w:hAnsi="Times New Roman" w:cs="Times New Roman"/>
                      <w:color w:val="auto"/>
                      <w:spacing w:val="0"/>
                      <w:position w:val="0"/>
                      <w:sz w:val="21"/>
                      <w:szCs w:val="21"/>
                      <w:highlight w:val="none"/>
                      <w:lang w:val="en-US" w:eastAsia="zh-CN"/>
                    </w:rPr>
                    <w:t>mg/L</w:t>
                  </w:r>
                </w:p>
              </w:tc>
              <w:tc>
                <w:tcPr>
                  <w:tcW w:w="1093" w:type="dxa"/>
                  <w:vMerge w:val="continue"/>
                  <w:vAlign w:val="center"/>
                </w:tcPr>
                <w:p w14:paraId="59D2B8C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539" w:type="dxa"/>
                  <w:vAlign w:val="center"/>
                </w:tcPr>
                <w:p w14:paraId="05AC382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Times New Roman" w:eastAsiaTheme="minorEastAsia"/>
                      <w:snapToGrid w:val="0"/>
                      <w:color w:val="auto"/>
                      <w:kern w:val="21"/>
                      <w:sz w:val="21"/>
                      <w:szCs w:val="21"/>
                      <w:highlight w:val="none"/>
                      <w:lang w:val="en-US" w:eastAsia="zh-CN"/>
                    </w:rPr>
                    <w:t>0.080</w:t>
                  </w:r>
                  <w:r>
                    <w:rPr>
                      <w:rFonts w:hint="default" w:ascii="Times New Roman" w:hAnsi="Times New Roman" w:cs="Times New Roman" w:eastAsiaTheme="minorEastAsia"/>
                      <w:snapToGrid w:val="0"/>
                      <w:color w:val="auto"/>
                      <w:kern w:val="21"/>
                      <w:sz w:val="21"/>
                      <w:szCs w:val="21"/>
                      <w:highlight w:val="none"/>
                      <w:lang w:val="en-US" w:eastAsia="zh-CN"/>
                    </w:rPr>
                    <w:t>t/a</w:t>
                  </w:r>
                </w:p>
              </w:tc>
              <w:tc>
                <w:tcPr>
                  <w:tcW w:w="1572" w:type="dxa"/>
                  <w:vMerge w:val="continue"/>
                  <w:vAlign w:val="center"/>
                </w:tcPr>
                <w:p w14:paraId="1EB5530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142CA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729" w:type="dxa"/>
                  <w:vAlign w:val="center"/>
                </w:tcPr>
                <w:p w14:paraId="1590409C">
                  <w:pPr>
                    <w:keepNext w:val="0"/>
                    <w:keepLines w:val="0"/>
                    <w:pageBreakBefore w:val="0"/>
                    <w:widowControl w:val="0"/>
                    <w:numPr>
                      <w:ilvl w:val="0"/>
                      <w:numId w:val="33"/>
                    </w:numPr>
                    <w:kinsoku/>
                    <w:wordWrap/>
                    <w:overflowPunct/>
                    <w:topLinePunct w:val="0"/>
                    <w:autoSpaceDE/>
                    <w:autoSpaceDN/>
                    <w:bidi w:val="0"/>
                    <w:adjustRightInd/>
                    <w:snapToGrid/>
                    <w:spacing w:line="0" w:lineRule="atLeas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293" w:type="dxa"/>
                  <w:vAlign w:val="center"/>
                </w:tcPr>
                <w:p w14:paraId="0C9AFD04">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eastAsiaTheme="minorEastAsia"/>
                      <w:snapToGrid w:val="0"/>
                      <w:color w:val="auto"/>
                      <w:kern w:val="21"/>
                      <w:sz w:val="21"/>
                      <w:szCs w:val="21"/>
                      <w:highlight w:val="none"/>
                      <w:lang w:val="en-US" w:eastAsia="zh-CN"/>
                    </w:rPr>
                    <w:t>SS</w:t>
                  </w:r>
                </w:p>
              </w:tc>
              <w:tc>
                <w:tcPr>
                  <w:tcW w:w="1122" w:type="dxa"/>
                  <w:vAlign w:val="center"/>
                </w:tcPr>
                <w:p w14:paraId="271A0E1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200</w:t>
                  </w:r>
                  <w:r>
                    <w:rPr>
                      <w:rFonts w:hint="default" w:ascii="Times New Roman" w:hAnsi="Times New Roman" w:cs="Times New Roman"/>
                      <w:color w:val="auto"/>
                      <w:spacing w:val="0"/>
                      <w:position w:val="0"/>
                      <w:sz w:val="21"/>
                      <w:szCs w:val="21"/>
                      <w:highlight w:val="none"/>
                      <w:lang w:val="en-US" w:eastAsia="zh-CN"/>
                    </w:rPr>
                    <w:t>mg/L</w:t>
                  </w:r>
                </w:p>
              </w:tc>
              <w:tc>
                <w:tcPr>
                  <w:tcW w:w="1042" w:type="dxa"/>
                  <w:vAlign w:val="center"/>
                </w:tcPr>
                <w:p w14:paraId="3DE3A47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330</w:t>
                  </w:r>
                  <w:r>
                    <w:rPr>
                      <w:rFonts w:hint="default" w:ascii="Times New Roman" w:hAnsi="Times New Roman" w:cs="Times New Roman"/>
                      <w:color w:val="auto"/>
                      <w:spacing w:val="0"/>
                      <w:position w:val="0"/>
                      <w:sz w:val="21"/>
                      <w:szCs w:val="21"/>
                      <w:highlight w:val="none"/>
                      <w:lang w:val="en-US" w:eastAsia="zh-CN"/>
                    </w:rPr>
                    <w:t>mg/L</w:t>
                  </w:r>
                </w:p>
              </w:tc>
              <w:tc>
                <w:tcPr>
                  <w:tcW w:w="1093" w:type="dxa"/>
                  <w:vMerge w:val="continue"/>
                  <w:vAlign w:val="center"/>
                </w:tcPr>
                <w:p w14:paraId="14237FC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539" w:type="dxa"/>
                  <w:vAlign w:val="center"/>
                </w:tcPr>
                <w:p w14:paraId="21CA9AA0">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Times New Roman" w:eastAsiaTheme="minorEastAsia"/>
                      <w:snapToGrid w:val="0"/>
                      <w:color w:val="auto"/>
                      <w:kern w:val="21"/>
                      <w:sz w:val="21"/>
                      <w:szCs w:val="21"/>
                      <w:highlight w:val="none"/>
                      <w:lang w:val="en-US" w:eastAsia="zh-CN"/>
                    </w:rPr>
                    <w:t>0.640</w:t>
                  </w:r>
                  <w:r>
                    <w:rPr>
                      <w:rFonts w:hint="default" w:ascii="Times New Roman" w:hAnsi="Times New Roman" w:cs="Times New Roman" w:eastAsiaTheme="minorEastAsia"/>
                      <w:snapToGrid w:val="0"/>
                      <w:color w:val="auto"/>
                      <w:kern w:val="21"/>
                      <w:sz w:val="21"/>
                      <w:szCs w:val="21"/>
                      <w:highlight w:val="none"/>
                      <w:lang w:val="en-US" w:eastAsia="zh-CN"/>
                    </w:rPr>
                    <w:t>t/a</w:t>
                  </w:r>
                </w:p>
              </w:tc>
              <w:tc>
                <w:tcPr>
                  <w:tcW w:w="1572" w:type="dxa"/>
                  <w:vMerge w:val="continue"/>
                  <w:vAlign w:val="center"/>
                </w:tcPr>
                <w:p w14:paraId="64702B2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2A008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729" w:type="dxa"/>
                  <w:vAlign w:val="center"/>
                </w:tcPr>
                <w:p w14:paraId="15224FC1">
                  <w:pPr>
                    <w:keepNext w:val="0"/>
                    <w:keepLines w:val="0"/>
                    <w:pageBreakBefore w:val="0"/>
                    <w:widowControl w:val="0"/>
                    <w:numPr>
                      <w:ilvl w:val="0"/>
                      <w:numId w:val="33"/>
                    </w:numPr>
                    <w:kinsoku/>
                    <w:wordWrap/>
                    <w:overflowPunct/>
                    <w:topLinePunct w:val="0"/>
                    <w:autoSpaceDE/>
                    <w:autoSpaceDN/>
                    <w:bidi w:val="0"/>
                    <w:adjustRightInd/>
                    <w:snapToGrid/>
                    <w:spacing w:line="0" w:lineRule="atLeas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293" w:type="dxa"/>
                  <w:vAlign w:val="center"/>
                </w:tcPr>
                <w:p w14:paraId="37D495D0">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eastAsiaTheme="minorEastAsia"/>
                      <w:snapToGrid w:val="0"/>
                      <w:color w:val="auto"/>
                      <w:kern w:val="21"/>
                      <w:sz w:val="21"/>
                      <w:szCs w:val="21"/>
                      <w:highlight w:val="none"/>
                      <w:lang w:val="en-US" w:eastAsia="zh-CN"/>
                    </w:rPr>
                    <w:t>总氮</w:t>
                  </w:r>
                </w:p>
              </w:tc>
              <w:tc>
                <w:tcPr>
                  <w:tcW w:w="1122" w:type="dxa"/>
                  <w:vAlign w:val="center"/>
                </w:tcPr>
                <w:p w14:paraId="5099508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30</w:t>
                  </w:r>
                  <w:r>
                    <w:rPr>
                      <w:rFonts w:hint="default" w:ascii="Times New Roman" w:hAnsi="Times New Roman" w:cs="Times New Roman"/>
                      <w:color w:val="auto"/>
                      <w:spacing w:val="0"/>
                      <w:position w:val="0"/>
                      <w:sz w:val="21"/>
                      <w:szCs w:val="21"/>
                      <w:highlight w:val="none"/>
                      <w:lang w:val="en-US" w:eastAsia="zh-CN"/>
                    </w:rPr>
                    <w:t>mg/L</w:t>
                  </w:r>
                </w:p>
              </w:tc>
              <w:tc>
                <w:tcPr>
                  <w:tcW w:w="1042" w:type="dxa"/>
                  <w:vAlign w:val="center"/>
                </w:tcPr>
                <w:p w14:paraId="4C21676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70</w:t>
                  </w:r>
                  <w:r>
                    <w:rPr>
                      <w:rFonts w:hint="default" w:ascii="Times New Roman" w:hAnsi="Times New Roman" w:cs="Times New Roman"/>
                      <w:color w:val="auto"/>
                      <w:spacing w:val="0"/>
                      <w:position w:val="0"/>
                      <w:sz w:val="21"/>
                      <w:szCs w:val="21"/>
                      <w:highlight w:val="none"/>
                      <w:lang w:val="en-US" w:eastAsia="zh-CN"/>
                    </w:rPr>
                    <w:t>mg/L</w:t>
                  </w:r>
                </w:p>
              </w:tc>
              <w:tc>
                <w:tcPr>
                  <w:tcW w:w="1093" w:type="dxa"/>
                  <w:vMerge w:val="continue"/>
                  <w:vAlign w:val="center"/>
                </w:tcPr>
                <w:p w14:paraId="380BAF2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539" w:type="dxa"/>
                  <w:vAlign w:val="center"/>
                </w:tcPr>
                <w:p w14:paraId="7F17F538">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Times New Roman" w:eastAsiaTheme="minorEastAsia"/>
                      <w:snapToGrid w:val="0"/>
                      <w:color w:val="auto"/>
                      <w:kern w:val="21"/>
                      <w:sz w:val="21"/>
                      <w:szCs w:val="21"/>
                      <w:highlight w:val="none"/>
                      <w:lang w:val="en-US" w:eastAsia="zh-CN"/>
                    </w:rPr>
                    <w:t>0.096</w:t>
                  </w:r>
                  <w:r>
                    <w:rPr>
                      <w:rFonts w:hint="default" w:ascii="Times New Roman" w:hAnsi="Times New Roman" w:cs="Times New Roman" w:eastAsiaTheme="minorEastAsia"/>
                      <w:snapToGrid w:val="0"/>
                      <w:color w:val="auto"/>
                      <w:kern w:val="21"/>
                      <w:sz w:val="21"/>
                      <w:szCs w:val="21"/>
                      <w:highlight w:val="none"/>
                      <w:lang w:val="en-US" w:eastAsia="zh-CN"/>
                    </w:rPr>
                    <w:t>t/a</w:t>
                  </w:r>
                </w:p>
              </w:tc>
              <w:tc>
                <w:tcPr>
                  <w:tcW w:w="1572" w:type="dxa"/>
                  <w:vMerge w:val="continue"/>
                  <w:vAlign w:val="center"/>
                </w:tcPr>
                <w:p w14:paraId="5060FCA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73A04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729" w:type="dxa"/>
                  <w:vAlign w:val="center"/>
                </w:tcPr>
                <w:p w14:paraId="0B3138B1">
                  <w:pPr>
                    <w:keepNext w:val="0"/>
                    <w:keepLines w:val="0"/>
                    <w:pageBreakBefore w:val="0"/>
                    <w:widowControl w:val="0"/>
                    <w:numPr>
                      <w:ilvl w:val="0"/>
                      <w:numId w:val="33"/>
                    </w:numPr>
                    <w:kinsoku/>
                    <w:wordWrap/>
                    <w:overflowPunct/>
                    <w:topLinePunct w:val="0"/>
                    <w:autoSpaceDE/>
                    <w:autoSpaceDN/>
                    <w:bidi w:val="0"/>
                    <w:adjustRightInd/>
                    <w:snapToGrid/>
                    <w:spacing w:line="0" w:lineRule="atLeas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293" w:type="dxa"/>
                  <w:vAlign w:val="center"/>
                </w:tcPr>
                <w:p w14:paraId="16EEF6DD">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eastAsiaTheme="minorEastAsia"/>
                      <w:snapToGrid w:val="0"/>
                      <w:color w:val="auto"/>
                      <w:kern w:val="21"/>
                      <w:sz w:val="21"/>
                      <w:szCs w:val="21"/>
                      <w:highlight w:val="none"/>
                      <w:lang w:val="en-US" w:eastAsia="zh-CN"/>
                    </w:rPr>
                    <w:t>总磷</w:t>
                  </w:r>
                </w:p>
              </w:tc>
              <w:tc>
                <w:tcPr>
                  <w:tcW w:w="1122" w:type="dxa"/>
                  <w:vAlign w:val="center"/>
                </w:tcPr>
                <w:p w14:paraId="2FCA158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val="en-US" w:eastAsia="zh-CN"/>
                    </w:rPr>
                    <w:t>2</w:t>
                  </w:r>
                  <w:r>
                    <w:rPr>
                      <w:rFonts w:hint="default" w:ascii="Times New Roman" w:hAnsi="Times New Roman" w:cs="Times New Roman"/>
                      <w:color w:val="auto"/>
                      <w:spacing w:val="0"/>
                      <w:position w:val="0"/>
                      <w:sz w:val="21"/>
                      <w:szCs w:val="21"/>
                      <w:highlight w:val="none"/>
                      <w:lang w:val="en-US" w:eastAsia="zh-CN"/>
                    </w:rPr>
                    <w:t>mg/L</w:t>
                  </w:r>
                </w:p>
              </w:tc>
              <w:tc>
                <w:tcPr>
                  <w:tcW w:w="1042" w:type="dxa"/>
                  <w:vAlign w:val="center"/>
                </w:tcPr>
                <w:p w14:paraId="3DAC6D5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8</w:t>
                  </w:r>
                  <w:r>
                    <w:rPr>
                      <w:rFonts w:hint="default" w:ascii="Times New Roman" w:hAnsi="Times New Roman" w:cs="Times New Roman"/>
                      <w:color w:val="auto"/>
                      <w:spacing w:val="0"/>
                      <w:position w:val="0"/>
                      <w:sz w:val="21"/>
                      <w:szCs w:val="21"/>
                      <w:highlight w:val="none"/>
                      <w:lang w:val="en-US" w:eastAsia="zh-CN"/>
                    </w:rPr>
                    <w:t>mg/L</w:t>
                  </w:r>
                </w:p>
              </w:tc>
              <w:tc>
                <w:tcPr>
                  <w:tcW w:w="1093" w:type="dxa"/>
                  <w:vMerge w:val="continue"/>
                  <w:vAlign w:val="center"/>
                </w:tcPr>
                <w:p w14:paraId="12B66C8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539" w:type="dxa"/>
                  <w:vAlign w:val="center"/>
                </w:tcPr>
                <w:p w14:paraId="4A4DA20E">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Times New Roman" w:eastAsiaTheme="minorEastAsia"/>
                      <w:snapToGrid w:val="0"/>
                      <w:color w:val="auto"/>
                      <w:kern w:val="21"/>
                      <w:sz w:val="21"/>
                      <w:szCs w:val="21"/>
                      <w:highlight w:val="none"/>
                      <w:lang w:val="en-US" w:eastAsia="zh-CN"/>
                    </w:rPr>
                    <w:t>0.006</w:t>
                  </w:r>
                  <w:r>
                    <w:rPr>
                      <w:rFonts w:hint="default" w:ascii="Times New Roman" w:hAnsi="Times New Roman" w:cs="Times New Roman" w:eastAsiaTheme="minorEastAsia"/>
                      <w:snapToGrid w:val="0"/>
                      <w:color w:val="auto"/>
                      <w:kern w:val="21"/>
                      <w:sz w:val="21"/>
                      <w:szCs w:val="21"/>
                      <w:highlight w:val="none"/>
                      <w:lang w:val="en-US" w:eastAsia="zh-CN"/>
                    </w:rPr>
                    <w:t>t/a</w:t>
                  </w:r>
                </w:p>
              </w:tc>
              <w:tc>
                <w:tcPr>
                  <w:tcW w:w="1572" w:type="dxa"/>
                  <w:vMerge w:val="continue"/>
                  <w:vAlign w:val="center"/>
                </w:tcPr>
                <w:p w14:paraId="62923BD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0CD39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729" w:type="dxa"/>
                  <w:vAlign w:val="center"/>
                </w:tcPr>
                <w:p w14:paraId="25D16330">
                  <w:pPr>
                    <w:keepNext w:val="0"/>
                    <w:keepLines w:val="0"/>
                    <w:pageBreakBefore w:val="0"/>
                    <w:widowControl w:val="0"/>
                    <w:numPr>
                      <w:ilvl w:val="0"/>
                      <w:numId w:val="33"/>
                    </w:numPr>
                    <w:kinsoku/>
                    <w:wordWrap/>
                    <w:overflowPunct/>
                    <w:topLinePunct w:val="0"/>
                    <w:autoSpaceDE/>
                    <w:autoSpaceDN/>
                    <w:bidi w:val="0"/>
                    <w:adjustRightInd/>
                    <w:snapToGrid/>
                    <w:spacing w:line="0" w:lineRule="atLeas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293" w:type="dxa"/>
                  <w:vAlign w:val="center"/>
                </w:tcPr>
                <w:p w14:paraId="2BF4E5B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cs="Times New Roman" w:eastAsiaTheme="minorEastAsia"/>
                      <w:snapToGrid w:val="0"/>
                      <w:color w:val="auto"/>
                      <w:kern w:val="21"/>
                      <w:sz w:val="21"/>
                      <w:szCs w:val="21"/>
                      <w:highlight w:val="none"/>
                      <w:lang w:val="en-US" w:eastAsia="zh-CN"/>
                    </w:rPr>
                    <w:t>动植物油</w:t>
                  </w:r>
                </w:p>
              </w:tc>
              <w:tc>
                <w:tcPr>
                  <w:tcW w:w="1122" w:type="dxa"/>
                  <w:vAlign w:val="center"/>
                </w:tcPr>
                <w:p w14:paraId="1FD2B45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20</w:t>
                  </w:r>
                  <w:r>
                    <w:rPr>
                      <w:rFonts w:hint="default" w:ascii="Times New Roman" w:hAnsi="Times New Roman" w:cs="Times New Roman"/>
                      <w:color w:val="auto"/>
                      <w:spacing w:val="0"/>
                      <w:position w:val="0"/>
                      <w:sz w:val="21"/>
                      <w:szCs w:val="21"/>
                      <w:highlight w:val="none"/>
                      <w:lang w:val="en-US" w:eastAsia="zh-CN"/>
                    </w:rPr>
                    <w:t>mg/L</w:t>
                  </w:r>
                </w:p>
              </w:tc>
              <w:tc>
                <w:tcPr>
                  <w:tcW w:w="1042" w:type="dxa"/>
                  <w:vAlign w:val="center"/>
                </w:tcPr>
                <w:p w14:paraId="30E07B9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100</w:t>
                  </w:r>
                  <w:r>
                    <w:rPr>
                      <w:rFonts w:hint="default" w:ascii="Times New Roman" w:hAnsi="Times New Roman" w:cs="Times New Roman"/>
                      <w:color w:val="auto"/>
                      <w:spacing w:val="0"/>
                      <w:position w:val="0"/>
                      <w:sz w:val="21"/>
                      <w:szCs w:val="21"/>
                      <w:highlight w:val="none"/>
                      <w:lang w:val="en-US" w:eastAsia="zh-CN"/>
                    </w:rPr>
                    <w:t>mg/L</w:t>
                  </w:r>
                </w:p>
              </w:tc>
              <w:tc>
                <w:tcPr>
                  <w:tcW w:w="1093" w:type="dxa"/>
                  <w:vMerge w:val="continue"/>
                  <w:vAlign w:val="center"/>
                </w:tcPr>
                <w:p w14:paraId="2CD4FE42">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1539" w:type="dxa"/>
                  <w:vAlign w:val="center"/>
                </w:tcPr>
                <w:p w14:paraId="318AC6A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Times New Roman" w:eastAsiaTheme="minorEastAsia"/>
                      <w:snapToGrid w:val="0"/>
                      <w:color w:val="auto"/>
                      <w:kern w:val="21"/>
                      <w:sz w:val="21"/>
                      <w:szCs w:val="21"/>
                      <w:highlight w:val="none"/>
                      <w:lang w:val="en-US" w:eastAsia="zh-CN"/>
                    </w:rPr>
                    <w:t>0.640t/a</w:t>
                  </w:r>
                </w:p>
              </w:tc>
              <w:tc>
                <w:tcPr>
                  <w:tcW w:w="1572" w:type="dxa"/>
                  <w:vMerge w:val="continue"/>
                  <w:vAlign w:val="center"/>
                </w:tcPr>
                <w:p w14:paraId="760D151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color w:val="auto"/>
                      <w:spacing w:val="0"/>
                      <w:position w:val="0"/>
                      <w:sz w:val="21"/>
                      <w:szCs w:val="21"/>
                      <w:highlight w:val="none"/>
                    </w:rPr>
                  </w:pPr>
                </w:p>
              </w:tc>
            </w:tr>
            <w:tr w14:paraId="139D9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3" w:hRule="atLeast"/>
                <w:jc w:val="center"/>
              </w:trPr>
              <w:tc>
                <w:tcPr>
                  <w:tcW w:w="8390" w:type="dxa"/>
                  <w:gridSpan w:val="7"/>
                  <w:vAlign w:val="center"/>
                </w:tcPr>
                <w:p w14:paraId="4482A3B7">
                  <w:pPr>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备注：废水排放量为本项目建成后全厂废水排放量。</w:t>
                  </w:r>
                </w:p>
              </w:tc>
            </w:tr>
          </w:tbl>
          <w:p w14:paraId="6574BA4A">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2.4监测计划</w:t>
            </w:r>
          </w:p>
          <w:p w14:paraId="1795CB13">
            <w:pPr>
              <w:bidi w:val="0"/>
              <w:rPr>
                <w:rFonts w:hint="eastAsia"/>
                <w:color w:val="auto"/>
                <w:kern w:val="1"/>
                <w:sz w:val="24"/>
                <w:szCs w:val="24"/>
                <w:highlight w:val="none"/>
                <w:lang w:val="en-US" w:eastAsia="zh-CN" w:bidi="ar"/>
              </w:rPr>
            </w:pPr>
            <w:r>
              <w:rPr>
                <w:rFonts w:ascii="Times New Roman" w:hAnsi="Times New Roman"/>
                <w:snapToGrid w:val="0"/>
                <w:color w:val="auto"/>
                <w:kern w:val="0"/>
                <w:sz w:val="24"/>
                <w:szCs w:val="24"/>
                <w:highlight w:val="none"/>
                <w:lang w:bidi="ar"/>
              </w:rPr>
              <w:t>根据本建设项目性质与实际情况，</w:t>
            </w:r>
            <w:r>
              <w:rPr>
                <w:rFonts w:ascii="Times New Roman" w:hAnsi="Times New Roman"/>
                <w:color w:val="auto"/>
                <w:sz w:val="24"/>
                <w:szCs w:val="24"/>
                <w:highlight w:val="none"/>
              </w:rPr>
              <w:t>按照</w:t>
            </w:r>
            <w:r>
              <w:rPr>
                <w:rFonts w:hint="eastAsia"/>
                <w:color w:val="auto"/>
                <w:sz w:val="24"/>
                <w:szCs w:val="24"/>
                <w:highlight w:val="none"/>
                <w:lang w:eastAsia="zh-CN"/>
              </w:rPr>
              <w:t>《排污许可证申请与核发技术规范</w:t>
            </w:r>
            <w:r>
              <w:rPr>
                <w:rFonts w:hint="eastAsia"/>
                <w:color w:val="auto"/>
                <w:sz w:val="24"/>
                <w:szCs w:val="24"/>
                <w:highlight w:val="none"/>
                <w:lang w:val="en-US" w:eastAsia="zh-CN"/>
              </w:rPr>
              <w:t xml:space="preserve"> </w:t>
            </w:r>
            <w:r>
              <w:rPr>
                <w:rFonts w:hint="eastAsia"/>
                <w:color w:val="auto"/>
                <w:sz w:val="24"/>
                <w:szCs w:val="24"/>
                <w:highlight w:val="none"/>
                <w:lang w:eastAsia="zh-CN"/>
              </w:rPr>
              <w:t>铁路、船舶、航空航天和其他运输设备制造业》（</w:t>
            </w:r>
            <w:r>
              <w:rPr>
                <w:rFonts w:hint="eastAsia"/>
                <w:color w:val="auto"/>
                <w:sz w:val="24"/>
                <w:szCs w:val="24"/>
                <w:highlight w:val="none"/>
                <w:lang w:val="en-US" w:eastAsia="zh-CN"/>
              </w:rPr>
              <w:t>HJ1124-2020</w:t>
            </w:r>
            <w:r>
              <w:rPr>
                <w:rFonts w:hint="eastAsia"/>
                <w:color w:val="auto"/>
                <w:sz w:val="24"/>
                <w:szCs w:val="24"/>
                <w:highlight w:val="none"/>
                <w:lang w:eastAsia="zh-CN"/>
              </w:rPr>
              <w:t>）</w:t>
            </w:r>
            <w:r>
              <w:rPr>
                <w:rFonts w:hint="eastAsia"/>
                <w:color w:val="auto"/>
                <w:highlight w:val="none"/>
                <w:lang w:val="en-US" w:eastAsia="zh-CN"/>
              </w:rPr>
              <w:t>中附录A表面涂装排污单位</w:t>
            </w:r>
            <w:r>
              <w:rPr>
                <w:rFonts w:hint="eastAsia"/>
                <w:color w:val="auto"/>
                <w:kern w:val="1"/>
                <w:sz w:val="24"/>
                <w:szCs w:val="24"/>
                <w:highlight w:val="none"/>
                <w:lang w:val="en-US" w:eastAsia="zh-CN" w:bidi="ar"/>
              </w:rPr>
              <w:t>和</w:t>
            </w:r>
            <w:r>
              <w:rPr>
                <w:rFonts w:ascii="Times New Roman" w:hAnsi="Times New Roman"/>
                <w:color w:val="auto"/>
                <w:sz w:val="24"/>
                <w:szCs w:val="24"/>
                <w:highlight w:val="none"/>
              </w:rPr>
              <w:t xml:space="preserve">《排污单位自行监测技术指南 </w:t>
            </w:r>
            <w:r>
              <w:rPr>
                <w:rFonts w:hint="eastAsia" w:ascii="Times New Roman" w:hAnsi="Times New Roman"/>
                <w:color w:val="auto"/>
                <w:sz w:val="24"/>
                <w:szCs w:val="24"/>
                <w:highlight w:val="none"/>
                <w:lang w:val="en-US" w:eastAsia="zh-CN"/>
              </w:rPr>
              <w:t>涂装</w:t>
            </w:r>
            <w:r>
              <w:rPr>
                <w:rFonts w:ascii="Times New Roman" w:hAnsi="Times New Roman"/>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lang w:val="en-US" w:eastAsia="zh-CN"/>
              </w:rPr>
              <w:t>HJ1086-2020</w:t>
            </w:r>
            <w:r>
              <w:rPr>
                <w:rFonts w:hint="eastAsia"/>
                <w:color w:val="auto"/>
                <w:sz w:val="24"/>
                <w:szCs w:val="24"/>
                <w:highlight w:val="none"/>
                <w:lang w:eastAsia="zh-CN"/>
              </w:rPr>
              <w:t>）</w:t>
            </w:r>
            <w:r>
              <w:rPr>
                <w:rFonts w:hint="eastAsia"/>
                <w:color w:val="auto"/>
                <w:kern w:val="1"/>
                <w:sz w:val="24"/>
                <w:szCs w:val="24"/>
                <w:highlight w:val="none"/>
                <w:lang w:val="en-US" w:eastAsia="zh-CN" w:bidi="ar"/>
              </w:rPr>
              <w:t>要求，单独排入城镇污水集中处理设施的生活污水仅说明去向，无需进行自行监测，本项目建成后全厂无生产废水产生，生活污水</w:t>
            </w:r>
            <w:r>
              <w:rPr>
                <w:rFonts w:hint="eastAsia"/>
                <w:color w:val="auto"/>
                <w:highlight w:val="none"/>
                <w:lang w:val="en-US" w:eastAsia="zh-CN"/>
              </w:rPr>
              <w:t>排入市政管网，最终进入西郊污水处理厂处理，无需自行监测</w:t>
            </w:r>
            <w:r>
              <w:rPr>
                <w:rFonts w:hint="eastAsia"/>
                <w:color w:val="auto"/>
                <w:kern w:val="1"/>
                <w:sz w:val="24"/>
                <w:szCs w:val="24"/>
                <w:highlight w:val="none"/>
                <w:lang w:val="en-US" w:eastAsia="zh-CN" w:bidi="ar"/>
              </w:rPr>
              <w:t>。</w:t>
            </w:r>
          </w:p>
          <w:p w14:paraId="756E265B">
            <w:pPr>
              <w:keepNext w:val="0"/>
              <w:keepLines w:val="0"/>
              <w:pageBreakBefore w:val="0"/>
              <w:numPr>
                <w:ilvl w:val="0"/>
                <w:numId w:val="0"/>
              </w:numPr>
              <w:kinsoku/>
              <w:wordWrap/>
              <w:overflowPunct/>
              <w:topLinePunct w:val="0"/>
              <w:bidi w:val="0"/>
              <w:adjustRightInd w:val="0"/>
              <w:snapToGrid w:val="0"/>
              <w:spacing w:line="480" w:lineRule="exact"/>
              <w:textAlignment w:val="auto"/>
              <w:rPr>
                <w:rFonts w:hint="eastAsia"/>
                <w:b/>
                <w:bCs/>
                <w:color w:val="auto"/>
                <w:highlight w:val="none"/>
                <w:lang w:val="en-US" w:eastAsia="zh-CN"/>
              </w:rPr>
            </w:pPr>
            <w:r>
              <w:rPr>
                <w:rFonts w:hint="eastAsia"/>
                <w:b/>
                <w:bCs/>
                <w:color w:val="auto"/>
                <w:highlight w:val="none"/>
                <w:lang w:val="en-US" w:eastAsia="zh-CN"/>
              </w:rPr>
              <w:t>3、噪声</w:t>
            </w:r>
          </w:p>
          <w:p w14:paraId="0C10D874">
            <w:pPr>
              <w:bidi w:val="0"/>
              <w:rPr>
                <w:rFonts w:hint="default" w:eastAsia="宋体"/>
                <w:b w:val="0"/>
                <w:bCs w:val="0"/>
                <w:color w:val="auto"/>
                <w:highlight w:val="none"/>
                <w:lang w:val="en-US" w:eastAsia="zh-CN"/>
              </w:rPr>
            </w:pPr>
            <w:r>
              <w:rPr>
                <w:rFonts w:hint="eastAsia" w:ascii="Times New Roman" w:eastAsia="宋体"/>
                <w:b/>
                <w:bCs/>
                <w:color w:val="auto"/>
                <w:highlight w:val="none"/>
                <w:lang w:val="en-US" w:eastAsia="zh-CN"/>
              </w:rPr>
              <w:t>3.1本项目噪声污染源分析</w:t>
            </w:r>
          </w:p>
          <w:p w14:paraId="551FAF3B">
            <w:pPr>
              <w:rPr>
                <w:rFonts w:hint="default"/>
                <w:b w:val="0"/>
                <w:bCs w:val="0"/>
                <w:color w:val="auto"/>
                <w:highlight w:val="none"/>
              </w:rPr>
            </w:pPr>
            <w:r>
              <w:rPr>
                <w:rFonts w:hint="default"/>
                <w:b w:val="0"/>
                <w:bCs w:val="0"/>
                <w:color w:val="auto"/>
                <w:highlight w:val="none"/>
              </w:rPr>
              <w:t>本项目营运期主要噪声源为</w:t>
            </w:r>
            <w:r>
              <w:rPr>
                <w:rFonts w:hint="eastAsia"/>
                <w:b w:val="0"/>
                <w:bCs w:val="0"/>
                <w:color w:val="auto"/>
                <w:highlight w:val="none"/>
                <w:lang w:val="en-US" w:eastAsia="zh-CN"/>
              </w:rPr>
              <w:t>角磨机、风机、实验电机、电动机、空压机等</w:t>
            </w:r>
            <w:r>
              <w:rPr>
                <w:rFonts w:hint="default"/>
                <w:b w:val="0"/>
                <w:bCs w:val="0"/>
                <w:color w:val="auto"/>
                <w:highlight w:val="none"/>
              </w:rPr>
              <w:t>运行时产生的噪声，设备噪声源强</w:t>
            </w:r>
            <w:r>
              <w:rPr>
                <w:rFonts w:hint="eastAsia"/>
                <w:b w:val="0"/>
                <w:bCs w:val="0"/>
                <w:color w:val="auto"/>
                <w:highlight w:val="none"/>
                <w:lang w:val="en-US" w:eastAsia="zh-CN"/>
              </w:rPr>
              <w:t>为75～95</w:t>
            </w:r>
            <w:r>
              <w:rPr>
                <w:rFonts w:hint="eastAsia"/>
                <w:b w:val="0"/>
                <w:bCs w:val="0"/>
                <w:color w:val="auto"/>
                <w:highlight w:val="none"/>
              </w:rPr>
              <w:t>dB</w:t>
            </w:r>
            <w:r>
              <w:rPr>
                <w:rFonts w:hint="default"/>
                <w:b w:val="0"/>
                <w:bCs w:val="0"/>
                <w:color w:val="auto"/>
                <w:highlight w:val="none"/>
              </w:rPr>
              <w:t>（A），采取基础</w:t>
            </w:r>
            <w:r>
              <w:rPr>
                <w:rFonts w:hint="eastAsia"/>
                <w:b w:val="0"/>
                <w:bCs w:val="0"/>
                <w:color w:val="auto"/>
                <w:highlight w:val="none"/>
                <w:lang w:eastAsia="zh-CN"/>
              </w:rPr>
              <w:t>减振</w:t>
            </w:r>
            <w:r>
              <w:rPr>
                <w:rFonts w:hint="default"/>
                <w:b w:val="0"/>
                <w:bCs w:val="0"/>
                <w:color w:val="auto"/>
                <w:highlight w:val="none"/>
              </w:rPr>
              <w:t>、</w:t>
            </w:r>
            <w:r>
              <w:rPr>
                <w:rFonts w:hint="eastAsia"/>
                <w:b w:val="0"/>
                <w:bCs w:val="0"/>
                <w:color w:val="auto"/>
                <w:highlight w:val="none"/>
                <w:lang w:val="en-US" w:eastAsia="zh-CN"/>
              </w:rPr>
              <w:t>厂房隔声</w:t>
            </w:r>
            <w:r>
              <w:rPr>
                <w:rFonts w:hint="default"/>
                <w:b w:val="0"/>
                <w:bCs w:val="0"/>
                <w:color w:val="auto"/>
                <w:highlight w:val="none"/>
              </w:rPr>
              <w:t>等措施，</w:t>
            </w:r>
            <w:r>
              <w:rPr>
                <w:rFonts w:hint="eastAsia"/>
                <w:color w:val="auto"/>
                <w:highlight w:val="none"/>
                <w:lang w:val="en-US" w:eastAsia="zh-CN"/>
              </w:rPr>
              <w:t>四侧均设置门窗，生产时门窗关闭，</w:t>
            </w:r>
            <w:r>
              <w:rPr>
                <w:rFonts w:hint="default"/>
                <w:b w:val="0"/>
                <w:bCs w:val="0"/>
                <w:color w:val="auto"/>
                <w:highlight w:val="none"/>
              </w:rPr>
              <w:t>本项目主要设备噪声源强及治理措施见下表：</w:t>
            </w:r>
          </w:p>
          <w:p w14:paraId="513E8948">
            <w:pPr>
              <w:rPr>
                <w:rFonts w:hint="default"/>
                <w:b w:val="0"/>
                <w:bCs w:val="0"/>
                <w:color w:val="auto"/>
                <w:highlight w:val="none"/>
              </w:rPr>
            </w:pPr>
          </w:p>
          <w:p w14:paraId="20446DB3">
            <w:pPr>
              <w:rPr>
                <w:rFonts w:hint="default"/>
                <w:b w:val="0"/>
                <w:bCs w:val="0"/>
                <w:color w:val="auto"/>
                <w:highlight w:val="none"/>
              </w:rPr>
            </w:pPr>
          </w:p>
          <w:p w14:paraId="7370964A">
            <w:pPr>
              <w:rPr>
                <w:rFonts w:hint="default"/>
                <w:b w:val="0"/>
                <w:bCs w:val="0"/>
                <w:color w:val="auto"/>
                <w:highlight w:val="none"/>
              </w:rPr>
            </w:pPr>
          </w:p>
          <w:p w14:paraId="32ABCE9C">
            <w:pPr>
              <w:rPr>
                <w:rFonts w:hint="default"/>
                <w:b w:val="0"/>
                <w:bCs w:val="0"/>
                <w:color w:val="auto"/>
                <w:highlight w:val="none"/>
              </w:rPr>
            </w:pPr>
          </w:p>
          <w:p w14:paraId="6B3F27CE">
            <w:pPr>
              <w:rPr>
                <w:rFonts w:hint="default"/>
                <w:b w:val="0"/>
                <w:bCs w:val="0"/>
                <w:color w:val="auto"/>
                <w:highlight w:val="none"/>
              </w:rPr>
            </w:pPr>
          </w:p>
          <w:p w14:paraId="68407355">
            <w:pPr>
              <w:rPr>
                <w:rFonts w:hint="default"/>
                <w:b w:val="0"/>
                <w:bCs w:val="0"/>
                <w:color w:val="auto"/>
                <w:highlight w:val="none"/>
              </w:rPr>
            </w:pPr>
          </w:p>
          <w:p w14:paraId="67920A89">
            <w:pPr>
              <w:ind w:left="0" w:leftChars="0" w:firstLine="0" w:firstLineChars="0"/>
              <w:rPr>
                <w:rFonts w:hint="default"/>
                <w:b w:val="0"/>
                <w:bCs w:val="0"/>
                <w:color w:val="auto"/>
                <w:highlight w:val="none"/>
              </w:rPr>
            </w:pPr>
          </w:p>
        </w:tc>
      </w:tr>
    </w:tbl>
    <w:p w14:paraId="4C51AEDD">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3732"/>
      </w:tblGrid>
      <w:tr w14:paraId="35BFA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42" w:type="dxa"/>
            <w:tcBorders>
              <w:tl2br w:val="nil"/>
              <w:tr2bl w:val="nil"/>
            </w:tcBorders>
          </w:tcPr>
          <w:p w14:paraId="29492C11">
            <w:pPr>
              <w:rPr>
                <w:color w:val="auto"/>
                <w:highlight w:val="none"/>
                <w:vertAlign w:val="baseline"/>
              </w:rPr>
            </w:pPr>
          </w:p>
        </w:tc>
        <w:tc>
          <w:tcPr>
            <w:tcW w:w="13732" w:type="dxa"/>
            <w:tcBorders>
              <w:tl2br w:val="nil"/>
              <w:tr2bl w:val="nil"/>
            </w:tcBorders>
          </w:tcPr>
          <w:p w14:paraId="260D6F4D">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color w:val="auto"/>
                <w:highlight w:val="none"/>
                <w:lang w:val="en-US" w:eastAsia="zh-CN"/>
              </w:rPr>
            </w:pPr>
            <w:r>
              <w:rPr>
                <w:rStyle w:val="48"/>
                <w:rFonts w:hint="default"/>
                <w:color w:val="auto"/>
                <w:sz w:val="21"/>
                <w:szCs w:val="21"/>
                <w:highlight w:val="none"/>
              </w:rPr>
              <w:t>表</w:t>
            </w:r>
            <w:r>
              <w:rPr>
                <w:rStyle w:val="48"/>
                <w:rFonts w:hint="eastAsia"/>
                <w:color w:val="auto"/>
                <w:sz w:val="21"/>
                <w:szCs w:val="21"/>
                <w:highlight w:val="none"/>
                <w:lang w:val="en-US" w:eastAsia="zh-CN"/>
              </w:rPr>
              <w:t>53</w:t>
            </w:r>
            <w:r>
              <w:rPr>
                <w:rStyle w:val="48"/>
                <w:rFonts w:hint="default"/>
                <w:color w:val="auto"/>
                <w:sz w:val="21"/>
                <w:szCs w:val="21"/>
                <w:highlight w:val="none"/>
              </w:rPr>
              <w:t xml:space="preserve">  噪声污染源及治理措施</w:t>
            </w:r>
            <w:r>
              <w:rPr>
                <w:rStyle w:val="48"/>
                <w:rFonts w:hint="eastAsia"/>
                <w:color w:val="auto"/>
                <w:sz w:val="21"/>
                <w:szCs w:val="21"/>
                <w:highlight w:val="none"/>
                <w:lang w:val="en-US" w:eastAsia="zh-CN"/>
              </w:rPr>
              <w:t>一览表（室外声源）</w:t>
            </w:r>
          </w:p>
          <w:tbl>
            <w:tblPr>
              <w:tblStyle w:val="59"/>
              <w:tblW w:w="1354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3"/>
              <w:gridCol w:w="1876"/>
              <w:gridCol w:w="1139"/>
              <w:gridCol w:w="529"/>
              <w:gridCol w:w="635"/>
              <w:gridCol w:w="547"/>
              <w:gridCol w:w="1150"/>
              <w:gridCol w:w="1340"/>
              <w:gridCol w:w="1060"/>
              <w:gridCol w:w="903"/>
              <w:gridCol w:w="1060"/>
              <w:gridCol w:w="686"/>
              <w:gridCol w:w="713"/>
              <w:gridCol w:w="653"/>
              <w:gridCol w:w="703"/>
            </w:tblGrid>
            <w:tr w14:paraId="25F6AE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04" w:type="pct"/>
                  <w:vMerge w:val="restart"/>
                  <w:tcBorders>
                    <w:tl2br w:val="nil"/>
                    <w:tr2bl w:val="nil"/>
                  </w:tcBorders>
                  <w:vAlign w:val="center"/>
                </w:tcPr>
                <w:p w14:paraId="0A2EA67D">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i w:val="0"/>
                      <w:iCs w:val="0"/>
                      <w:color w:val="auto"/>
                      <w:sz w:val="21"/>
                      <w:szCs w:val="21"/>
                      <w:highlight w:val="none"/>
                    </w:rPr>
                    <w:t>序号</w:t>
                  </w:r>
                </w:p>
              </w:tc>
              <w:tc>
                <w:tcPr>
                  <w:tcW w:w="692" w:type="pct"/>
                  <w:vMerge w:val="restart"/>
                  <w:tcBorders>
                    <w:tl2br w:val="nil"/>
                    <w:tr2bl w:val="nil"/>
                  </w:tcBorders>
                  <w:vAlign w:val="center"/>
                </w:tcPr>
                <w:p w14:paraId="7273015C">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i w:val="0"/>
                      <w:iCs w:val="0"/>
                      <w:color w:val="auto"/>
                      <w:sz w:val="21"/>
                      <w:szCs w:val="21"/>
                      <w:highlight w:val="none"/>
                    </w:rPr>
                    <w:t>声源名称</w:t>
                  </w:r>
                </w:p>
              </w:tc>
              <w:tc>
                <w:tcPr>
                  <w:tcW w:w="420" w:type="pct"/>
                  <w:vMerge w:val="restart"/>
                  <w:tcBorders>
                    <w:tl2br w:val="nil"/>
                    <w:tr2bl w:val="nil"/>
                  </w:tcBorders>
                  <w:vAlign w:val="center"/>
                </w:tcPr>
                <w:p w14:paraId="0B8DA29D">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i w:val="0"/>
                      <w:iCs w:val="0"/>
                      <w:color w:val="auto"/>
                      <w:sz w:val="21"/>
                      <w:szCs w:val="21"/>
                      <w:highlight w:val="none"/>
                    </w:rPr>
                    <w:t>型号</w:t>
                  </w:r>
                </w:p>
              </w:tc>
              <w:tc>
                <w:tcPr>
                  <w:tcW w:w="631" w:type="pct"/>
                  <w:gridSpan w:val="3"/>
                  <w:tcBorders>
                    <w:tl2br w:val="nil"/>
                    <w:tr2bl w:val="nil"/>
                  </w:tcBorders>
                  <w:vAlign w:val="center"/>
                </w:tcPr>
                <w:p w14:paraId="1D634D4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i w:val="0"/>
                      <w:iCs w:val="0"/>
                      <w:color w:val="auto"/>
                      <w:sz w:val="21"/>
                      <w:szCs w:val="21"/>
                      <w:highlight w:val="none"/>
                    </w:rPr>
                    <w:t>空间相对位置/m</w:t>
                  </w:r>
                </w:p>
              </w:tc>
              <w:tc>
                <w:tcPr>
                  <w:tcW w:w="424" w:type="pct"/>
                  <w:vMerge w:val="restart"/>
                  <w:tcBorders>
                    <w:tl2br w:val="nil"/>
                    <w:tr2bl w:val="nil"/>
                  </w:tcBorders>
                  <w:vAlign w:val="center"/>
                </w:tcPr>
                <w:p w14:paraId="539DE352">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lang w:eastAsia="zh-CN"/>
                    </w:rPr>
                  </w:pPr>
                  <w:r>
                    <w:rPr>
                      <w:rFonts w:hint="default" w:ascii="Times New Roman" w:hAnsi="Times New Roman" w:cs="Times New Roman" w:eastAsiaTheme="minorEastAsia"/>
                      <w:b w:val="0"/>
                      <w:bCs w:val="0"/>
                      <w:i w:val="0"/>
                      <w:iCs w:val="0"/>
                      <w:color w:val="auto"/>
                      <w:sz w:val="21"/>
                      <w:szCs w:val="21"/>
                      <w:highlight w:val="none"/>
                      <w:lang w:eastAsia="zh-CN"/>
                    </w:rPr>
                    <w:t>声源源强</w:t>
                  </w:r>
                </w:p>
                <w:p w14:paraId="059AC081">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dB(A)</w:t>
                  </w:r>
                </w:p>
              </w:tc>
              <w:tc>
                <w:tcPr>
                  <w:tcW w:w="494" w:type="pct"/>
                  <w:vMerge w:val="restart"/>
                  <w:tcBorders>
                    <w:tl2br w:val="nil"/>
                    <w:tr2bl w:val="nil"/>
                  </w:tcBorders>
                  <w:vAlign w:val="center"/>
                </w:tcPr>
                <w:p w14:paraId="0B8F4C1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i w:val="0"/>
                      <w:iCs w:val="0"/>
                      <w:color w:val="auto"/>
                      <w:sz w:val="21"/>
                      <w:szCs w:val="21"/>
                      <w:highlight w:val="none"/>
                    </w:rPr>
                    <w:t>声源控制措施</w:t>
                  </w:r>
                </w:p>
              </w:tc>
              <w:tc>
                <w:tcPr>
                  <w:tcW w:w="391" w:type="pct"/>
                  <w:vMerge w:val="restart"/>
                  <w:tcBorders>
                    <w:tl2br w:val="nil"/>
                    <w:tr2bl w:val="nil"/>
                  </w:tcBorders>
                  <w:vAlign w:val="center"/>
                </w:tcPr>
                <w:p w14:paraId="5A83F687">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降噪效果</w:t>
                  </w:r>
                </w:p>
                <w:p w14:paraId="79F4505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b w:val="0"/>
                      <w:bCs w:val="0"/>
                      <w:color w:val="auto"/>
                      <w:sz w:val="21"/>
                      <w:szCs w:val="21"/>
                      <w:highlight w:val="none"/>
                    </w:rPr>
                    <w:t>dB（A）</w:t>
                  </w:r>
                </w:p>
              </w:tc>
              <w:tc>
                <w:tcPr>
                  <w:tcW w:w="333" w:type="pct"/>
                  <w:vMerge w:val="restart"/>
                  <w:tcBorders>
                    <w:tl2br w:val="nil"/>
                    <w:tr2bl w:val="nil"/>
                  </w:tcBorders>
                  <w:vAlign w:val="center"/>
                </w:tcPr>
                <w:p w14:paraId="1989F3F8">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排放强度</w:t>
                  </w:r>
                  <w:r>
                    <w:rPr>
                      <w:rFonts w:hint="default"/>
                      <w:b w:val="0"/>
                      <w:bCs w:val="0"/>
                      <w:color w:val="auto"/>
                      <w:sz w:val="21"/>
                      <w:szCs w:val="21"/>
                      <w:highlight w:val="none"/>
                    </w:rPr>
                    <w:t>dB（A）</w:t>
                  </w:r>
                </w:p>
              </w:tc>
              <w:tc>
                <w:tcPr>
                  <w:tcW w:w="391" w:type="pct"/>
                  <w:vMerge w:val="restart"/>
                  <w:tcBorders>
                    <w:tl2br w:val="nil"/>
                    <w:tr2bl w:val="nil"/>
                  </w:tcBorders>
                  <w:vAlign w:val="center"/>
                </w:tcPr>
                <w:p w14:paraId="53D48A6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i w:val="0"/>
                      <w:iCs w:val="0"/>
                      <w:color w:val="auto"/>
                      <w:sz w:val="21"/>
                      <w:szCs w:val="21"/>
                      <w:highlight w:val="none"/>
                    </w:rPr>
                    <w:t>运行时段</w:t>
                  </w:r>
                </w:p>
              </w:tc>
              <w:tc>
                <w:tcPr>
                  <w:tcW w:w="1016" w:type="pct"/>
                  <w:gridSpan w:val="4"/>
                  <w:tcBorders>
                    <w:tl2br w:val="nil"/>
                    <w:tr2bl w:val="nil"/>
                  </w:tcBorders>
                  <w:vAlign w:val="center"/>
                </w:tcPr>
                <w:p w14:paraId="4F611B4D">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lang w:val="en-US" w:eastAsia="zh-CN"/>
                    </w:rPr>
                  </w:pPr>
                  <w:r>
                    <w:rPr>
                      <w:rFonts w:hint="eastAsia" w:cs="Times New Roman" w:eastAsiaTheme="minorEastAsia"/>
                      <w:b w:val="0"/>
                      <w:bCs w:val="0"/>
                      <w:i w:val="0"/>
                      <w:iCs w:val="0"/>
                      <w:color w:val="auto"/>
                      <w:sz w:val="21"/>
                      <w:szCs w:val="21"/>
                      <w:highlight w:val="none"/>
                      <w:lang w:val="en-US" w:eastAsia="zh-CN"/>
                    </w:rPr>
                    <w:t>距厂界距离</w:t>
                  </w:r>
                  <w:r>
                    <w:rPr>
                      <w:rFonts w:hint="default" w:ascii="Times New Roman" w:hAnsi="Times New Roman" w:cs="Times New Roman" w:eastAsiaTheme="minorEastAsia"/>
                      <w:b w:val="0"/>
                      <w:bCs w:val="0"/>
                      <w:color w:val="auto"/>
                      <w:sz w:val="21"/>
                      <w:szCs w:val="21"/>
                      <w:highlight w:val="none"/>
                    </w:rPr>
                    <w:t>/m</w:t>
                  </w:r>
                </w:p>
              </w:tc>
            </w:tr>
            <w:tr w14:paraId="08566E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204" w:type="pct"/>
                  <w:vMerge w:val="continue"/>
                  <w:tcBorders>
                    <w:tl2br w:val="nil"/>
                    <w:tr2bl w:val="nil"/>
                  </w:tcBorders>
                  <w:vAlign w:val="center"/>
                </w:tcPr>
                <w:p w14:paraId="73B1480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p>
              </w:tc>
              <w:tc>
                <w:tcPr>
                  <w:tcW w:w="692" w:type="pct"/>
                  <w:vMerge w:val="continue"/>
                  <w:tcBorders>
                    <w:tl2br w:val="nil"/>
                    <w:tr2bl w:val="nil"/>
                  </w:tcBorders>
                  <w:vAlign w:val="center"/>
                </w:tcPr>
                <w:p w14:paraId="43316BE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p>
              </w:tc>
              <w:tc>
                <w:tcPr>
                  <w:tcW w:w="420" w:type="pct"/>
                  <w:vMerge w:val="continue"/>
                  <w:tcBorders>
                    <w:tl2br w:val="nil"/>
                    <w:tr2bl w:val="nil"/>
                  </w:tcBorders>
                  <w:vAlign w:val="center"/>
                </w:tcPr>
                <w:p w14:paraId="4588ECF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p>
              </w:tc>
              <w:tc>
                <w:tcPr>
                  <w:tcW w:w="195" w:type="pct"/>
                  <w:tcBorders>
                    <w:tl2br w:val="nil"/>
                    <w:tr2bl w:val="nil"/>
                  </w:tcBorders>
                  <w:vAlign w:val="center"/>
                </w:tcPr>
                <w:p w14:paraId="60C332E3">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i w:val="0"/>
                      <w:iCs w:val="0"/>
                      <w:color w:val="auto"/>
                      <w:sz w:val="21"/>
                      <w:szCs w:val="21"/>
                      <w:highlight w:val="none"/>
                    </w:rPr>
                    <w:t>X</w:t>
                  </w:r>
                </w:p>
              </w:tc>
              <w:tc>
                <w:tcPr>
                  <w:tcW w:w="234" w:type="pct"/>
                  <w:tcBorders>
                    <w:tl2br w:val="nil"/>
                    <w:tr2bl w:val="nil"/>
                  </w:tcBorders>
                  <w:vAlign w:val="center"/>
                </w:tcPr>
                <w:p w14:paraId="26D43F8B">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i w:val="0"/>
                      <w:iCs w:val="0"/>
                      <w:color w:val="auto"/>
                      <w:sz w:val="21"/>
                      <w:szCs w:val="21"/>
                      <w:highlight w:val="none"/>
                    </w:rPr>
                    <w:t>Y</w:t>
                  </w:r>
                </w:p>
              </w:tc>
              <w:tc>
                <w:tcPr>
                  <w:tcW w:w="201" w:type="pct"/>
                  <w:tcBorders>
                    <w:tl2br w:val="nil"/>
                    <w:tr2bl w:val="nil"/>
                  </w:tcBorders>
                  <w:vAlign w:val="center"/>
                </w:tcPr>
                <w:p w14:paraId="31755B77">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r>
                    <w:rPr>
                      <w:rFonts w:hint="default" w:ascii="Times New Roman" w:hAnsi="Times New Roman" w:cs="Times New Roman" w:eastAsiaTheme="minorEastAsia"/>
                      <w:b w:val="0"/>
                      <w:bCs w:val="0"/>
                      <w:i w:val="0"/>
                      <w:iCs w:val="0"/>
                      <w:color w:val="auto"/>
                      <w:sz w:val="21"/>
                      <w:szCs w:val="21"/>
                      <w:highlight w:val="none"/>
                    </w:rPr>
                    <w:t>Z</w:t>
                  </w:r>
                </w:p>
              </w:tc>
              <w:tc>
                <w:tcPr>
                  <w:tcW w:w="424" w:type="pct"/>
                  <w:vMerge w:val="continue"/>
                  <w:tcBorders>
                    <w:tl2br w:val="nil"/>
                    <w:tr2bl w:val="nil"/>
                  </w:tcBorders>
                  <w:vAlign w:val="center"/>
                </w:tcPr>
                <w:p w14:paraId="5A3569F2">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color w:val="auto"/>
                      <w:sz w:val="21"/>
                      <w:szCs w:val="21"/>
                      <w:highlight w:val="none"/>
                    </w:rPr>
                  </w:pPr>
                </w:p>
              </w:tc>
              <w:tc>
                <w:tcPr>
                  <w:tcW w:w="494" w:type="pct"/>
                  <w:vMerge w:val="continue"/>
                  <w:tcBorders>
                    <w:tl2br w:val="nil"/>
                    <w:tr2bl w:val="nil"/>
                  </w:tcBorders>
                  <w:vAlign w:val="center"/>
                </w:tcPr>
                <w:p w14:paraId="08332BF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 w:val="0"/>
                      <w:iCs w:val="0"/>
                      <w:color w:val="auto"/>
                      <w:sz w:val="21"/>
                      <w:szCs w:val="21"/>
                      <w:highlight w:val="none"/>
                    </w:rPr>
                  </w:pPr>
                </w:p>
              </w:tc>
              <w:tc>
                <w:tcPr>
                  <w:tcW w:w="391" w:type="pct"/>
                  <w:vMerge w:val="continue"/>
                  <w:tcBorders>
                    <w:tl2br w:val="nil"/>
                    <w:tr2bl w:val="nil"/>
                  </w:tcBorders>
                  <w:vAlign w:val="center"/>
                </w:tcPr>
                <w:p w14:paraId="6C04946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 w:val="0"/>
                      <w:iCs w:val="0"/>
                      <w:color w:val="auto"/>
                      <w:sz w:val="21"/>
                      <w:szCs w:val="21"/>
                      <w:highlight w:val="none"/>
                    </w:rPr>
                  </w:pPr>
                </w:p>
              </w:tc>
              <w:tc>
                <w:tcPr>
                  <w:tcW w:w="333" w:type="pct"/>
                  <w:vMerge w:val="continue"/>
                  <w:tcBorders>
                    <w:tl2br w:val="nil"/>
                    <w:tr2bl w:val="nil"/>
                  </w:tcBorders>
                  <w:vAlign w:val="center"/>
                </w:tcPr>
                <w:p w14:paraId="5B4B712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 w:val="0"/>
                      <w:iCs w:val="0"/>
                      <w:color w:val="auto"/>
                      <w:sz w:val="21"/>
                      <w:szCs w:val="21"/>
                      <w:highlight w:val="none"/>
                    </w:rPr>
                  </w:pPr>
                </w:p>
              </w:tc>
              <w:tc>
                <w:tcPr>
                  <w:tcW w:w="391" w:type="pct"/>
                  <w:vMerge w:val="continue"/>
                  <w:tcBorders>
                    <w:tl2br w:val="nil"/>
                    <w:tr2bl w:val="nil"/>
                  </w:tcBorders>
                  <w:vAlign w:val="center"/>
                </w:tcPr>
                <w:p w14:paraId="5F5F240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i w:val="0"/>
                      <w:iCs w:val="0"/>
                      <w:color w:val="auto"/>
                      <w:sz w:val="21"/>
                      <w:szCs w:val="21"/>
                      <w:highlight w:val="none"/>
                    </w:rPr>
                  </w:pPr>
                </w:p>
              </w:tc>
              <w:tc>
                <w:tcPr>
                  <w:tcW w:w="253" w:type="pct"/>
                  <w:tcBorders>
                    <w:tl2br w:val="nil"/>
                    <w:tr2bl w:val="nil"/>
                  </w:tcBorders>
                  <w:vAlign w:val="center"/>
                </w:tcPr>
                <w:p w14:paraId="07C35D9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i w:val="0"/>
                      <w:iCs w:val="0"/>
                      <w:color w:val="auto"/>
                      <w:sz w:val="21"/>
                      <w:szCs w:val="21"/>
                      <w:highlight w:val="none"/>
                      <w:lang w:val="en-US" w:eastAsia="zh-CN"/>
                    </w:rPr>
                  </w:pPr>
                  <w:r>
                    <w:rPr>
                      <w:rFonts w:hint="eastAsia" w:cs="Times New Roman" w:eastAsiaTheme="minorEastAsia"/>
                      <w:i w:val="0"/>
                      <w:iCs w:val="0"/>
                      <w:color w:val="auto"/>
                      <w:sz w:val="21"/>
                      <w:szCs w:val="21"/>
                      <w:highlight w:val="none"/>
                      <w:lang w:val="en-US" w:eastAsia="zh-CN"/>
                    </w:rPr>
                    <w:t>东</w:t>
                  </w:r>
                </w:p>
              </w:tc>
              <w:tc>
                <w:tcPr>
                  <w:tcW w:w="263" w:type="pct"/>
                  <w:tcBorders>
                    <w:tl2br w:val="nil"/>
                    <w:tr2bl w:val="nil"/>
                  </w:tcBorders>
                  <w:vAlign w:val="center"/>
                </w:tcPr>
                <w:p w14:paraId="29D906D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i w:val="0"/>
                      <w:iCs w:val="0"/>
                      <w:color w:val="auto"/>
                      <w:sz w:val="21"/>
                      <w:szCs w:val="21"/>
                      <w:highlight w:val="none"/>
                      <w:lang w:val="en-US" w:eastAsia="zh-CN"/>
                    </w:rPr>
                  </w:pPr>
                  <w:r>
                    <w:rPr>
                      <w:rFonts w:hint="eastAsia" w:cs="Times New Roman" w:eastAsiaTheme="minorEastAsia"/>
                      <w:i w:val="0"/>
                      <w:iCs w:val="0"/>
                      <w:color w:val="auto"/>
                      <w:sz w:val="21"/>
                      <w:szCs w:val="21"/>
                      <w:highlight w:val="none"/>
                      <w:lang w:val="en-US" w:eastAsia="zh-CN"/>
                    </w:rPr>
                    <w:t>南</w:t>
                  </w:r>
                </w:p>
              </w:tc>
              <w:tc>
                <w:tcPr>
                  <w:tcW w:w="241" w:type="pct"/>
                  <w:tcBorders>
                    <w:tl2br w:val="nil"/>
                    <w:tr2bl w:val="nil"/>
                  </w:tcBorders>
                  <w:vAlign w:val="center"/>
                </w:tcPr>
                <w:p w14:paraId="6F63287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i w:val="0"/>
                      <w:iCs w:val="0"/>
                      <w:color w:val="auto"/>
                      <w:sz w:val="21"/>
                      <w:szCs w:val="21"/>
                      <w:highlight w:val="none"/>
                      <w:lang w:val="en-US" w:eastAsia="zh-CN"/>
                    </w:rPr>
                  </w:pPr>
                  <w:r>
                    <w:rPr>
                      <w:rFonts w:hint="eastAsia" w:cs="Times New Roman" w:eastAsiaTheme="minorEastAsia"/>
                      <w:i w:val="0"/>
                      <w:iCs w:val="0"/>
                      <w:color w:val="auto"/>
                      <w:sz w:val="21"/>
                      <w:szCs w:val="21"/>
                      <w:highlight w:val="none"/>
                      <w:lang w:val="en-US" w:eastAsia="zh-CN"/>
                    </w:rPr>
                    <w:t>西</w:t>
                  </w:r>
                </w:p>
              </w:tc>
              <w:tc>
                <w:tcPr>
                  <w:tcW w:w="259" w:type="pct"/>
                  <w:tcBorders>
                    <w:tl2br w:val="nil"/>
                    <w:tr2bl w:val="nil"/>
                  </w:tcBorders>
                  <w:vAlign w:val="center"/>
                </w:tcPr>
                <w:p w14:paraId="3E56288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i w:val="0"/>
                      <w:iCs w:val="0"/>
                      <w:color w:val="auto"/>
                      <w:sz w:val="21"/>
                      <w:szCs w:val="21"/>
                      <w:highlight w:val="none"/>
                      <w:lang w:val="en-US" w:eastAsia="zh-CN"/>
                    </w:rPr>
                  </w:pPr>
                  <w:r>
                    <w:rPr>
                      <w:rFonts w:hint="eastAsia" w:cs="Times New Roman" w:eastAsiaTheme="minorEastAsia"/>
                      <w:i w:val="0"/>
                      <w:iCs w:val="0"/>
                      <w:color w:val="auto"/>
                      <w:sz w:val="21"/>
                      <w:szCs w:val="21"/>
                      <w:highlight w:val="none"/>
                      <w:lang w:val="en-US" w:eastAsia="zh-CN"/>
                    </w:rPr>
                    <w:t>北</w:t>
                  </w:r>
                </w:p>
              </w:tc>
            </w:tr>
            <w:tr w14:paraId="03D032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6" w:hRule="atLeast"/>
                <w:jc w:val="center"/>
              </w:trPr>
              <w:tc>
                <w:tcPr>
                  <w:tcW w:w="204" w:type="pct"/>
                  <w:tcBorders>
                    <w:tl2br w:val="nil"/>
                    <w:tr2bl w:val="nil"/>
                  </w:tcBorders>
                  <w:vAlign w:val="center"/>
                </w:tcPr>
                <w:p w14:paraId="7630C3DE">
                  <w:pPr>
                    <w:pStyle w:val="35"/>
                    <w:keepNext w:val="0"/>
                    <w:keepLines w:val="0"/>
                    <w:pageBreakBefore w:val="0"/>
                    <w:widowControl w:val="0"/>
                    <w:numPr>
                      <w:ilvl w:val="0"/>
                      <w:numId w:val="34"/>
                    </w:numPr>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692" w:type="pct"/>
                  <w:tcBorders>
                    <w:tl2br w:val="nil"/>
                    <w:tr2bl w:val="nil"/>
                  </w:tcBorders>
                  <w:vAlign w:val="center"/>
                </w:tcPr>
                <w:p w14:paraId="66D99E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脉冲布袋除尘器风机</w:t>
                  </w:r>
                </w:p>
              </w:tc>
              <w:tc>
                <w:tcPr>
                  <w:tcW w:w="420" w:type="pct"/>
                  <w:tcBorders>
                    <w:tl2br w:val="nil"/>
                    <w:tr2bl w:val="nil"/>
                  </w:tcBorders>
                  <w:vAlign w:val="center"/>
                </w:tcPr>
                <w:p w14:paraId="238411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风量：8</w:t>
                  </w:r>
                  <w:r>
                    <w:rPr>
                      <w:rFonts w:hint="default" w:ascii="Times New Roman" w:hAnsi="Times New Roman" w:cs="Times New Roman"/>
                      <w:bCs/>
                      <w:color w:val="auto"/>
                      <w:kern w:val="2"/>
                      <w:sz w:val="21"/>
                      <w:szCs w:val="21"/>
                      <w:highlight w:val="none"/>
                      <w:lang w:val="en-US" w:eastAsia="zh-CN" w:bidi="ar-SA"/>
                    </w:rPr>
                    <w:t>000m</w:t>
                  </w:r>
                  <w:r>
                    <w:rPr>
                      <w:rFonts w:hint="default" w:ascii="Times New Roman" w:hAnsi="Times New Roman" w:cs="Times New Roman"/>
                      <w:bCs/>
                      <w:color w:val="auto"/>
                      <w:kern w:val="2"/>
                      <w:sz w:val="21"/>
                      <w:szCs w:val="21"/>
                      <w:highlight w:val="none"/>
                      <w:vertAlign w:val="superscript"/>
                      <w:lang w:val="en-US" w:eastAsia="zh-CN" w:bidi="ar-SA"/>
                    </w:rPr>
                    <w:t>3</w:t>
                  </w:r>
                  <w:r>
                    <w:rPr>
                      <w:rFonts w:hint="default" w:ascii="Times New Roman" w:hAnsi="Times New Roman" w:cs="Times New Roman"/>
                      <w:bCs/>
                      <w:color w:val="auto"/>
                      <w:kern w:val="2"/>
                      <w:sz w:val="21"/>
                      <w:szCs w:val="21"/>
                      <w:highlight w:val="none"/>
                      <w:vertAlign w:val="baseline"/>
                      <w:lang w:val="en-US" w:eastAsia="zh-CN" w:bidi="ar-SA"/>
                    </w:rPr>
                    <w:t>/h</w:t>
                  </w:r>
                </w:p>
              </w:tc>
              <w:tc>
                <w:tcPr>
                  <w:tcW w:w="195" w:type="pct"/>
                  <w:tcBorders>
                    <w:tl2br w:val="nil"/>
                    <w:tr2bl w:val="nil"/>
                  </w:tcBorders>
                  <w:vAlign w:val="center"/>
                </w:tcPr>
                <w:p w14:paraId="65FD7ABD">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234" w:type="pct"/>
                  <w:tcBorders>
                    <w:tl2br w:val="nil"/>
                    <w:tr2bl w:val="nil"/>
                  </w:tcBorders>
                  <w:vAlign w:val="center"/>
                </w:tcPr>
                <w:p w14:paraId="24DAA96D">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116</w:t>
                  </w:r>
                  <w:r>
                    <w:rPr>
                      <w:rFonts w:hint="eastAsia" w:ascii="Times New Roman" w:hAnsi="Times New Roman" w:cs="Times New Roman" w:eastAsiaTheme="minorEastAsia"/>
                      <w:color w:val="auto"/>
                      <w:sz w:val="21"/>
                      <w:szCs w:val="21"/>
                      <w:highlight w:val="none"/>
                      <w:lang w:val="en-US" w:eastAsia="zh-CN"/>
                    </w:rPr>
                    <w:t xml:space="preserve"> </w:t>
                  </w:r>
                </w:p>
              </w:tc>
              <w:tc>
                <w:tcPr>
                  <w:tcW w:w="201" w:type="pct"/>
                  <w:tcBorders>
                    <w:tl2br w:val="nil"/>
                    <w:tr2bl w:val="nil"/>
                  </w:tcBorders>
                  <w:vAlign w:val="center"/>
                </w:tcPr>
                <w:p w14:paraId="1B42745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0.2</w:t>
                  </w:r>
                </w:p>
              </w:tc>
              <w:tc>
                <w:tcPr>
                  <w:tcW w:w="424" w:type="pct"/>
                  <w:tcBorders>
                    <w:tl2br w:val="nil"/>
                    <w:tr2bl w:val="nil"/>
                  </w:tcBorders>
                  <w:vAlign w:val="center"/>
                </w:tcPr>
                <w:p w14:paraId="2ADDF0B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85</w:t>
                  </w:r>
                </w:p>
              </w:tc>
              <w:tc>
                <w:tcPr>
                  <w:tcW w:w="494" w:type="pct"/>
                  <w:tcBorders>
                    <w:tl2br w:val="nil"/>
                    <w:tr2bl w:val="nil"/>
                  </w:tcBorders>
                  <w:vAlign w:val="center"/>
                </w:tcPr>
                <w:p w14:paraId="7A0418DC">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基础减振，设置隔声罩</w:t>
                  </w:r>
                </w:p>
              </w:tc>
              <w:tc>
                <w:tcPr>
                  <w:tcW w:w="391" w:type="pct"/>
                  <w:tcBorders>
                    <w:tl2br w:val="nil"/>
                    <w:tr2bl w:val="nil"/>
                  </w:tcBorders>
                  <w:vAlign w:val="center"/>
                </w:tcPr>
                <w:p w14:paraId="08542E2C">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20</w:t>
                  </w:r>
                </w:p>
              </w:tc>
              <w:tc>
                <w:tcPr>
                  <w:tcW w:w="333" w:type="pct"/>
                  <w:tcBorders>
                    <w:tl2br w:val="nil"/>
                    <w:tr2bl w:val="nil"/>
                  </w:tcBorders>
                  <w:vAlign w:val="center"/>
                </w:tcPr>
                <w:p w14:paraId="58766D4E">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c>
                <w:tcPr>
                  <w:tcW w:w="391" w:type="pct"/>
                  <w:vMerge w:val="restart"/>
                  <w:tcBorders>
                    <w:tl2br w:val="nil"/>
                    <w:tr2bl w:val="nil"/>
                  </w:tcBorders>
                  <w:vAlign w:val="center"/>
                </w:tcPr>
                <w:p w14:paraId="4CC8414B">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昼间8h</w:t>
                  </w:r>
                </w:p>
              </w:tc>
              <w:tc>
                <w:tcPr>
                  <w:tcW w:w="686" w:type="dxa"/>
                  <w:tcBorders>
                    <w:tl2br w:val="nil"/>
                    <w:tr2bl w:val="nil"/>
                  </w:tcBorders>
                  <w:vAlign w:val="center"/>
                </w:tcPr>
                <w:p w14:paraId="053C857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109</w:t>
                  </w:r>
                </w:p>
              </w:tc>
              <w:tc>
                <w:tcPr>
                  <w:tcW w:w="713" w:type="dxa"/>
                  <w:tcBorders>
                    <w:tl2br w:val="nil"/>
                    <w:tr2bl w:val="nil"/>
                  </w:tcBorders>
                  <w:vAlign w:val="center"/>
                </w:tcPr>
                <w:p w14:paraId="0D1C5156">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145</w:t>
                  </w:r>
                </w:p>
              </w:tc>
              <w:tc>
                <w:tcPr>
                  <w:tcW w:w="653" w:type="dxa"/>
                  <w:tcBorders>
                    <w:tl2br w:val="nil"/>
                    <w:tr2bl w:val="nil"/>
                  </w:tcBorders>
                  <w:vAlign w:val="center"/>
                </w:tcPr>
                <w:p w14:paraId="0F4B2AC0">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94</w:t>
                  </w:r>
                </w:p>
              </w:tc>
              <w:tc>
                <w:tcPr>
                  <w:tcW w:w="703" w:type="dxa"/>
                  <w:tcBorders>
                    <w:tl2br w:val="nil"/>
                    <w:tr2bl w:val="nil"/>
                  </w:tcBorders>
                  <w:vAlign w:val="center"/>
                </w:tcPr>
                <w:p w14:paraId="0E0C21B1">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86</w:t>
                  </w:r>
                </w:p>
              </w:tc>
            </w:tr>
            <w:tr w14:paraId="5CBDD1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204" w:type="pct"/>
                  <w:tcBorders>
                    <w:tl2br w:val="nil"/>
                    <w:tr2bl w:val="nil"/>
                  </w:tcBorders>
                  <w:vAlign w:val="center"/>
                </w:tcPr>
                <w:p w14:paraId="518E4325">
                  <w:pPr>
                    <w:pStyle w:val="35"/>
                    <w:keepNext w:val="0"/>
                    <w:keepLines w:val="0"/>
                    <w:pageBreakBefore w:val="0"/>
                    <w:widowControl w:val="0"/>
                    <w:numPr>
                      <w:ilvl w:val="0"/>
                      <w:numId w:val="34"/>
                    </w:numPr>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692" w:type="pct"/>
                  <w:tcBorders>
                    <w:tl2br w:val="nil"/>
                    <w:tr2bl w:val="nil"/>
                  </w:tcBorders>
                  <w:vAlign w:val="center"/>
                </w:tcPr>
                <w:p w14:paraId="5FD23E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干式喷漆柜+过滤棉箱过滤+</w:t>
                  </w:r>
                  <w:r>
                    <w:rPr>
                      <w:rFonts w:hint="eastAsia" w:ascii="Times New Roman" w:hAnsi="Times New Roman" w:cs="Times New Roman"/>
                      <w:bCs/>
                      <w:color w:val="auto"/>
                      <w:sz w:val="21"/>
                      <w:szCs w:val="21"/>
                      <w:highlight w:val="none"/>
                      <w:lang w:val="en-US" w:eastAsia="zh-CN"/>
                    </w:rPr>
                    <w:t>沸石转轮</w:t>
                  </w:r>
                  <w:r>
                    <w:rPr>
                      <w:rFonts w:hint="default" w:ascii="Times New Roman" w:hAnsi="Times New Roman" w:cs="Times New Roman"/>
                      <w:bCs/>
                      <w:color w:val="auto"/>
                      <w:sz w:val="21"/>
                      <w:szCs w:val="21"/>
                      <w:highlight w:val="none"/>
                      <w:lang w:val="en-US" w:eastAsia="zh-CN"/>
                    </w:rPr>
                    <w:t>+催化燃烧装置</w:t>
                  </w:r>
                  <w:r>
                    <w:rPr>
                      <w:rFonts w:hint="eastAsia" w:ascii="Times New Roman" w:hAnsi="Times New Roman" w:cs="Times New Roman"/>
                      <w:bCs/>
                      <w:color w:val="auto"/>
                      <w:sz w:val="21"/>
                      <w:szCs w:val="21"/>
                      <w:highlight w:val="none"/>
                      <w:lang w:val="en-US" w:eastAsia="zh-CN"/>
                    </w:rPr>
                    <w:t>引风机</w:t>
                  </w:r>
                </w:p>
              </w:tc>
              <w:tc>
                <w:tcPr>
                  <w:tcW w:w="420" w:type="pct"/>
                  <w:tcBorders>
                    <w:tl2br w:val="nil"/>
                    <w:tr2bl w:val="nil"/>
                  </w:tcBorders>
                  <w:vAlign w:val="center"/>
                </w:tcPr>
                <w:p w14:paraId="660785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风量：30</w:t>
                  </w:r>
                  <w:r>
                    <w:rPr>
                      <w:rFonts w:hint="default" w:ascii="Times New Roman" w:hAnsi="Times New Roman" w:cs="Times New Roman"/>
                      <w:bCs/>
                      <w:color w:val="auto"/>
                      <w:kern w:val="2"/>
                      <w:sz w:val="21"/>
                      <w:szCs w:val="21"/>
                      <w:highlight w:val="none"/>
                      <w:lang w:val="en-US" w:eastAsia="zh-CN" w:bidi="ar-SA"/>
                    </w:rPr>
                    <w:t>000m</w:t>
                  </w:r>
                  <w:r>
                    <w:rPr>
                      <w:rFonts w:hint="default" w:ascii="Times New Roman" w:hAnsi="Times New Roman" w:cs="Times New Roman"/>
                      <w:bCs/>
                      <w:color w:val="auto"/>
                      <w:kern w:val="2"/>
                      <w:sz w:val="21"/>
                      <w:szCs w:val="21"/>
                      <w:highlight w:val="none"/>
                      <w:vertAlign w:val="superscript"/>
                      <w:lang w:val="en-US" w:eastAsia="zh-CN" w:bidi="ar-SA"/>
                    </w:rPr>
                    <w:t>3</w:t>
                  </w:r>
                  <w:r>
                    <w:rPr>
                      <w:rFonts w:hint="default" w:ascii="Times New Roman" w:hAnsi="Times New Roman" w:cs="Times New Roman"/>
                      <w:bCs/>
                      <w:color w:val="auto"/>
                      <w:kern w:val="2"/>
                      <w:sz w:val="21"/>
                      <w:szCs w:val="21"/>
                      <w:highlight w:val="none"/>
                      <w:vertAlign w:val="baseline"/>
                      <w:lang w:val="en-US" w:eastAsia="zh-CN" w:bidi="ar-SA"/>
                    </w:rPr>
                    <w:t>/h</w:t>
                  </w:r>
                </w:p>
              </w:tc>
              <w:tc>
                <w:tcPr>
                  <w:tcW w:w="195" w:type="pct"/>
                  <w:tcBorders>
                    <w:tl2br w:val="nil"/>
                    <w:tr2bl w:val="nil"/>
                  </w:tcBorders>
                  <w:vAlign w:val="center"/>
                </w:tcPr>
                <w:p w14:paraId="294B9EF3">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51</w:t>
                  </w:r>
                  <w:r>
                    <w:rPr>
                      <w:rFonts w:hint="eastAsia" w:ascii="Times New Roman" w:hAnsi="Times New Roman" w:cs="Times New Roman" w:eastAsiaTheme="minorEastAsia"/>
                      <w:color w:val="auto"/>
                      <w:sz w:val="21"/>
                      <w:szCs w:val="21"/>
                      <w:highlight w:val="none"/>
                      <w:lang w:val="en-US" w:eastAsia="zh-CN"/>
                    </w:rPr>
                    <w:t xml:space="preserve"> </w:t>
                  </w:r>
                </w:p>
              </w:tc>
              <w:tc>
                <w:tcPr>
                  <w:tcW w:w="234" w:type="pct"/>
                  <w:tcBorders>
                    <w:tl2br w:val="nil"/>
                    <w:tr2bl w:val="nil"/>
                  </w:tcBorders>
                  <w:vAlign w:val="center"/>
                </w:tcPr>
                <w:p w14:paraId="51642F59">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112</w:t>
                  </w:r>
                  <w:r>
                    <w:rPr>
                      <w:rFonts w:hint="eastAsia" w:ascii="Times New Roman" w:hAnsi="Times New Roman" w:cs="Times New Roman" w:eastAsiaTheme="minorEastAsia"/>
                      <w:color w:val="auto"/>
                      <w:sz w:val="21"/>
                      <w:szCs w:val="21"/>
                      <w:highlight w:val="none"/>
                      <w:lang w:val="en-US" w:eastAsia="zh-CN"/>
                    </w:rPr>
                    <w:t xml:space="preserve"> </w:t>
                  </w:r>
                </w:p>
              </w:tc>
              <w:tc>
                <w:tcPr>
                  <w:tcW w:w="201" w:type="pct"/>
                  <w:tcBorders>
                    <w:tl2br w:val="nil"/>
                    <w:tr2bl w:val="nil"/>
                  </w:tcBorders>
                  <w:vAlign w:val="center"/>
                </w:tcPr>
                <w:p w14:paraId="59DA51C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0.2</w:t>
                  </w:r>
                </w:p>
              </w:tc>
              <w:tc>
                <w:tcPr>
                  <w:tcW w:w="424" w:type="pct"/>
                  <w:tcBorders>
                    <w:tl2br w:val="nil"/>
                    <w:tr2bl w:val="nil"/>
                  </w:tcBorders>
                  <w:vAlign w:val="center"/>
                </w:tcPr>
                <w:p w14:paraId="6707F4C7">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9</w:t>
                  </w:r>
                  <w:r>
                    <w:rPr>
                      <w:rFonts w:hint="eastAsia" w:cs="Times New Roman" w:eastAsiaTheme="minorEastAsia"/>
                      <w:color w:val="auto"/>
                      <w:sz w:val="21"/>
                      <w:szCs w:val="21"/>
                      <w:highlight w:val="none"/>
                      <w:lang w:val="en-US" w:eastAsia="zh-CN"/>
                    </w:rPr>
                    <w:t>5</w:t>
                  </w:r>
                </w:p>
              </w:tc>
              <w:tc>
                <w:tcPr>
                  <w:tcW w:w="494" w:type="pct"/>
                  <w:tcBorders>
                    <w:tl2br w:val="nil"/>
                    <w:tr2bl w:val="nil"/>
                  </w:tcBorders>
                  <w:vAlign w:val="center"/>
                </w:tcPr>
                <w:p w14:paraId="3871EC4E">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基础减振，设置隔声罩</w:t>
                  </w:r>
                </w:p>
              </w:tc>
              <w:tc>
                <w:tcPr>
                  <w:tcW w:w="391" w:type="pct"/>
                  <w:tcBorders>
                    <w:tl2br w:val="nil"/>
                    <w:tr2bl w:val="nil"/>
                  </w:tcBorders>
                  <w:vAlign w:val="center"/>
                </w:tcPr>
                <w:p w14:paraId="5293E819">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c>
                <w:tcPr>
                  <w:tcW w:w="333" w:type="pct"/>
                  <w:tcBorders>
                    <w:tl2br w:val="nil"/>
                    <w:tr2bl w:val="nil"/>
                  </w:tcBorders>
                  <w:vAlign w:val="center"/>
                </w:tcPr>
                <w:p w14:paraId="07F104B8">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391" w:type="pct"/>
                  <w:vMerge w:val="continue"/>
                  <w:tcBorders>
                    <w:tl2br w:val="nil"/>
                    <w:tr2bl w:val="nil"/>
                  </w:tcBorders>
                  <w:vAlign w:val="center"/>
                </w:tcPr>
                <w:p w14:paraId="2CF722C9">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86" w:type="dxa"/>
                  <w:tcBorders>
                    <w:tl2br w:val="nil"/>
                    <w:tr2bl w:val="nil"/>
                  </w:tcBorders>
                  <w:vAlign w:val="center"/>
                </w:tcPr>
                <w:p w14:paraId="755A0082">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142</w:t>
                  </w:r>
                </w:p>
              </w:tc>
              <w:tc>
                <w:tcPr>
                  <w:tcW w:w="713" w:type="dxa"/>
                  <w:tcBorders>
                    <w:tl2br w:val="nil"/>
                    <w:tr2bl w:val="nil"/>
                  </w:tcBorders>
                  <w:vAlign w:val="center"/>
                </w:tcPr>
                <w:p w14:paraId="0826C1A7">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140</w:t>
                  </w:r>
                </w:p>
              </w:tc>
              <w:tc>
                <w:tcPr>
                  <w:tcW w:w="653" w:type="dxa"/>
                  <w:tcBorders>
                    <w:tl2br w:val="nil"/>
                    <w:tr2bl w:val="nil"/>
                  </w:tcBorders>
                  <w:vAlign w:val="center"/>
                </w:tcPr>
                <w:p w14:paraId="6ACF3CE6">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61</w:t>
                  </w:r>
                </w:p>
              </w:tc>
              <w:tc>
                <w:tcPr>
                  <w:tcW w:w="703" w:type="dxa"/>
                  <w:tcBorders>
                    <w:tl2br w:val="nil"/>
                    <w:tr2bl w:val="nil"/>
                  </w:tcBorders>
                  <w:vAlign w:val="center"/>
                </w:tcPr>
                <w:p w14:paraId="395F3A1E">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91</w:t>
                  </w:r>
                </w:p>
              </w:tc>
            </w:tr>
            <w:tr w14:paraId="1CDCC8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204" w:type="pct"/>
                  <w:tcBorders>
                    <w:tl2br w:val="nil"/>
                    <w:tr2bl w:val="nil"/>
                  </w:tcBorders>
                  <w:vAlign w:val="center"/>
                </w:tcPr>
                <w:p w14:paraId="4C56C714">
                  <w:pPr>
                    <w:pStyle w:val="35"/>
                    <w:keepNext w:val="0"/>
                    <w:keepLines w:val="0"/>
                    <w:pageBreakBefore w:val="0"/>
                    <w:widowControl w:val="0"/>
                    <w:numPr>
                      <w:ilvl w:val="0"/>
                      <w:numId w:val="34"/>
                    </w:numPr>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692" w:type="pct"/>
                  <w:tcBorders>
                    <w:tl2br w:val="nil"/>
                    <w:tr2bl w:val="nil"/>
                  </w:tcBorders>
                  <w:vAlign w:val="center"/>
                </w:tcPr>
                <w:p w14:paraId="171351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干式喷漆柜+过滤棉箱过滤+</w:t>
                  </w:r>
                  <w:r>
                    <w:rPr>
                      <w:rFonts w:hint="eastAsia" w:ascii="Times New Roman" w:hAnsi="Times New Roman" w:cs="Times New Roman"/>
                      <w:bCs/>
                      <w:color w:val="auto"/>
                      <w:sz w:val="21"/>
                      <w:szCs w:val="21"/>
                      <w:highlight w:val="none"/>
                      <w:lang w:val="en-US" w:eastAsia="zh-CN"/>
                    </w:rPr>
                    <w:t>沸石转轮</w:t>
                  </w:r>
                  <w:r>
                    <w:rPr>
                      <w:rFonts w:hint="default" w:ascii="Times New Roman" w:hAnsi="Times New Roman" w:cs="Times New Roman"/>
                      <w:bCs/>
                      <w:color w:val="auto"/>
                      <w:sz w:val="21"/>
                      <w:szCs w:val="21"/>
                      <w:highlight w:val="none"/>
                      <w:lang w:val="en-US" w:eastAsia="zh-CN"/>
                    </w:rPr>
                    <w:t>+催化燃烧装置</w:t>
                  </w:r>
                  <w:r>
                    <w:rPr>
                      <w:rFonts w:hint="eastAsia" w:ascii="Times New Roman" w:hAnsi="Times New Roman" w:cs="Times New Roman"/>
                      <w:bCs/>
                      <w:color w:val="auto"/>
                      <w:sz w:val="21"/>
                      <w:szCs w:val="21"/>
                      <w:highlight w:val="none"/>
                      <w:lang w:val="en-US" w:eastAsia="zh-CN"/>
                    </w:rPr>
                    <w:t>脱附风机</w:t>
                  </w:r>
                </w:p>
              </w:tc>
              <w:tc>
                <w:tcPr>
                  <w:tcW w:w="420" w:type="pct"/>
                  <w:tcBorders>
                    <w:tl2br w:val="nil"/>
                    <w:tr2bl w:val="nil"/>
                  </w:tcBorders>
                  <w:vAlign w:val="center"/>
                </w:tcPr>
                <w:p w14:paraId="39DBB7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风量：3</w:t>
                  </w:r>
                  <w:r>
                    <w:rPr>
                      <w:rFonts w:hint="default" w:ascii="Times New Roman" w:hAnsi="Times New Roman" w:cs="Times New Roman"/>
                      <w:bCs/>
                      <w:color w:val="auto"/>
                      <w:kern w:val="2"/>
                      <w:sz w:val="21"/>
                      <w:szCs w:val="21"/>
                      <w:highlight w:val="none"/>
                      <w:lang w:val="en-US" w:eastAsia="zh-CN" w:bidi="ar-SA"/>
                    </w:rPr>
                    <w:t>000m</w:t>
                  </w:r>
                  <w:r>
                    <w:rPr>
                      <w:rFonts w:hint="default" w:ascii="Times New Roman" w:hAnsi="Times New Roman" w:cs="Times New Roman"/>
                      <w:bCs/>
                      <w:color w:val="auto"/>
                      <w:kern w:val="2"/>
                      <w:sz w:val="21"/>
                      <w:szCs w:val="21"/>
                      <w:highlight w:val="none"/>
                      <w:vertAlign w:val="superscript"/>
                      <w:lang w:val="en-US" w:eastAsia="zh-CN" w:bidi="ar-SA"/>
                    </w:rPr>
                    <w:t>3</w:t>
                  </w:r>
                  <w:r>
                    <w:rPr>
                      <w:rFonts w:hint="default" w:ascii="Times New Roman" w:hAnsi="Times New Roman" w:cs="Times New Roman"/>
                      <w:bCs/>
                      <w:color w:val="auto"/>
                      <w:kern w:val="2"/>
                      <w:sz w:val="21"/>
                      <w:szCs w:val="21"/>
                      <w:highlight w:val="none"/>
                      <w:vertAlign w:val="baseline"/>
                      <w:lang w:val="en-US" w:eastAsia="zh-CN" w:bidi="ar-SA"/>
                    </w:rPr>
                    <w:t>/h</w:t>
                  </w:r>
                </w:p>
              </w:tc>
              <w:tc>
                <w:tcPr>
                  <w:tcW w:w="529" w:type="dxa"/>
                  <w:tcBorders>
                    <w:tl2br w:val="nil"/>
                    <w:tr2bl w:val="nil"/>
                  </w:tcBorders>
                  <w:vAlign w:val="center"/>
                </w:tcPr>
                <w:p w14:paraId="3E65632C">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48</w:t>
                  </w:r>
                  <w:r>
                    <w:rPr>
                      <w:rFonts w:hint="eastAsia" w:ascii="Times New Roman" w:hAnsi="Times New Roman" w:cs="Times New Roman" w:eastAsiaTheme="minorEastAsia"/>
                      <w:color w:val="auto"/>
                      <w:sz w:val="21"/>
                      <w:szCs w:val="21"/>
                      <w:highlight w:val="none"/>
                      <w:lang w:val="en-US" w:eastAsia="zh-CN"/>
                    </w:rPr>
                    <w:t xml:space="preserve"> </w:t>
                  </w:r>
                </w:p>
              </w:tc>
              <w:tc>
                <w:tcPr>
                  <w:tcW w:w="635" w:type="dxa"/>
                  <w:tcBorders>
                    <w:tl2br w:val="nil"/>
                    <w:tr2bl w:val="nil"/>
                  </w:tcBorders>
                  <w:vAlign w:val="center"/>
                </w:tcPr>
                <w:p w14:paraId="58918724">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112</w:t>
                  </w:r>
                  <w:r>
                    <w:rPr>
                      <w:rFonts w:hint="eastAsia" w:ascii="Times New Roman" w:hAnsi="Times New Roman" w:cs="Times New Roman" w:eastAsiaTheme="minorEastAsia"/>
                      <w:color w:val="auto"/>
                      <w:sz w:val="21"/>
                      <w:szCs w:val="21"/>
                      <w:highlight w:val="none"/>
                      <w:lang w:val="en-US" w:eastAsia="zh-CN"/>
                    </w:rPr>
                    <w:t xml:space="preserve"> </w:t>
                  </w:r>
                </w:p>
              </w:tc>
              <w:tc>
                <w:tcPr>
                  <w:tcW w:w="547" w:type="dxa"/>
                  <w:tcBorders>
                    <w:tl2br w:val="nil"/>
                    <w:tr2bl w:val="nil"/>
                  </w:tcBorders>
                  <w:vAlign w:val="center"/>
                </w:tcPr>
                <w:p w14:paraId="51031418">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0.2</w:t>
                  </w:r>
                </w:p>
              </w:tc>
              <w:tc>
                <w:tcPr>
                  <w:tcW w:w="424" w:type="pct"/>
                  <w:tcBorders>
                    <w:tl2br w:val="nil"/>
                    <w:tr2bl w:val="nil"/>
                  </w:tcBorders>
                  <w:vAlign w:val="center"/>
                </w:tcPr>
                <w:p w14:paraId="3B53E79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80</w:t>
                  </w:r>
                </w:p>
              </w:tc>
              <w:tc>
                <w:tcPr>
                  <w:tcW w:w="494" w:type="pct"/>
                  <w:tcBorders>
                    <w:tl2br w:val="nil"/>
                    <w:tr2bl w:val="nil"/>
                  </w:tcBorders>
                  <w:vAlign w:val="center"/>
                </w:tcPr>
                <w:p w14:paraId="1B0B934D">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基础减振</w:t>
                  </w:r>
                </w:p>
              </w:tc>
              <w:tc>
                <w:tcPr>
                  <w:tcW w:w="391" w:type="pct"/>
                  <w:tcBorders>
                    <w:tl2br w:val="nil"/>
                    <w:tr2bl w:val="nil"/>
                  </w:tcBorders>
                  <w:vAlign w:val="center"/>
                </w:tcPr>
                <w:p w14:paraId="441E8561">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w:t>
                  </w:r>
                </w:p>
              </w:tc>
              <w:tc>
                <w:tcPr>
                  <w:tcW w:w="333" w:type="pct"/>
                  <w:tcBorders>
                    <w:tl2br w:val="nil"/>
                    <w:tr2bl w:val="nil"/>
                  </w:tcBorders>
                  <w:vAlign w:val="center"/>
                </w:tcPr>
                <w:p w14:paraId="5AC6B8E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391" w:type="pct"/>
                  <w:vMerge w:val="continue"/>
                  <w:tcBorders>
                    <w:tl2br w:val="nil"/>
                    <w:tr2bl w:val="nil"/>
                  </w:tcBorders>
                  <w:vAlign w:val="center"/>
                </w:tcPr>
                <w:p w14:paraId="15B91054">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86" w:type="dxa"/>
                  <w:tcBorders>
                    <w:tl2br w:val="nil"/>
                    <w:tr2bl w:val="nil"/>
                  </w:tcBorders>
                  <w:vAlign w:val="center"/>
                </w:tcPr>
                <w:p w14:paraId="296CD676">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135</w:t>
                  </w:r>
                </w:p>
              </w:tc>
              <w:tc>
                <w:tcPr>
                  <w:tcW w:w="713" w:type="dxa"/>
                  <w:tcBorders>
                    <w:tl2br w:val="nil"/>
                    <w:tr2bl w:val="nil"/>
                  </w:tcBorders>
                  <w:vAlign w:val="center"/>
                </w:tcPr>
                <w:p w14:paraId="69AF7234">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140</w:t>
                  </w:r>
                </w:p>
              </w:tc>
              <w:tc>
                <w:tcPr>
                  <w:tcW w:w="653" w:type="dxa"/>
                  <w:tcBorders>
                    <w:tl2br w:val="nil"/>
                    <w:tr2bl w:val="nil"/>
                  </w:tcBorders>
                  <w:vAlign w:val="center"/>
                </w:tcPr>
                <w:p w14:paraId="349AC74B">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68</w:t>
                  </w:r>
                </w:p>
              </w:tc>
              <w:tc>
                <w:tcPr>
                  <w:tcW w:w="703" w:type="dxa"/>
                  <w:tcBorders>
                    <w:tl2br w:val="nil"/>
                    <w:tr2bl w:val="nil"/>
                  </w:tcBorders>
                  <w:vAlign w:val="center"/>
                </w:tcPr>
                <w:p w14:paraId="3D307D1E">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91</w:t>
                  </w:r>
                </w:p>
              </w:tc>
            </w:tr>
          </w:tbl>
          <w:p w14:paraId="57B1D17B">
            <w:pPr>
              <w:bidi w:val="0"/>
              <w:ind w:left="0" w:leftChars="0" w:firstLine="0" w:firstLineChars="0"/>
              <w:jc w:val="center"/>
              <w:rPr>
                <w:rStyle w:val="48"/>
                <w:rFonts w:hint="eastAsia"/>
                <w:color w:val="auto"/>
                <w:sz w:val="21"/>
                <w:szCs w:val="21"/>
                <w:highlight w:val="none"/>
                <w:lang w:val="en-US" w:eastAsia="zh-CN"/>
              </w:rPr>
            </w:pPr>
            <w:r>
              <w:rPr>
                <w:rStyle w:val="48"/>
                <w:rFonts w:hint="default"/>
                <w:color w:val="auto"/>
                <w:sz w:val="21"/>
                <w:szCs w:val="21"/>
                <w:highlight w:val="none"/>
              </w:rPr>
              <w:t>表</w:t>
            </w:r>
            <w:r>
              <w:rPr>
                <w:rStyle w:val="48"/>
                <w:rFonts w:hint="eastAsia"/>
                <w:color w:val="auto"/>
                <w:sz w:val="21"/>
                <w:szCs w:val="21"/>
                <w:highlight w:val="none"/>
                <w:lang w:val="en-US" w:eastAsia="zh-CN"/>
              </w:rPr>
              <w:t>54</w:t>
            </w:r>
            <w:r>
              <w:rPr>
                <w:rStyle w:val="48"/>
                <w:rFonts w:hint="default"/>
                <w:color w:val="auto"/>
                <w:sz w:val="21"/>
                <w:szCs w:val="21"/>
                <w:highlight w:val="none"/>
              </w:rPr>
              <w:t xml:space="preserve">  噪声污染源及治理措施</w:t>
            </w:r>
            <w:r>
              <w:rPr>
                <w:rStyle w:val="48"/>
                <w:rFonts w:hint="eastAsia"/>
                <w:color w:val="auto"/>
                <w:sz w:val="21"/>
                <w:szCs w:val="21"/>
                <w:highlight w:val="none"/>
                <w:lang w:val="en-US" w:eastAsia="zh-CN"/>
              </w:rPr>
              <w:t>一览表（室内声源）</w:t>
            </w:r>
          </w:p>
          <w:tbl>
            <w:tblPr>
              <w:tblStyle w:val="59"/>
              <w:tblW w:w="135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25"/>
              <w:gridCol w:w="587"/>
              <w:gridCol w:w="943"/>
              <w:gridCol w:w="667"/>
              <w:gridCol w:w="600"/>
              <w:gridCol w:w="690"/>
              <w:gridCol w:w="525"/>
              <w:gridCol w:w="410"/>
              <w:gridCol w:w="410"/>
              <w:gridCol w:w="410"/>
              <w:gridCol w:w="416"/>
              <w:gridCol w:w="416"/>
              <w:gridCol w:w="416"/>
              <w:gridCol w:w="417"/>
              <w:gridCol w:w="453"/>
              <w:gridCol w:w="453"/>
              <w:gridCol w:w="453"/>
              <w:gridCol w:w="456"/>
              <w:gridCol w:w="510"/>
              <w:gridCol w:w="398"/>
              <w:gridCol w:w="398"/>
              <w:gridCol w:w="398"/>
              <w:gridCol w:w="399"/>
              <w:gridCol w:w="460"/>
              <w:gridCol w:w="460"/>
              <w:gridCol w:w="460"/>
              <w:gridCol w:w="462"/>
              <w:gridCol w:w="597"/>
            </w:tblGrid>
            <w:tr w14:paraId="7DFA35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119" w:type="pct"/>
                  <w:vMerge w:val="restart"/>
                  <w:tcBorders>
                    <w:tl2br w:val="nil"/>
                    <w:tr2bl w:val="nil"/>
                  </w:tcBorders>
                  <w:vAlign w:val="center"/>
                </w:tcPr>
                <w:p w14:paraId="312DAB8B">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序号</w:t>
                  </w:r>
                </w:p>
              </w:tc>
              <w:tc>
                <w:tcPr>
                  <w:tcW w:w="215" w:type="pct"/>
                  <w:vMerge w:val="restart"/>
                  <w:tcBorders>
                    <w:tl2br w:val="nil"/>
                    <w:tr2bl w:val="nil"/>
                  </w:tcBorders>
                  <w:vAlign w:val="center"/>
                </w:tcPr>
                <w:p w14:paraId="2D8CEAD9">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建筑物名称</w:t>
                  </w:r>
                </w:p>
              </w:tc>
              <w:tc>
                <w:tcPr>
                  <w:tcW w:w="346" w:type="pct"/>
                  <w:vMerge w:val="restart"/>
                  <w:tcBorders>
                    <w:tl2br w:val="nil"/>
                    <w:tr2bl w:val="nil"/>
                  </w:tcBorders>
                  <w:vAlign w:val="center"/>
                </w:tcPr>
                <w:p w14:paraId="3401963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声源名称</w:t>
                  </w:r>
                </w:p>
              </w:tc>
              <w:tc>
                <w:tcPr>
                  <w:tcW w:w="245" w:type="pct"/>
                  <w:vMerge w:val="restart"/>
                  <w:tcBorders>
                    <w:tl2br w:val="nil"/>
                    <w:tr2bl w:val="nil"/>
                  </w:tcBorders>
                  <w:vAlign w:val="center"/>
                </w:tcPr>
                <w:p w14:paraId="418D479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型号</w:t>
                  </w:r>
                </w:p>
              </w:tc>
              <w:tc>
                <w:tcPr>
                  <w:tcW w:w="220" w:type="pct"/>
                  <w:vMerge w:val="restart"/>
                  <w:tcBorders>
                    <w:tl2br w:val="nil"/>
                    <w:tr2bl w:val="nil"/>
                  </w:tcBorders>
                  <w:vAlign w:val="center"/>
                </w:tcPr>
                <w:p w14:paraId="75DC183B">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声源源强</w:t>
                  </w:r>
                </w:p>
                <w:p w14:paraId="25953B57">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dB(A)</w:t>
                  </w:r>
                </w:p>
              </w:tc>
              <w:tc>
                <w:tcPr>
                  <w:tcW w:w="253" w:type="pct"/>
                  <w:vMerge w:val="restart"/>
                  <w:tcBorders>
                    <w:tl2br w:val="nil"/>
                    <w:tr2bl w:val="nil"/>
                  </w:tcBorders>
                  <w:vAlign w:val="center"/>
                </w:tcPr>
                <w:p w14:paraId="59BE8672">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声源控制措施</w:t>
                  </w:r>
                </w:p>
              </w:tc>
              <w:tc>
                <w:tcPr>
                  <w:tcW w:w="193" w:type="pct"/>
                  <w:vMerge w:val="restart"/>
                  <w:tcBorders>
                    <w:tl2br w:val="nil"/>
                    <w:tr2bl w:val="nil"/>
                  </w:tcBorders>
                  <w:vAlign w:val="center"/>
                </w:tcPr>
                <w:p w14:paraId="6CA86966">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降噪效果</w:t>
                  </w:r>
                </w:p>
                <w:p w14:paraId="261E1A76">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default"/>
                      <w:color w:val="auto"/>
                      <w:sz w:val="21"/>
                      <w:szCs w:val="21"/>
                      <w:highlight w:val="none"/>
                    </w:rPr>
                    <w:t>dB（A）</w:t>
                  </w:r>
                </w:p>
              </w:tc>
              <w:tc>
                <w:tcPr>
                  <w:tcW w:w="452" w:type="pct"/>
                  <w:gridSpan w:val="3"/>
                  <w:tcBorders>
                    <w:tl2br w:val="nil"/>
                    <w:tr2bl w:val="nil"/>
                  </w:tcBorders>
                  <w:vAlign w:val="center"/>
                </w:tcPr>
                <w:p w14:paraId="3DBDD62C">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空间相对位置/m</w:t>
                  </w:r>
                </w:p>
              </w:tc>
              <w:tc>
                <w:tcPr>
                  <w:tcW w:w="612" w:type="pct"/>
                  <w:gridSpan w:val="4"/>
                  <w:tcBorders>
                    <w:tl2br w:val="nil"/>
                    <w:tr2bl w:val="nil"/>
                  </w:tcBorders>
                  <w:vAlign w:val="center"/>
                </w:tcPr>
                <w:p w14:paraId="0CD59FF9">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距室内边界距离/m</w:t>
                  </w:r>
                </w:p>
              </w:tc>
              <w:tc>
                <w:tcPr>
                  <w:tcW w:w="667" w:type="pct"/>
                  <w:gridSpan w:val="4"/>
                  <w:tcBorders>
                    <w:tl2br w:val="nil"/>
                    <w:tr2bl w:val="nil"/>
                  </w:tcBorders>
                  <w:vAlign w:val="center"/>
                </w:tcPr>
                <w:p w14:paraId="7C93CB8E">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pacing w:val="-5"/>
                      <w:sz w:val="21"/>
                      <w:szCs w:val="21"/>
                      <w:highlight w:val="none"/>
                    </w:rPr>
                    <w:t>室内边界</w:t>
                  </w:r>
                  <w:r>
                    <w:rPr>
                      <w:rFonts w:hint="default" w:ascii="Times New Roman" w:hAnsi="Times New Roman" w:cs="Times New Roman" w:eastAsiaTheme="minorEastAsia"/>
                      <w:b w:val="0"/>
                      <w:bCs w:val="0"/>
                      <w:color w:val="auto"/>
                      <w:sz w:val="21"/>
                      <w:szCs w:val="21"/>
                      <w:highlight w:val="none"/>
                    </w:rPr>
                    <w:t>声级/dB(A)</w:t>
                  </w:r>
                </w:p>
              </w:tc>
              <w:tc>
                <w:tcPr>
                  <w:tcW w:w="187" w:type="pct"/>
                  <w:vMerge w:val="restart"/>
                  <w:tcBorders>
                    <w:tl2br w:val="nil"/>
                    <w:tr2bl w:val="nil"/>
                  </w:tcBorders>
                  <w:vAlign w:val="center"/>
                </w:tcPr>
                <w:p w14:paraId="292868C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运行时段</w:t>
                  </w:r>
                </w:p>
              </w:tc>
              <w:tc>
                <w:tcPr>
                  <w:tcW w:w="586" w:type="pct"/>
                  <w:gridSpan w:val="4"/>
                  <w:tcBorders>
                    <w:tl2br w:val="nil"/>
                    <w:tr2bl w:val="nil"/>
                  </w:tcBorders>
                  <w:vAlign w:val="center"/>
                </w:tcPr>
                <w:p w14:paraId="2A29C06E">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建筑物插入损失/ dB(A)</w:t>
                  </w:r>
                </w:p>
              </w:tc>
              <w:tc>
                <w:tcPr>
                  <w:tcW w:w="897" w:type="pct"/>
                  <w:gridSpan w:val="5"/>
                  <w:tcBorders>
                    <w:tl2br w:val="nil"/>
                    <w:tr2bl w:val="nil"/>
                  </w:tcBorders>
                  <w:vAlign w:val="center"/>
                </w:tcPr>
                <w:p w14:paraId="1548543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建筑物外噪声</w:t>
                  </w:r>
                </w:p>
              </w:tc>
            </w:tr>
            <w:tr w14:paraId="3EE081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19" w:type="pct"/>
                  <w:vMerge w:val="continue"/>
                  <w:tcBorders>
                    <w:tl2br w:val="nil"/>
                    <w:tr2bl w:val="nil"/>
                  </w:tcBorders>
                  <w:vAlign w:val="center"/>
                </w:tcPr>
                <w:p w14:paraId="2F88FD6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15" w:type="pct"/>
                  <w:vMerge w:val="continue"/>
                  <w:tcBorders>
                    <w:tl2br w:val="nil"/>
                    <w:tr2bl w:val="nil"/>
                  </w:tcBorders>
                  <w:vAlign w:val="center"/>
                </w:tcPr>
                <w:p w14:paraId="6079A5D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46" w:type="pct"/>
                  <w:vMerge w:val="continue"/>
                  <w:tcBorders>
                    <w:tl2br w:val="nil"/>
                    <w:tr2bl w:val="nil"/>
                  </w:tcBorders>
                  <w:vAlign w:val="center"/>
                </w:tcPr>
                <w:p w14:paraId="3491CB8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45" w:type="pct"/>
                  <w:vMerge w:val="continue"/>
                  <w:tcBorders>
                    <w:tl2br w:val="nil"/>
                    <w:tr2bl w:val="nil"/>
                  </w:tcBorders>
                  <w:vAlign w:val="center"/>
                </w:tcPr>
                <w:p w14:paraId="49B2A4A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20" w:type="pct"/>
                  <w:vMerge w:val="continue"/>
                  <w:tcBorders>
                    <w:tl2br w:val="nil"/>
                    <w:tr2bl w:val="nil"/>
                  </w:tcBorders>
                  <w:vAlign w:val="center"/>
                </w:tcPr>
                <w:p w14:paraId="53784F54">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53" w:type="pct"/>
                  <w:vMerge w:val="continue"/>
                  <w:tcBorders>
                    <w:tl2br w:val="nil"/>
                    <w:tr2bl w:val="nil"/>
                  </w:tcBorders>
                  <w:vAlign w:val="center"/>
                </w:tcPr>
                <w:p w14:paraId="261EF4D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93" w:type="pct"/>
                  <w:vMerge w:val="continue"/>
                  <w:tcBorders>
                    <w:tl2br w:val="nil"/>
                    <w:tr2bl w:val="nil"/>
                  </w:tcBorders>
                  <w:vAlign w:val="center"/>
                </w:tcPr>
                <w:p w14:paraId="79D7D1D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50" w:type="pct"/>
                  <w:vMerge w:val="restart"/>
                  <w:tcBorders>
                    <w:tl2br w:val="nil"/>
                    <w:tr2bl w:val="nil"/>
                  </w:tcBorders>
                  <w:vAlign w:val="center"/>
                </w:tcPr>
                <w:p w14:paraId="33454B5F">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highlight w:val="none"/>
                    </w:rPr>
                  </w:pPr>
                  <w:r>
                    <w:rPr>
                      <w:rFonts w:hint="default" w:ascii="Times New Roman" w:hAnsi="Times New Roman" w:cs="Times New Roman" w:eastAsiaTheme="minorEastAsia"/>
                      <w:b w:val="0"/>
                      <w:bCs w:val="0"/>
                      <w:i w:val="0"/>
                      <w:iCs/>
                      <w:color w:val="auto"/>
                      <w:sz w:val="21"/>
                      <w:szCs w:val="21"/>
                      <w:highlight w:val="none"/>
                    </w:rPr>
                    <w:t>X</w:t>
                  </w:r>
                </w:p>
              </w:tc>
              <w:tc>
                <w:tcPr>
                  <w:tcW w:w="150" w:type="pct"/>
                  <w:vMerge w:val="restart"/>
                  <w:tcBorders>
                    <w:tl2br w:val="nil"/>
                    <w:tr2bl w:val="nil"/>
                  </w:tcBorders>
                  <w:vAlign w:val="center"/>
                </w:tcPr>
                <w:p w14:paraId="2BF5B79B">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highlight w:val="none"/>
                    </w:rPr>
                  </w:pPr>
                  <w:r>
                    <w:rPr>
                      <w:rFonts w:hint="default" w:ascii="Times New Roman" w:hAnsi="Times New Roman" w:cs="Times New Roman" w:eastAsiaTheme="minorEastAsia"/>
                      <w:b w:val="0"/>
                      <w:bCs w:val="0"/>
                      <w:i w:val="0"/>
                      <w:iCs/>
                      <w:color w:val="auto"/>
                      <w:sz w:val="21"/>
                      <w:szCs w:val="21"/>
                      <w:highlight w:val="none"/>
                    </w:rPr>
                    <w:t>Y</w:t>
                  </w:r>
                </w:p>
              </w:tc>
              <w:tc>
                <w:tcPr>
                  <w:tcW w:w="150" w:type="pct"/>
                  <w:vMerge w:val="restart"/>
                  <w:tcBorders>
                    <w:tl2br w:val="nil"/>
                    <w:tr2bl w:val="nil"/>
                  </w:tcBorders>
                  <w:vAlign w:val="center"/>
                </w:tcPr>
                <w:p w14:paraId="22064772">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highlight w:val="none"/>
                    </w:rPr>
                  </w:pPr>
                  <w:r>
                    <w:rPr>
                      <w:rFonts w:hint="default" w:ascii="Times New Roman" w:hAnsi="Times New Roman" w:cs="Times New Roman" w:eastAsiaTheme="minorEastAsia"/>
                      <w:b w:val="0"/>
                      <w:bCs w:val="0"/>
                      <w:i w:val="0"/>
                      <w:iCs/>
                      <w:color w:val="auto"/>
                      <w:sz w:val="21"/>
                      <w:szCs w:val="21"/>
                      <w:highlight w:val="none"/>
                    </w:rPr>
                    <w:t>Z</w:t>
                  </w:r>
                </w:p>
              </w:tc>
              <w:tc>
                <w:tcPr>
                  <w:tcW w:w="153" w:type="pct"/>
                  <w:vMerge w:val="restart"/>
                  <w:tcBorders>
                    <w:tl2br w:val="nil"/>
                    <w:tr2bl w:val="nil"/>
                  </w:tcBorders>
                  <w:vAlign w:val="center"/>
                </w:tcPr>
                <w:p w14:paraId="581489E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东</w:t>
                  </w:r>
                </w:p>
              </w:tc>
              <w:tc>
                <w:tcPr>
                  <w:tcW w:w="153" w:type="pct"/>
                  <w:vMerge w:val="restart"/>
                  <w:tcBorders>
                    <w:tl2br w:val="nil"/>
                    <w:tr2bl w:val="nil"/>
                  </w:tcBorders>
                  <w:vAlign w:val="center"/>
                </w:tcPr>
                <w:p w14:paraId="32685B2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南</w:t>
                  </w:r>
                </w:p>
              </w:tc>
              <w:tc>
                <w:tcPr>
                  <w:tcW w:w="153" w:type="pct"/>
                  <w:vMerge w:val="restart"/>
                  <w:tcBorders>
                    <w:tl2br w:val="nil"/>
                    <w:tr2bl w:val="nil"/>
                  </w:tcBorders>
                  <w:vAlign w:val="center"/>
                </w:tcPr>
                <w:p w14:paraId="1F8FA72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西</w:t>
                  </w:r>
                </w:p>
              </w:tc>
              <w:tc>
                <w:tcPr>
                  <w:tcW w:w="153" w:type="pct"/>
                  <w:vMerge w:val="restart"/>
                  <w:tcBorders>
                    <w:tl2br w:val="nil"/>
                    <w:tr2bl w:val="nil"/>
                  </w:tcBorders>
                  <w:vAlign w:val="center"/>
                </w:tcPr>
                <w:p w14:paraId="3D7FDBA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北</w:t>
                  </w:r>
                </w:p>
              </w:tc>
              <w:tc>
                <w:tcPr>
                  <w:tcW w:w="166" w:type="pct"/>
                  <w:vMerge w:val="restart"/>
                  <w:tcBorders>
                    <w:tl2br w:val="nil"/>
                    <w:tr2bl w:val="nil"/>
                  </w:tcBorders>
                  <w:vAlign w:val="center"/>
                </w:tcPr>
                <w:p w14:paraId="49D8DE7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东</w:t>
                  </w:r>
                </w:p>
              </w:tc>
              <w:tc>
                <w:tcPr>
                  <w:tcW w:w="166" w:type="pct"/>
                  <w:vMerge w:val="restart"/>
                  <w:tcBorders>
                    <w:tl2br w:val="nil"/>
                    <w:tr2bl w:val="nil"/>
                  </w:tcBorders>
                  <w:vAlign w:val="center"/>
                </w:tcPr>
                <w:p w14:paraId="1FD92B6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南</w:t>
                  </w:r>
                </w:p>
              </w:tc>
              <w:tc>
                <w:tcPr>
                  <w:tcW w:w="166" w:type="pct"/>
                  <w:vMerge w:val="restart"/>
                  <w:tcBorders>
                    <w:tl2br w:val="nil"/>
                    <w:tr2bl w:val="nil"/>
                  </w:tcBorders>
                  <w:vAlign w:val="center"/>
                </w:tcPr>
                <w:p w14:paraId="4E4331D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西</w:t>
                  </w:r>
                </w:p>
              </w:tc>
              <w:tc>
                <w:tcPr>
                  <w:tcW w:w="167" w:type="pct"/>
                  <w:vMerge w:val="restart"/>
                  <w:tcBorders>
                    <w:tl2br w:val="nil"/>
                    <w:tr2bl w:val="nil"/>
                  </w:tcBorders>
                  <w:vAlign w:val="center"/>
                </w:tcPr>
                <w:p w14:paraId="2CDCD1E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北</w:t>
                  </w:r>
                </w:p>
              </w:tc>
              <w:tc>
                <w:tcPr>
                  <w:tcW w:w="187" w:type="pct"/>
                  <w:vMerge w:val="continue"/>
                  <w:tcBorders>
                    <w:tl2br w:val="nil"/>
                    <w:tr2bl w:val="nil"/>
                  </w:tcBorders>
                  <w:vAlign w:val="center"/>
                </w:tcPr>
                <w:p w14:paraId="7EACCD7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46" w:type="pct"/>
                  <w:vMerge w:val="restart"/>
                  <w:tcBorders>
                    <w:tl2br w:val="nil"/>
                    <w:tr2bl w:val="nil"/>
                  </w:tcBorders>
                  <w:vAlign w:val="center"/>
                </w:tcPr>
                <w:p w14:paraId="4FF243E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东</w:t>
                  </w:r>
                </w:p>
              </w:tc>
              <w:tc>
                <w:tcPr>
                  <w:tcW w:w="146" w:type="pct"/>
                  <w:vMerge w:val="restart"/>
                  <w:tcBorders>
                    <w:tl2br w:val="nil"/>
                    <w:tr2bl w:val="nil"/>
                  </w:tcBorders>
                  <w:vAlign w:val="center"/>
                </w:tcPr>
                <w:p w14:paraId="60FA0BA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南</w:t>
                  </w:r>
                </w:p>
              </w:tc>
              <w:tc>
                <w:tcPr>
                  <w:tcW w:w="146" w:type="pct"/>
                  <w:vMerge w:val="restart"/>
                  <w:tcBorders>
                    <w:tl2br w:val="nil"/>
                    <w:tr2bl w:val="nil"/>
                  </w:tcBorders>
                  <w:vAlign w:val="center"/>
                </w:tcPr>
                <w:p w14:paraId="243BE2C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西</w:t>
                  </w:r>
                </w:p>
              </w:tc>
              <w:tc>
                <w:tcPr>
                  <w:tcW w:w="146" w:type="pct"/>
                  <w:vMerge w:val="restart"/>
                  <w:tcBorders>
                    <w:tl2br w:val="nil"/>
                    <w:tr2bl w:val="nil"/>
                  </w:tcBorders>
                  <w:vAlign w:val="center"/>
                </w:tcPr>
                <w:p w14:paraId="5F70B97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北</w:t>
                  </w:r>
                </w:p>
              </w:tc>
              <w:tc>
                <w:tcPr>
                  <w:tcW w:w="677" w:type="pct"/>
                  <w:gridSpan w:val="4"/>
                  <w:tcBorders>
                    <w:tl2br w:val="nil"/>
                    <w:tr2bl w:val="nil"/>
                  </w:tcBorders>
                  <w:vAlign w:val="center"/>
                </w:tcPr>
                <w:p w14:paraId="08EDB03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声压级/dB(A)</w:t>
                  </w:r>
                </w:p>
              </w:tc>
              <w:tc>
                <w:tcPr>
                  <w:tcW w:w="219" w:type="pct"/>
                  <w:vMerge w:val="restart"/>
                  <w:tcBorders>
                    <w:tl2br w:val="nil"/>
                    <w:tr2bl w:val="nil"/>
                  </w:tcBorders>
                  <w:vAlign w:val="center"/>
                </w:tcPr>
                <w:p w14:paraId="2F46AB8B">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建筑物外距离/m</w:t>
                  </w:r>
                </w:p>
              </w:tc>
            </w:tr>
            <w:tr w14:paraId="745C1D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19" w:type="pct"/>
                  <w:vMerge w:val="continue"/>
                  <w:tcBorders>
                    <w:tl2br w:val="nil"/>
                    <w:tr2bl w:val="nil"/>
                  </w:tcBorders>
                  <w:vAlign w:val="center"/>
                </w:tcPr>
                <w:p w14:paraId="47C2E279">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215" w:type="pct"/>
                  <w:vMerge w:val="continue"/>
                  <w:tcBorders>
                    <w:tl2br w:val="nil"/>
                    <w:tr2bl w:val="nil"/>
                  </w:tcBorders>
                  <w:vAlign w:val="center"/>
                </w:tcPr>
                <w:p w14:paraId="028CBA0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346" w:type="pct"/>
                  <w:vMerge w:val="continue"/>
                  <w:tcBorders>
                    <w:tl2br w:val="nil"/>
                    <w:tr2bl w:val="nil"/>
                  </w:tcBorders>
                  <w:vAlign w:val="center"/>
                </w:tcPr>
                <w:p w14:paraId="006BBE6F">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245" w:type="pct"/>
                  <w:vMerge w:val="continue"/>
                  <w:tcBorders>
                    <w:tl2br w:val="nil"/>
                    <w:tr2bl w:val="nil"/>
                  </w:tcBorders>
                  <w:vAlign w:val="center"/>
                </w:tcPr>
                <w:p w14:paraId="5CA726A2">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220" w:type="pct"/>
                  <w:vMerge w:val="continue"/>
                  <w:tcBorders>
                    <w:tl2br w:val="nil"/>
                    <w:tr2bl w:val="nil"/>
                  </w:tcBorders>
                  <w:vAlign w:val="center"/>
                </w:tcPr>
                <w:p w14:paraId="454BD19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253" w:type="pct"/>
                  <w:vMerge w:val="continue"/>
                  <w:tcBorders>
                    <w:tl2br w:val="nil"/>
                    <w:tr2bl w:val="nil"/>
                  </w:tcBorders>
                  <w:vAlign w:val="center"/>
                </w:tcPr>
                <w:p w14:paraId="09EC0BAB">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93" w:type="pct"/>
                  <w:vMerge w:val="continue"/>
                  <w:tcBorders>
                    <w:tl2br w:val="nil"/>
                    <w:tr2bl w:val="nil"/>
                  </w:tcBorders>
                  <w:vAlign w:val="center"/>
                </w:tcPr>
                <w:p w14:paraId="7BDCBB8C">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50" w:type="pct"/>
                  <w:vMerge w:val="continue"/>
                  <w:tcBorders>
                    <w:tl2br w:val="nil"/>
                    <w:tr2bl w:val="nil"/>
                  </w:tcBorders>
                  <w:vAlign w:val="center"/>
                </w:tcPr>
                <w:p w14:paraId="67FC32E1">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50" w:type="pct"/>
                  <w:vMerge w:val="continue"/>
                  <w:tcBorders>
                    <w:tl2br w:val="nil"/>
                    <w:tr2bl w:val="nil"/>
                  </w:tcBorders>
                  <w:vAlign w:val="center"/>
                </w:tcPr>
                <w:p w14:paraId="3AAF0DAD">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50" w:type="pct"/>
                  <w:vMerge w:val="continue"/>
                  <w:tcBorders>
                    <w:tl2br w:val="nil"/>
                    <w:tr2bl w:val="nil"/>
                  </w:tcBorders>
                  <w:vAlign w:val="center"/>
                </w:tcPr>
                <w:p w14:paraId="0AC2CDCE">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53" w:type="pct"/>
                  <w:vMerge w:val="continue"/>
                  <w:tcBorders>
                    <w:tl2br w:val="nil"/>
                    <w:tr2bl w:val="nil"/>
                  </w:tcBorders>
                  <w:vAlign w:val="center"/>
                </w:tcPr>
                <w:p w14:paraId="403A3A00">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53" w:type="pct"/>
                  <w:vMerge w:val="continue"/>
                  <w:tcBorders>
                    <w:tl2br w:val="nil"/>
                    <w:tr2bl w:val="nil"/>
                  </w:tcBorders>
                  <w:vAlign w:val="center"/>
                </w:tcPr>
                <w:p w14:paraId="03BAF984">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53" w:type="pct"/>
                  <w:vMerge w:val="continue"/>
                  <w:tcBorders>
                    <w:tl2br w:val="nil"/>
                    <w:tr2bl w:val="nil"/>
                  </w:tcBorders>
                  <w:vAlign w:val="center"/>
                </w:tcPr>
                <w:p w14:paraId="1A1EC12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53" w:type="pct"/>
                  <w:vMerge w:val="continue"/>
                  <w:tcBorders>
                    <w:tl2br w:val="nil"/>
                    <w:tr2bl w:val="nil"/>
                  </w:tcBorders>
                  <w:vAlign w:val="center"/>
                </w:tcPr>
                <w:p w14:paraId="37C0F49C">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66" w:type="pct"/>
                  <w:vMerge w:val="continue"/>
                  <w:tcBorders>
                    <w:tl2br w:val="nil"/>
                    <w:tr2bl w:val="nil"/>
                  </w:tcBorders>
                  <w:vAlign w:val="center"/>
                </w:tcPr>
                <w:p w14:paraId="56642CB1">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66" w:type="pct"/>
                  <w:vMerge w:val="continue"/>
                  <w:tcBorders>
                    <w:tl2br w:val="nil"/>
                    <w:tr2bl w:val="nil"/>
                  </w:tcBorders>
                  <w:vAlign w:val="center"/>
                </w:tcPr>
                <w:p w14:paraId="3A9B0858">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66" w:type="pct"/>
                  <w:vMerge w:val="continue"/>
                  <w:tcBorders>
                    <w:tl2br w:val="nil"/>
                    <w:tr2bl w:val="nil"/>
                  </w:tcBorders>
                  <w:vAlign w:val="center"/>
                </w:tcPr>
                <w:p w14:paraId="43D10C7D">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67" w:type="pct"/>
                  <w:vMerge w:val="continue"/>
                  <w:tcBorders>
                    <w:tl2br w:val="nil"/>
                    <w:tr2bl w:val="nil"/>
                  </w:tcBorders>
                  <w:vAlign w:val="center"/>
                </w:tcPr>
                <w:p w14:paraId="129CAA7C">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87" w:type="pct"/>
                  <w:vMerge w:val="continue"/>
                  <w:tcBorders>
                    <w:tl2br w:val="nil"/>
                    <w:tr2bl w:val="nil"/>
                  </w:tcBorders>
                  <w:vAlign w:val="center"/>
                </w:tcPr>
                <w:p w14:paraId="125DB94F">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46" w:type="pct"/>
                  <w:vMerge w:val="continue"/>
                  <w:tcBorders>
                    <w:tl2br w:val="nil"/>
                    <w:tr2bl w:val="nil"/>
                  </w:tcBorders>
                  <w:vAlign w:val="center"/>
                </w:tcPr>
                <w:p w14:paraId="210B93DB">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46" w:type="pct"/>
                  <w:vMerge w:val="continue"/>
                  <w:tcBorders>
                    <w:tl2br w:val="nil"/>
                    <w:tr2bl w:val="nil"/>
                  </w:tcBorders>
                  <w:vAlign w:val="center"/>
                </w:tcPr>
                <w:p w14:paraId="2903C265">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46" w:type="pct"/>
                  <w:vMerge w:val="continue"/>
                  <w:tcBorders>
                    <w:tl2br w:val="nil"/>
                    <w:tr2bl w:val="nil"/>
                  </w:tcBorders>
                  <w:vAlign w:val="center"/>
                </w:tcPr>
                <w:p w14:paraId="30694302">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46" w:type="pct"/>
                  <w:vMerge w:val="continue"/>
                  <w:tcBorders>
                    <w:tl2br w:val="nil"/>
                    <w:tr2bl w:val="nil"/>
                  </w:tcBorders>
                  <w:vAlign w:val="center"/>
                </w:tcPr>
                <w:p w14:paraId="46EE1E58">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c>
                <w:tcPr>
                  <w:tcW w:w="169" w:type="pct"/>
                  <w:tcBorders>
                    <w:tl2br w:val="nil"/>
                    <w:tr2bl w:val="nil"/>
                  </w:tcBorders>
                  <w:vAlign w:val="center"/>
                </w:tcPr>
                <w:p w14:paraId="2327064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东</w:t>
                  </w:r>
                </w:p>
              </w:tc>
              <w:tc>
                <w:tcPr>
                  <w:tcW w:w="169" w:type="pct"/>
                  <w:tcBorders>
                    <w:tl2br w:val="nil"/>
                    <w:tr2bl w:val="nil"/>
                  </w:tcBorders>
                  <w:vAlign w:val="center"/>
                </w:tcPr>
                <w:p w14:paraId="648EBCD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南</w:t>
                  </w:r>
                </w:p>
              </w:tc>
              <w:tc>
                <w:tcPr>
                  <w:tcW w:w="169" w:type="pct"/>
                  <w:tcBorders>
                    <w:tl2br w:val="nil"/>
                    <w:tr2bl w:val="nil"/>
                  </w:tcBorders>
                  <w:vAlign w:val="center"/>
                </w:tcPr>
                <w:p w14:paraId="1C0D4EA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西</w:t>
                  </w:r>
                </w:p>
              </w:tc>
              <w:tc>
                <w:tcPr>
                  <w:tcW w:w="169" w:type="pct"/>
                  <w:tcBorders>
                    <w:tl2br w:val="nil"/>
                    <w:tr2bl w:val="nil"/>
                  </w:tcBorders>
                  <w:vAlign w:val="center"/>
                </w:tcPr>
                <w:p w14:paraId="180853B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北</w:t>
                  </w:r>
                </w:p>
              </w:tc>
              <w:tc>
                <w:tcPr>
                  <w:tcW w:w="219" w:type="pct"/>
                  <w:vMerge w:val="continue"/>
                  <w:tcBorders>
                    <w:tl2br w:val="nil"/>
                    <w:tr2bl w:val="nil"/>
                  </w:tcBorders>
                  <w:vAlign w:val="center"/>
                </w:tcPr>
                <w:p w14:paraId="5C004C6A">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color w:val="auto"/>
                      <w:sz w:val="21"/>
                      <w:szCs w:val="21"/>
                      <w:highlight w:val="none"/>
                    </w:rPr>
                  </w:pPr>
                </w:p>
              </w:tc>
            </w:tr>
            <w:tr w14:paraId="257636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19" w:type="pct"/>
                  <w:tcBorders>
                    <w:tl2br w:val="nil"/>
                    <w:tr2bl w:val="nil"/>
                  </w:tcBorders>
                  <w:vAlign w:val="center"/>
                </w:tcPr>
                <w:p w14:paraId="1B54AAEA">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5" w:type="pct"/>
                  <w:vMerge w:val="restart"/>
                  <w:tcBorders>
                    <w:tl2br w:val="nil"/>
                    <w:tr2bl w:val="nil"/>
                  </w:tcBorders>
                  <w:vAlign w:val="center"/>
                </w:tcPr>
                <w:p w14:paraId="3D65CA1F">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r>
                    <w:rPr>
                      <w:rFonts w:hint="eastAsia" w:ascii="Times New Roman" w:hAnsi="Times New Roman" w:cs="Times New Roman" w:eastAsiaTheme="minorEastAsia"/>
                      <w:color w:val="auto"/>
                      <w:sz w:val="21"/>
                      <w:szCs w:val="21"/>
                      <w:highlight w:val="none"/>
                      <w:lang w:val="en-US" w:eastAsia="zh-CN"/>
                    </w:rPr>
                    <w:t>#厂房</w:t>
                  </w:r>
                </w:p>
              </w:tc>
              <w:tc>
                <w:tcPr>
                  <w:tcW w:w="346" w:type="pct"/>
                  <w:tcBorders>
                    <w:tl2br w:val="nil"/>
                    <w:tr2bl w:val="nil"/>
                  </w:tcBorders>
                  <w:vAlign w:val="center"/>
                </w:tcPr>
                <w:p w14:paraId="408D3452">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bidi="ar-SA"/>
                    </w:rPr>
                    <w:t>实验电机</w:t>
                  </w:r>
                </w:p>
              </w:tc>
              <w:tc>
                <w:tcPr>
                  <w:tcW w:w="245" w:type="pct"/>
                  <w:tcBorders>
                    <w:tl2br w:val="nil"/>
                    <w:tr2bl w:val="nil"/>
                  </w:tcBorders>
                  <w:vAlign w:val="center"/>
                </w:tcPr>
                <w:p w14:paraId="3A98C22E">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en-US" w:bidi="ar-SA"/>
                    </w:rPr>
                  </w:pPr>
                  <w:r>
                    <w:rPr>
                      <w:rFonts w:hint="eastAsia" w:ascii="宋体" w:hAnsi="宋体" w:eastAsia="宋体" w:cs="宋体"/>
                      <w:bCs/>
                      <w:color w:val="auto"/>
                      <w:sz w:val="21"/>
                      <w:szCs w:val="21"/>
                      <w:highlight w:val="none"/>
                      <w:lang w:val="en-US" w:eastAsia="zh-CN"/>
                    </w:rPr>
                    <w:t>－</w:t>
                  </w:r>
                </w:p>
              </w:tc>
              <w:tc>
                <w:tcPr>
                  <w:tcW w:w="220" w:type="pct"/>
                  <w:tcBorders>
                    <w:tl2br w:val="nil"/>
                    <w:tr2bl w:val="nil"/>
                  </w:tcBorders>
                  <w:vAlign w:val="center"/>
                </w:tcPr>
                <w:p w14:paraId="0C5019F5">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80</w:t>
                  </w:r>
                </w:p>
              </w:tc>
              <w:tc>
                <w:tcPr>
                  <w:tcW w:w="253" w:type="pct"/>
                  <w:vMerge w:val="restart"/>
                  <w:tcBorders>
                    <w:tl2br w:val="nil"/>
                    <w:tr2bl w:val="nil"/>
                  </w:tcBorders>
                  <w:vAlign w:val="center"/>
                </w:tcPr>
                <w:p w14:paraId="7EEDA49D">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选用低噪声设备，基础安装减振垫</w:t>
                  </w:r>
                </w:p>
              </w:tc>
              <w:tc>
                <w:tcPr>
                  <w:tcW w:w="193" w:type="pct"/>
                  <w:tcBorders>
                    <w:tl2br w:val="nil"/>
                    <w:tr2bl w:val="nil"/>
                  </w:tcBorders>
                  <w:vAlign w:val="center"/>
                </w:tcPr>
                <w:p w14:paraId="2EBA464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w:t>
                  </w:r>
                </w:p>
              </w:tc>
              <w:tc>
                <w:tcPr>
                  <w:tcW w:w="150" w:type="pct"/>
                  <w:tcBorders>
                    <w:tl2br w:val="nil"/>
                    <w:tr2bl w:val="nil"/>
                  </w:tcBorders>
                  <w:vAlign w:val="center"/>
                </w:tcPr>
                <w:p w14:paraId="6E8B027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40</w:t>
                  </w:r>
                </w:p>
              </w:tc>
              <w:tc>
                <w:tcPr>
                  <w:tcW w:w="150" w:type="pct"/>
                  <w:tcBorders>
                    <w:tl2br w:val="nil"/>
                    <w:tr2bl w:val="nil"/>
                  </w:tcBorders>
                  <w:vAlign w:val="center"/>
                </w:tcPr>
                <w:p w14:paraId="3A41B757">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69</w:t>
                  </w:r>
                </w:p>
              </w:tc>
              <w:tc>
                <w:tcPr>
                  <w:tcW w:w="150" w:type="pct"/>
                  <w:tcBorders>
                    <w:tl2br w:val="nil"/>
                    <w:tr2bl w:val="nil"/>
                  </w:tcBorders>
                  <w:vAlign w:val="center"/>
                </w:tcPr>
                <w:p w14:paraId="07B0B1F4">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05062C7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55</w:t>
                  </w:r>
                </w:p>
              </w:tc>
              <w:tc>
                <w:tcPr>
                  <w:tcW w:w="153" w:type="pct"/>
                  <w:tcBorders>
                    <w:tl2br w:val="nil"/>
                    <w:tr2bl w:val="nil"/>
                  </w:tcBorders>
                  <w:vAlign w:val="center"/>
                </w:tcPr>
                <w:p w14:paraId="597BDB4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c>
                <w:tcPr>
                  <w:tcW w:w="153" w:type="pct"/>
                  <w:tcBorders>
                    <w:tl2br w:val="nil"/>
                    <w:tr2bl w:val="nil"/>
                  </w:tcBorders>
                  <w:vAlign w:val="center"/>
                </w:tcPr>
                <w:p w14:paraId="2FCFBC03">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c>
                <w:tcPr>
                  <w:tcW w:w="153" w:type="pct"/>
                  <w:tcBorders>
                    <w:tl2br w:val="nil"/>
                    <w:tr2bl w:val="nil"/>
                  </w:tcBorders>
                  <w:vAlign w:val="center"/>
                </w:tcPr>
                <w:p w14:paraId="1C0BB80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64</w:t>
                  </w:r>
                </w:p>
              </w:tc>
              <w:tc>
                <w:tcPr>
                  <w:tcW w:w="453" w:type="dxa"/>
                  <w:tcBorders>
                    <w:tl2br w:val="nil"/>
                    <w:tr2bl w:val="nil"/>
                  </w:tcBorders>
                  <w:vAlign w:val="center"/>
                </w:tcPr>
                <w:p w14:paraId="712C6C3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40.2 </w:t>
                  </w:r>
                </w:p>
              </w:tc>
              <w:tc>
                <w:tcPr>
                  <w:tcW w:w="453" w:type="dxa"/>
                  <w:tcBorders>
                    <w:tl2br w:val="nil"/>
                    <w:tr2bl w:val="nil"/>
                  </w:tcBorders>
                  <w:vAlign w:val="center"/>
                </w:tcPr>
                <w:p w14:paraId="2D0B14A8">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55.0 </w:t>
                  </w:r>
                </w:p>
              </w:tc>
              <w:tc>
                <w:tcPr>
                  <w:tcW w:w="453" w:type="dxa"/>
                  <w:tcBorders>
                    <w:tl2br w:val="nil"/>
                    <w:tr2bl w:val="nil"/>
                  </w:tcBorders>
                  <w:vAlign w:val="center"/>
                </w:tcPr>
                <w:p w14:paraId="0639CEF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55.0 </w:t>
                  </w:r>
                </w:p>
              </w:tc>
              <w:tc>
                <w:tcPr>
                  <w:tcW w:w="456" w:type="dxa"/>
                  <w:tcBorders>
                    <w:tl2br w:val="nil"/>
                    <w:tr2bl w:val="nil"/>
                  </w:tcBorders>
                  <w:vAlign w:val="center"/>
                </w:tcPr>
                <w:p w14:paraId="5E2D683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38.9 </w:t>
                  </w:r>
                </w:p>
              </w:tc>
              <w:tc>
                <w:tcPr>
                  <w:tcW w:w="187" w:type="pct"/>
                  <w:vMerge w:val="restart"/>
                  <w:tcBorders>
                    <w:tl2br w:val="nil"/>
                    <w:tr2bl w:val="nil"/>
                  </w:tcBorders>
                  <w:vAlign w:val="center"/>
                </w:tcPr>
                <w:p w14:paraId="50A8FF8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昼间8h</w:t>
                  </w:r>
                </w:p>
              </w:tc>
              <w:tc>
                <w:tcPr>
                  <w:tcW w:w="146" w:type="pct"/>
                  <w:tcBorders>
                    <w:tl2br w:val="nil"/>
                    <w:tr2bl w:val="nil"/>
                  </w:tcBorders>
                  <w:vAlign w:val="center"/>
                </w:tcPr>
                <w:p w14:paraId="4D36C628">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0B33B2D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3C0FA1D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29631B09">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6E8A510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28.2 </w:t>
                  </w:r>
                </w:p>
              </w:tc>
              <w:tc>
                <w:tcPr>
                  <w:tcW w:w="460" w:type="dxa"/>
                  <w:tcBorders>
                    <w:tl2br w:val="nil"/>
                    <w:tr2bl w:val="nil"/>
                  </w:tcBorders>
                  <w:vAlign w:val="center"/>
                </w:tcPr>
                <w:p w14:paraId="4B8657FF">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43.0 </w:t>
                  </w:r>
                </w:p>
              </w:tc>
              <w:tc>
                <w:tcPr>
                  <w:tcW w:w="460" w:type="dxa"/>
                  <w:tcBorders>
                    <w:tl2br w:val="nil"/>
                    <w:tr2bl w:val="nil"/>
                  </w:tcBorders>
                  <w:vAlign w:val="center"/>
                </w:tcPr>
                <w:p w14:paraId="6D9DED4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43.0 </w:t>
                  </w:r>
                </w:p>
              </w:tc>
              <w:tc>
                <w:tcPr>
                  <w:tcW w:w="462" w:type="dxa"/>
                  <w:tcBorders>
                    <w:tl2br w:val="nil"/>
                    <w:tr2bl w:val="nil"/>
                  </w:tcBorders>
                  <w:vAlign w:val="center"/>
                </w:tcPr>
                <w:p w14:paraId="6AEC0E6E">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26.9 </w:t>
                  </w:r>
                </w:p>
              </w:tc>
              <w:tc>
                <w:tcPr>
                  <w:tcW w:w="219" w:type="pct"/>
                  <w:tcBorders>
                    <w:tl2br w:val="nil"/>
                    <w:tr2bl w:val="nil"/>
                  </w:tcBorders>
                  <w:vAlign w:val="center"/>
                </w:tcPr>
                <w:p w14:paraId="02261939">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r w14:paraId="0C86B4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9" w:type="pct"/>
                  <w:tcBorders>
                    <w:tl2br w:val="nil"/>
                    <w:tr2bl w:val="nil"/>
                  </w:tcBorders>
                  <w:vAlign w:val="center"/>
                </w:tcPr>
                <w:p w14:paraId="10ECCB35">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sz w:val="21"/>
                      <w:szCs w:val="21"/>
                      <w:highlight w:val="none"/>
                    </w:rPr>
                  </w:pPr>
                </w:p>
              </w:tc>
              <w:tc>
                <w:tcPr>
                  <w:tcW w:w="215" w:type="pct"/>
                  <w:vMerge w:val="continue"/>
                  <w:tcBorders>
                    <w:tl2br w:val="nil"/>
                    <w:tr2bl w:val="nil"/>
                  </w:tcBorders>
                  <w:vAlign w:val="center"/>
                </w:tcPr>
                <w:p w14:paraId="6C7BA03C">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sz w:val="21"/>
                      <w:szCs w:val="21"/>
                      <w:highlight w:val="none"/>
                    </w:rPr>
                  </w:pPr>
                </w:p>
              </w:tc>
              <w:tc>
                <w:tcPr>
                  <w:tcW w:w="346" w:type="pct"/>
                  <w:tcBorders>
                    <w:tl2br w:val="nil"/>
                    <w:tr2bl w:val="nil"/>
                  </w:tcBorders>
                  <w:vAlign w:val="center"/>
                </w:tcPr>
                <w:p w14:paraId="31A8C2BB">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实验电机</w:t>
                  </w:r>
                </w:p>
              </w:tc>
              <w:tc>
                <w:tcPr>
                  <w:tcW w:w="245" w:type="pct"/>
                  <w:tcBorders>
                    <w:tl2br w:val="nil"/>
                    <w:tr2bl w:val="nil"/>
                  </w:tcBorders>
                  <w:vAlign w:val="center"/>
                </w:tcPr>
                <w:p w14:paraId="71560FCF">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color w:val="auto"/>
                      <w:sz w:val="21"/>
                      <w:szCs w:val="21"/>
                      <w:highlight w:val="none"/>
                    </w:rPr>
                  </w:pPr>
                  <w:r>
                    <w:rPr>
                      <w:rFonts w:hint="eastAsia" w:ascii="宋体" w:hAnsi="宋体" w:eastAsia="宋体" w:cs="宋体"/>
                      <w:bCs/>
                      <w:color w:val="auto"/>
                      <w:sz w:val="21"/>
                      <w:szCs w:val="21"/>
                      <w:highlight w:val="none"/>
                      <w:lang w:val="en-US" w:eastAsia="zh-CN"/>
                    </w:rPr>
                    <w:t>－</w:t>
                  </w:r>
                </w:p>
              </w:tc>
              <w:tc>
                <w:tcPr>
                  <w:tcW w:w="220" w:type="pct"/>
                  <w:tcBorders>
                    <w:tl2br w:val="nil"/>
                    <w:tr2bl w:val="nil"/>
                  </w:tcBorders>
                  <w:vAlign w:val="center"/>
                </w:tcPr>
                <w:p w14:paraId="393F6DD2">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80</w:t>
                  </w:r>
                </w:p>
              </w:tc>
              <w:tc>
                <w:tcPr>
                  <w:tcW w:w="253" w:type="pct"/>
                  <w:vMerge w:val="continue"/>
                  <w:tcBorders>
                    <w:tl2br w:val="nil"/>
                    <w:tr2bl w:val="nil"/>
                  </w:tcBorders>
                  <w:vAlign w:val="center"/>
                </w:tcPr>
                <w:p w14:paraId="3577A819">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sz w:val="21"/>
                      <w:szCs w:val="21"/>
                      <w:highlight w:val="none"/>
                    </w:rPr>
                  </w:pPr>
                </w:p>
              </w:tc>
              <w:tc>
                <w:tcPr>
                  <w:tcW w:w="193" w:type="pct"/>
                  <w:tcBorders>
                    <w:tl2br w:val="nil"/>
                    <w:tr2bl w:val="nil"/>
                  </w:tcBorders>
                  <w:vAlign w:val="center"/>
                </w:tcPr>
                <w:p w14:paraId="7CEAAFD9">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150" w:type="pct"/>
                  <w:tcBorders>
                    <w:tl2br w:val="nil"/>
                    <w:tr2bl w:val="nil"/>
                  </w:tcBorders>
                  <w:vAlign w:val="center"/>
                </w:tcPr>
                <w:p w14:paraId="4433A200">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51</w:t>
                  </w:r>
                </w:p>
              </w:tc>
              <w:tc>
                <w:tcPr>
                  <w:tcW w:w="150" w:type="pct"/>
                  <w:tcBorders>
                    <w:tl2br w:val="nil"/>
                    <w:tr2bl w:val="nil"/>
                  </w:tcBorders>
                  <w:vAlign w:val="center"/>
                </w:tcPr>
                <w:p w14:paraId="3454041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69</w:t>
                  </w:r>
                </w:p>
              </w:tc>
              <w:tc>
                <w:tcPr>
                  <w:tcW w:w="150" w:type="pct"/>
                  <w:tcBorders>
                    <w:tl2br w:val="nil"/>
                    <w:tr2bl w:val="nil"/>
                  </w:tcBorders>
                  <w:vAlign w:val="center"/>
                </w:tcPr>
                <w:p w14:paraId="5F24A836">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63E4295D">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44</w:t>
                  </w:r>
                </w:p>
              </w:tc>
              <w:tc>
                <w:tcPr>
                  <w:tcW w:w="153" w:type="pct"/>
                  <w:tcBorders>
                    <w:tl2br w:val="nil"/>
                    <w:tr2bl w:val="nil"/>
                  </w:tcBorders>
                  <w:vAlign w:val="center"/>
                </w:tcPr>
                <w:p w14:paraId="4AB2EA0C">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c>
                <w:tcPr>
                  <w:tcW w:w="153" w:type="pct"/>
                  <w:tcBorders>
                    <w:tl2br w:val="nil"/>
                    <w:tr2bl w:val="nil"/>
                  </w:tcBorders>
                  <w:vAlign w:val="center"/>
                </w:tcPr>
                <w:p w14:paraId="2FA37EAB">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21</w:t>
                  </w:r>
                </w:p>
              </w:tc>
              <w:tc>
                <w:tcPr>
                  <w:tcW w:w="153" w:type="pct"/>
                  <w:tcBorders>
                    <w:tl2br w:val="nil"/>
                    <w:tr2bl w:val="nil"/>
                  </w:tcBorders>
                  <w:vAlign w:val="center"/>
                </w:tcPr>
                <w:p w14:paraId="31A24705">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64</w:t>
                  </w:r>
                </w:p>
              </w:tc>
              <w:tc>
                <w:tcPr>
                  <w:tcW w:w="453" w:type="dxa"/>
                  <w:tcBorders>
                    <w:tl2br w:val="nil"/>
                    <w:tr2bl w:val="nil"/>
                  </w:tcBorders>
                  <w:vAlign w:val="center"/>
                </w:tcPr>
                <w:p w14:paraId="504C084D">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42.1 </w:t>
                  </w:r>
                </w:p>
              </w:tc>
              <w:tc>
                <w:tcPr>
                  <w:tcW w:w="453" w:type="dxa"/>
                  <w:tcBorders>
                    <w:tl2br w:val="nil"/>
                    <w:tr2bl w:val="nil"/>
                  </w:tcBorders>
                  <w:vAlign w:val="center"/>
                </w:tcPr>
                <w:p w14:paraId="36098AF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55.0 </w:t>
                  </w:r>
                </w:p>
              </w:tc>
              <w:tc>
                <w:tcPr>
                  <w:tcW w:w="453" w:type="dxa"/>
                  <w:tcBorders>
                    <w:tl2br w:val="nil"/>
                    <w:tr2bl w:val="nil"/>
                  </w:tcBorders>
                  <w:vAlign w:val="center"/>
                </w:tcPr>
                <w:p w14:paraId="5EABA48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48.6 </w:t>
                  </w:r>
                </w:p>
              </w:tc>
              <w:tc>
                <w:tcPr>
                  <w:tcW w:w="456" w:type="dxa"/>
                  <w:tcBorders>
                    <w:tl2br w:val="nil"/>
                    <w:tr2bl w:val="nil"/>
                  </w:tcBorders>
                  <w:vAlign w:val="center"/>
                </w:tcPr>
                <w:p w14:paraId="188A2EC9">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38.9 </w:t>
                  </w:r>
                </w:p>
              </w:tc>
              <w:tc>
                <w:tcPr>
                  <w:tcW w:w="187" w:type="pct"/>
                  <w:vMerge w:val="continue"/>
                  <w:tcBorders>
                    <w:tl2br w:val="nil"/>
                    <w:tr2bl w:val="nil"/>
                  </w:tcBorders>
                  <w:vAlign w:val="center"/>
                </w:tcPr>
                <w:p w14:paraId="0010AA2E">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46" w:type="pct"/>
                  <w:tcBorders>
                    <w:tl2br w:val="nil"/>
                    <w:tr2bl w:val="nil"/>
                  </w:tcBorders>
                  <w:vAlign w:val="center"/>
                </w:tcPr>
                <w:p w14:paraId="15591B8B">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2AF457D8">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3AAFBF59">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556B3EC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1467765F">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30.1 </w:t>
                  </w:r>
                </w:p>
              </w:tc>
              <w:tc>
                <w:tcPr>
                  <w:tcW w:w="460" w:type="dxa"/>
                  <w:tcBorders>
                    <w:tl2br w:val="nil"/>
                    <w:tr2bl w:val="nil"/>
                  </w:tcBorders>
                  <w:vAlign w:val="center"/>
                </w:tcPr>
                <w:p w14:paraId="2877C4B7">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43.0 </w:t>
                  </w:r>
                </w:p>
              </w:tc>
              <w:tc>
                <w:tcPr>
                  <w:tcW w:w="460" w:type="dxa"/>
                  <w:tcBorders>
                    <w:tl2br w:val="nil"/>
                    <w:tr2bl w:val="nil"/>
                  </w:tcBorders>
                  <w:vAlign w:val="center"/>
                </w:tcPr>
                <w:p w14:paraId="6DEF3BA7">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36.6 </w:t>
                  </w:r>
                </w:p>
              </w:tc>
              <w:tc>
                <w:tcPr>
                  <w:tcW w:w="462" w:type="dxa"/>
                  <w:tcBorders>
                    <w:tl2br w:val="nil"/>
                    <w:tr2bl w:val="nil"/>
                  </w:tcBorders>
                  <w:vAlign w:val="center"/>
                </w:tcPr>
                <w:p w14:paraId="1897930B">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26.9 </w:t>
                  </w:r>
                </w:p>
              </w:tc>
              <w:tc>
                <w:tcPr>
                  <w:tcW w:w="219" w:type="pct"/>
                  <w:tcBorders>
                    <w:tl2br w:val="nil"/>
                    <w:tr2bl w:val="nil"/>
                  </w:tcBorders>
                  <w:vAlign w:val="center"/>
                </w:tcPr>
                <w:p w14:paraId="2A435E9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r w14:paraId="2EF98D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9" w:type="pct"/>
                  <w:tcBorders>
                    <w:tl2br w:val="nil"/>
                    <w:tr2bl w:val="nil"/>
                  </w:tcBorders>
                  <w:vAlign w:val="center"/>
                </w:tcPr>
                <w:p w14:paraId="2F0B79A6">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sz w:val="21"/>
                      <w:szCs w:val="21"/>
                      <w:highlight w:val="none"/>
                    </w:rPr>
                  </w:pPr>
                </w:p>
              </w:tc>
              <w:tc>
                <w:tcPr>
                  <w:tcW w:w="215" w:type="pct"/>
                  <w:vMerge w:val="continue"/>
                  <w:tcBorders>
                    <w:tl2br w:val="nil"/>
                    <w:tr2bl w:val="nil"/>
                  </w:tcBorders>
                  <w:vAlign w:val="center"/>
                </w:tcPr>
                <w:p w14:paraId="4F6CB9F2">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sz w:val="21"/>
                      <w:szCs w:val="21"/>
                      <w:highlight w:val="none"/>
                    </w:rPr>
                  </w:pPr>
                </w:p>
              </w:tc>
              <w:tc>
                <w:tcPr>
                  <w:tcW w:w="346" w:type="pct"/>
                  <w:tcBorders>
                    <w:tl2br w:val="nil"/>
                    <w:tr2bl w:val="nil"/>
                  </w:tcBorders>
                  <w:vAlign w:val="center"/>
                </w:tcPr>
                <w:p w14:paraId="0FBB6EE6">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电动机</w:t>
                  </w:r>
                </w:p>
              </w:tc>
              <w:tc>
                <w:tcPr>
                  <w:tcW w:w="245" w:type="pct"/>
                  <w:tcBorders>
                    <w:tl2br w:val="nil"/>
                    <w:tr2bl w:val="nil"/>
                  </w:tcBorders>
                  <w:vAlign w:val="center"/>
                </w:tcPr>
                <w:p w14:paraId="511047F7">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220" w:type="pct"/>
                  <w:tcBorders>
                    <w:tl2br w:val="nil"/>
                    <w:tr2bl w:val="nil"/>
                  </w:tcBorders>
                  <w:vAlign w:val="center"/>
                </w:tcPr>
                <w:p w14:paraId="767231AD">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80</w:t>
                  </w:r>
                </w:p>
              </w:tc>
              <w:tc>
                <w:tcPr>
                  <w:tcW w:w="253" w:type="pct"/>
                  <w:vMerge w:val="continue"/>
                  <w:tcBorders>
                    <w:tl2br w:val="nil"/>
                    <w:tr2bl w:val="nil"/>
                  </w:tcBorders>
                  <w:vAlign w:val="center"/>
                </w:tcPr>
                <w:p w14:paraId="2514E9C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sz w:val="21"/>
                      <w:szCs w:val="21"/>
                      <w:highlight w:val="none"/>
                    </w:rPr>
                  </w:pPr>
                </w:p>
              </w:tc>
              <w:tc>
                <w:tcPr>
                  <w:tcW w:w="193" w:type="pct"/>
                  <w:tcBorders>
                    <w:tl2br w:val="nil"/>
                    <w:tr2bl w:val="nil"/>
                  </w:tcBorders>
                  <w:vAlign w:val="center"/>
                </w:tcPr>
                <w:p w14:paraId="477F0EB0">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150" w:type="pct"/>
                  <w:tcBorders>
                    <w:tl2br w:val="nil"/>
                    <w:tr2bl w:val="nil"/>
                  </w:tcBorders>
                  <w:vAlign w:val="center"/>
                </w:tcPr>
                <w:p w14:paraId="61400122">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64</w:t>
                  </w:r>
                </w:p>
              </w:tc>
              <w:tc>
                <w:tcPr>
                  <w:tcW w:w="150" w:type="pct"/>
                  <w:tcBorders>
                    <w:tl2br w:val="nil"/>
                    <w:tr2bl w:val="nil"/>
                  </w:tcBorders>
                  <w:vAlign w:val="center"/>
                </w:tcPr>
                <w:p w14:paraId="3E48422C">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69</w:t>
                  </w:r>
                </w:p>
              </w:tc>
              <w:tc>
                <w:tcPr>
                  <w:tcW w:w="150" w:type="pct"/>
                  <w:tcBorders>
                    <w:tl2br w:val="nil"/>
                    <w:tr2bl w:val="nil"/>
                  </w:tcBorders>
                  <w:vAlign w:val="center"/>
                </w:tcPr>
                <w:p w14:paraId="7B5115F7">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6DC6EB1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31</w:t>
                  </w:r>
                </w:p>
              </w:tc>
              <w:tc>
                <w:tcPr>
                  <w:tcW w:w="153" w:type="pct"/>
                  <w:tcBorders>
                    <w:tl2br w:val="nil"/>
                    <w:tr2bl w:val="nil"/>
                  </w:tcBorders>
                  <w:vAlign w:val="center"/>
                </w:tcPr>
                <w:p w14:paraId="15C0E33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c>
                <w:tcPr>
                  <w:tcW w:w="153" w:type="pct"/>
                  <w:tcBorders>
                    <w:tl2br w:val="nil"/>
                    <w:tr2bl w:val="nil"/>
                  </w:tcBorders>
                  <w:vAlign w:val="center"/>
                </w:tcPr>
                <w:p w14:paraId="150CE3F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34</w:t>
                  </w:r>
                </w:p>
              </w:tc>
              <w:tc>
                <w:tcPr>
                  <w:tcW w:w="153" w:type="pct"/>
                  <w:tcBorders>
                    <w:tl2br w:val="nil"/>
                    <w:tr2bl w:val="nil"/>
                  </w:tcBorders>
                  <w:vAlign w:val="center"/>
                </w:tcPr>
                <w:p w14:paraId="30BD2914">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64</w:t>
                  </w:r>
                </w:p>
              </w:tc>
              <w:tc>
                <w:tcPr>
                  <w:tcW w:w="453" w:type="dxa"/>
                  <w:tcBorders>
                    <w:tl2br w:val="nil"/>
                    <w:tr2bl w:val="nil"/>
                  </w:tcBorders>
                  <w:vAlign w:val="center"/>
                </w:tcPr>
                <w:p w14:paraId="139F7BE8">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45.2 </w:t>
                  </w:r>
                </w:p>
              </w:tc>
              <w:tc>
                <w:tcPr>
                  <w:tcW w:w="453" w:type="dxa"/>
                  <w:tcBorders>
                    <w:tl2br w:val="nil"/>
                    <w:tr2bl w:val="nil"/>
                  </w:tcBorders>
                  <w:vAlign w:val="center"/>
                </w:tcPr>
                <w:p w14:paraId="1EB76D6A">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55.0 </w:t>
                  </w:r>
                </w:p>
              </w:tc>
              <w:tc>
                <w:tcPr>
                  <w:tcW w:w="453" w:type="dxa"/>
                  <w:tcBorders>
                    <w:tl2br w:val="nil"/>
                    <w:tr2bl w:val="nil"/>
                  </w:tcBorders>
                  <w:vAlign w:val="center"/>
                </w:tcPr>
                <w:p w14:paraId="483A23D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44.4 </w:t>
                  </w:r>
                </w:p>
              </w:tc>
              <w:tc>
                <w:tcPr>
                  <w:tcW w:w="456" w:type="dxa"/>
                  <w:tcBorders>
                    <w:tl2br w:val="nil"/>
                    <w:tr2bl w:val="nil"/>
                  </w:tcBorders>
                  <w:vAlign w:val="center"/>
                </w:tcPr>
                <w:p w14:paraId="7D92E9A4">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38.9 </w:t>
                  </w:r>
                </w:p>
              </w:tc>
              <w:tc>
                <w:tcPr>
                  <w:tcW w:w="187" w:type="pct"/>
                  <w:vMerge w:val="continue"/>
                  <w:tcBorders>
                    <w:tl2br w:val="nil"/>
                    <w:tr2bl w:val="nil"/>
                  </w:tcBorders>
                  <w:vAlign w:val="center"/>
                </w:tcPr>
                <w:p w14:paraId="631F32A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46" w:type="pct"/>
                  <w:tcBorders>
                    <w:tl2br w:val="nil"/>
                    <w:tr2bl w:val="nil"/>
                  </w:tcBorders>
                  <w:vAlign w:val="center"/>
                </w:tcPr>
                <w:p w14:paraId="0993281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4D6AB02E">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0BE768E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7EF5E747">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642A181A">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33.2 </w:t>
                  </w:r>
                </w:p>
              </w:tc>
              <w:tc>
                <w:tcPr>
                  <w:tcW w:w="460" w:type="dxa"/>
                  <w:tcBorders>
                    <w:tl2br w:val="nil"/>
                    <w:tr2bl w:val="nil"/>
                  </w:tcBorders>
                  <w:vAlign w:val="center"/>
                </w:tcPr>
                <w:p w14:paraId="7BB74EDA">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43.0 </w:t>
                  </w:r>
                </w:p>
              </w:tc>
              <w:tc>
                <w:tcPr>
                  <w:tcW w:w="460" w:type="dxa"/>
                  <w:tcBorders>
                    <w:tl2br w:val="nil"/>
                    <w:tr2bl w:val="nil"/>
                  </w:tcBorders>
                  <w:vAlign w:val="center"/>
                </w:tcPr>
                <w:p w14:paraId="204EEF0E">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32.4 </w:t>
                  </w:r>
                </w:p>
              </w:tc>
              <w:tc>
                <w:tcPr>
                  <w:tcW w:w="462" w:type="dxa"/>
                  <w:tcBorders>
                    <w:tl2br w:val="nil"/>
                    <w:tr2bl w:val="nil"/>
                  </w:tcBorders>
                  <w:vAlign w:val="center"/>
                </w:tcPr>
                <w:p w14:paraId="01DDC2FF">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26.9 </w:t>
                  </w:r>
                </w:p>
              </w:tc>
              <w:tc>
                <w:tcPr>
                  <w:tcW w:w="219" w:type="pct"/>
                  <w:tcBorders>
                    <w:tl2br w:val="nil"/>
                    <w:tr2bl w:val="nil"/>
                  </w:tcBorders>
                  <w:vAlign w:val="center"/>
                </w:tcPr>
                <w:p w14:paraId="0B950DD1">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r w14:paraId="0CDFB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9" w:type="pct"/>
                  <w:tcBorders>
                    <w:tl2br w:val="nil"/>
                    <w:tr2bl w:val="nil"/>
                  </w:tcBorders>
                  <w:vAlign w:val="center"/>
                </w:tcPr>
                <w:p w14:paraId="05659087">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5" w:type="pct"/>
                  <w:vMerge w:val="restart"/>
                  <w:tcBorders>
                    <w:tl2br w:val="nil"/>
                    <w:tr2bl w:val="nil"/>
                  </w:tcBorders>
                  <w:vAlign w:val="center"/>
                </w:tcPr>
                <w:p w14:paraId="46E1C8F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1#厂房</w:t>
                  </w:r>
                </w:p>
              </w:tc>
              <w:tc>
                <w:tcPr>
                  <w:tcW w:w="346" w:type="pct"/>
                  <w:tcBorders>
                    <w:tl2br w:val="nil"/>
                    <w:tr2bl w:val="nil"/>
                  </w:tcBorders>
                  <w:vAlign w:val="center"/>
                </w:tcPr>
                <w:p w14:paraId="7FBF645A">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空压机</w:t>
                  </w:r>
                </w:p>
              </w:tc>
              <w:tc>
                <w:tcPr>
                  <w:tcW w:w="245" w:type="pct"/>
                  <w:tcBorders>
                    <w:tl2br w:val="nil"/>
                    <w:tr2bl w:val="nil"/>
                  </w:tcBorders>
                  <w:vAlign w:val="center"/>
                </w:tcPr>
                <w:p w14:paraId="3A987056">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bCs/>
                      <w:color w:val="auto"/>
                      <w:sz w:val="21"/>
                      <w:szCs w:val="21"/>
                      <w:highlight w:val="none"/>
                      <w:lang w:val="en-US" w:eastAsia="zh-CN"/>
                    </w:rPr>
                    <w:t>－</w:t>
                  </w:r>
                </w:p>
              </w:tc>
              <w:tc>
                <w:tcPr>
                  <w:tcW w:w="220" w:type="pct"/>
                  <w:tcBorders>
                    <w:tl2br w:val="nil"/>
                    <w:tr2bl w:val="nil"/>
                  </w:tcBorders>
                  <w:vAlign w:val="center"/>
                </w:tcPr>
                <w:p w14:paraId="5A37DEA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90</w:t>
                  </w:r>
                </w:p>
              </w:tc>
              <w:tc>
                <w:tcPr>
                  <w:tcW w:w="253" w:type="pct"/>
                  <w:vMerge w:val="continue"/>
                  <w:tcBorders>
                    <w:tl2br w:val="nil"/>
                    <w:tr2bl w:val="nil"/>
                  </w:tcBorders>
                  <w:vAlign w:val="center"/>
                </w:tcPr>
                <w:p w14:paraId="61C98422">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tcBorders>
                    <w:tl2br w:val="nil"/>
                    <w:tr2bl w:val="nil"/>
                  </w:tcBorders>
                  <w:vAlign w:val="center"/>
                </w:tcPr>
                <w:p w14:paraId="0D7173F2">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w:t>
                  </w:r>
                </w:p>
              </w:tc>
              <w:tc>
                <w:tcPr>
                  <w:tcW w:w="150" w:type="pct"/>
                  <w:tcBorders>
                    <w:tl2br w:val="nil"/>
                    <w:tr2bl w:val="nil"/>
                  </w:tcBorders>
                  <w:vAlign w:val="center"/>
                </w:tcPr>
                <w:p w14:paraId="39971B0B">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76</w:t>
                  </w:r>
                </w:p>
              </w:tc>
              <w:tc>
                <w:tcPr>
                  <w:tcW w:w="150" w:type="pct"/>
                  <w:tcBorders>
                    <w:tl2br w:val="nil"/>
                    <w:tr2bl w:val="nil"/>
                  </w:tcBorders>
                  <w:vAlign w:val="center"/>
                </w:tcPr>
                <w:p w14:paraId="0EA83CB6">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149</w:t>
                  </w:r>
                </w:p>
              </w:tc>
              <w:tc>
                <w:tcPr>
                  <w:tcW w:w="150" w:type="pct"/>
                  <w:tcBorders>
                    <w:tl2br w:val="nil"/>
                    <w:tr2bl w:val="nil"/>
                  </w:tcBorders>
                  <w:vAlign w:val="center"/>
                </w:tcPr>
                <w:p w14:paraId="5A497E39">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2DBB31D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153" w:type="pct"/>
                  <w:tcBorders>
                    <w:tl2br w:val="nil"/>
                    <w:tr2bl w:val="nil"/>
                  </w:tcBorders>
                  <w:vAlign w:val="center"/>
                </w:tcPr>
                <w:p w14:paraId="550825DB">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153" w:type="pct"/>
                  <w:tcBorders>
                    <w:tl2br w:val="nil"/>
                    <w:tr2bl w:val="nil"/>
                  </w:tcBorders>
                  <w:vAlign w:val="center"/>
                </w:tcPr>
                <w:p w14:paraId="31EA786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46</w:t>
                  </w:r>
                </w:p>
              </w:tc>
              <w:tc>
                <w:tcPr>
                  <w:tcW w:w="153" w:type="pct"/>
                  <w:tcBorders>
                    <w:tl2br w:val="nil"/>
                    <w:tr2bl w:val="nil"/>
                  </w:tcBorders>
                  <w:vAlign w:val="center"/>
                </w:tcPr>
                <w:p w14:paraId="5917206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w:t>
                  </w:r>
                </w:p>
              </w:tc>
              <w:tc>
                <w:tcPr>
                  <w:tcW w:w="453" w:type="dxa"/>
                  <w:tcBorders>
                    <w:tl2br w:val="nil"/>
                    <w:tr2bl w:val="nil"/>
                  </w:tcBorders>
                  <w:vAlign w:val="center"/>
                </w:tcPr>
                <w:p w14:paraId="2AD5309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59.4 </w:t>
                  </w:r>
                </w:p>
              </w:tc>
              <w:tc>
                <w:tcPr>
                  <w:tcW w:w="453" w:type="dxa"/>
                  <w:tcBorders>
                    <w:tl2br w:val="nil"/>
                    <w:tr2bl w:val="nil"/>
                  </w:tcBorders>
                  <w:vAlign w:val="center"/>
                </w:tcPr>
                <w:p w14:paraId="05808F1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79.0 </w:t>
                  </w:r>
                </w:p>
              </w:tc>
              <w:tc>
                <w:tcPr>
                  <w:tcW w:w="453" w:type="dxa"/>
                  <w:tcBorders>
                    <w:tl2br w:val="nil"/>
                    <w:tr2bl w:val="nil"/>
                  </w:tcBorders>
                  <w:vAlign w:val="center"/>
                </w:tcPr>
                <w:p w14:paraId="40E9B861">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51.7 </w:t>
                  </w:r>
                </w:p>
              </w:tc>
              <w:tc>
                <w:tcPr>
                  <w:tcW w:w="456" w:type="dxa"/>
                  <w:tcBorders>
                    <w:tl2br w:val="nil"/>
                    <w:tr2bl w:val="nil"/>
                  </w:tcBorders>
                  <w:vAlign w:val="center"/>
                </w:tcPr>
                <w:p w14:paraId="4F08ABDA">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49.2 </w:t>
                  </w:r>
                </w:p>
              </w:tc>
              <w:tc>
                <w:tcPr>
                  <w:tcW w:w="187" w:type="pct"/>
                  <w:vMerge w:val="continue"/>
                  <w:tcBorders>
                    <w:tl2br w:val="nil"/>
                    <w:tr2bl w:val="nil"/>
                  </w:tcBorders>
                  <w:vAlign w:val="center"/>
                </w:tcPr>
                <w:p w14:paraId="740EE68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46" w:type="pct"/>
                  <w:tcBorders>
                    <w:tl2br w:val="nil"/>
                    <w:tr2bl w:val="nil"/>
                  </w:tcBorders>
                  <w:vAlign w:val="center"/>
                </w:tcPr>
                <w:p w14:paraId="63380C18">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777D3A61">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4A211B7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09320DE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63FD0F67">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47.4 </w:t>
                  </w:r>
                </w:p>
              </w:tc>
              <w:tc>
                <w:tcPr>
                  <w:tcW w:w="460" w:type="dxa"/>
                  <w:tcBorders>
                    <w:tl2br w:val="nil"/>
                    <w:tr2bl w:val="nil"/>
                  </w:tcBorders>
                  <w:vAlign w:val="center"/>
                </w:tcPr>
                <w:p w14:paraId="4DF1366D">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67.0 </w:t>
                  </w:r>
                </w:p>
              </w:tc>
              <w:tc>
                <w:tcPr>
                  <w:tcW w:w="460" w:type="dxa"/>
                  <w:tcBorders>
                    <w:tl2br w:val="nil"/>
                    <w:tr2bl w:val="nil"/>
                  </w:tcBorders>
                  <w:vAlign w:val="center"/>
                </w:tcPr>
                <w:p w14:paraId="4DB4789A">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39.7 </w:t>
                  </w:r>
                </w:p>
              </w:tc>
              <w:tc>
                <w:tcPr>
                  <w:tcW w:w="462" w:type="dxa"/>
                  <w:tcBorders>
                    <w:tl2br w:val="nil"/>
                    <w:tr2bl w:val="nil"/>
                  </w:tcBorders>
                  <w:vAlign w:val="center"/>
                </w:tcPr>
                <w:p w14:paraId="173CB42D">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37.2 </w:t>
                  </w:r>
                </w:p>
              </w:tc>
              <w:tc>
                <w:tcPr>
                  <w:tcW w:w="219" w:type="pct"/>
                  <w:tcBorders>
                    <w:tl2br w:val="nil"/>
                    <w:tr2bl w:val="nil"/>
                  </w:tcBorders>
                  <w:vAlign w:val="center"/>
                </w:tcPr>
                <w:p w14:paraId="6605F7A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r w14:paraId="7EF921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9" w:type="pct"/>
                  <w:tcBorders>
                    <w:tl2br w:val="nil"/>
                    <w:tr2bl w:val="nil"/>
                  </w:tcBorders>
                  <w:vAlign w:val="center"/>
                </w:tcPr>
                <w:p w14:paraId="097756E0">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5" w:type="pct"/>
                  <w:vMerge w:val="continue"/>
                  <w:tcBorders>
                    <w:tl2br w:val="nil"/>
                    <w:tr2bl w:val="nil"/>
                  </w:tcBorders>
                  <w:vAlign w:val="center"/>
                </w:tcPr>
                <w:p w14:paraId="7893B64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46" w:type="pct"/>
                  <w:tcBorders>
                    <w:tl2br w:val="nil"/>
                    <w:tr2bl w:val="nil"/>
                  </w:tcBorders>
                  <w:vAlign w:val="center"/>
                </w:tcPr>
                <w:p w14:paraId="65454C88">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空压机</w:t>
                  </w:r>
                </w:p>
              </w:tc>
              <w:tc>
                <w:tcPr>
                  <w:tcW w:w="245" w:type="pct"/>
                  <w:tcBorders>
                    <w:tl2br w:val="nil"/>
                    <w:tr2bl w:val="nil"/>
                  </w:tcBorders>
                  <w:vAlign w:val="center"/>
                </w:tcPr>
                <w:p w14:paraId="7FAE207C">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220" w:type="pct"/>
                  <w:tcBorders>
                    <w:tl2br w:val="nil"/>
                    <w:tr2bl w:val="nil"/>
                  </w:tcBorders>
                  <w:vAlign w:val="center"/>
                </w:tcPr>
                <w:p w14:paraId="75EAD86F">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90</w:t>
                  </w:r>
                </w:p>
              </w:tc>
              <w:tc>
                <w:tcPr>
                  <w:tcW w:w="253" w:type="pct"/>
                  <w:vMerge w:val="continue"/>
                  <w:tcBorders>
                    <w:tl2br w:val="nil"/>
                    <w:tr2bl w:val="nil"/>
                  </w:tcBorders>
                  <w:vAlign w:val="center"/>
                </w:tcPr>
                <w:p w14:paraId="43BCB0A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tcBorders>
                    <w:tl2br w:val="nil"/>
                    <w:tr2bl w:val="nil"/>
                  </w:tcBorders>
                  <w:vAlign w:val="center"/>
                </w:tcPr>
                <w:p w14:paraId="5D1F8907">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w:t>
                  </w:r>
                </w:p>
              </w:tc>
              <w:tc>
                <w:tcPr>
                  <w:tcW w:w="150" w:type="pct"/>
                  <w:tcBorders>
                    <w:tl2br w:val="nil"/>
                    <w:tr2bl w:val="nil"/>
                  </w:tcBorders>
                  <w:vAlign w:val="center"/>
                </w:tcPr>
                <w:p w14:paraId="3EAC5C83">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76</w:t>
                  </w:r>
                </w:p>
              </w:tc>
              <w:tc>
                <w:tcPr>
                  <w:tcW w:w="150" w:type="pct"/>
                  <w:tcBorders>
                    <w:tl2br w:val="nil"/>
                    <w:tr2bl w:val="nil"/>
                  </w:tcBorders>
                  <w:vAlign w:val="center"/>
                </w:tcPr>
                <w:p w14:paraId="42C4E8C2">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148</w:t>
                  </w:r>
                </w:p>
              </w:tc>
              <w:tc>
                <w:tcPr>
                  <w:tcW w:w="150" w:type="pct"/>
                  <w:tcBorders>
                    <w:tl2br w:val="nil"/>
                    <w:tr2bl w:val="nil"/>
                  </w:tcBorders>
                  <w:vAlign w:val="center"/>
                </w:tcPr>
                <w:p w14:paraId="618976F3">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3963C51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153" w:type="pct"/>
                  <w:tcBorders>
                    <w:tl2br w:val="nil"/>
                    <w:tr2bl w:val="nil"/>
                  </w:tcBorders>
                  <w:vAlign w:val="center"/>
                </w:tcPr>
                <w:p w14:paraId="56A2CFF5">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1CA504C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46</w:t>
                  </w:r>
                </w:p>
              </w:tc>
              <w:tc>
                <w:tcPr>
                  <w:tcW w:w="153" w:type="pct"/>
                  <w:tcBorders>
                    <w:tl2br w:val="nil"/>
                    <w:tr2bl w:val="nil"/>
                  </w:tcBorders>
                  <w:vAlign w:val="center"/>
                </w:tcPr>
                <w:p w14:paraId="18018445">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63</w:t>
                  </w:r>
                </w:p>
              </w:tc>
              <w:tc>
                <w:tcPr>
                  <w:tcW w:w="453" w:type="dxa"/>
                  <w:tcBorders>
                    <w:tl2br w:val="nil"/>
                    <w:tr2bl w:val="nil"/>
                  </w:tcBorders>
                  <w:vAlign w:val="center"/>
                </w:tcPr>
                <w:p w14:paraId="6185F377">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59.4 </w:t>
                  </w:r>
                </w:p>
              </w:tc>
              <w:tc>
                <w:tcPr>
                  <w:tcW w:w="453" w:type="dxa"/>
                  <w:tcBorders>
                    <w:tl2br w:val="nil"/>
                    <w:tr2bl w:val="nil"/>
                  </w:tcBorders>
                  <w:vAlign w:val="center"/>
                </w:tcPr>
                <w:p w14:paraId="473DF447">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85.0 </w:t>
                  </w:r>
                </w:p>
              </w:tc>
              <w:tc>
                <w:tcPr>
                  <w:tcW w:w="453" w:type="dxa"/>
                  <w:tcBorders>
                    <w:tl2br w:val="nil"/>
                    <w:tr2bl w:val="nil"/>
                  </w:tcBorders>
                  <w:vAlign w:val="center"/>
                </w:tcPr>
                <w:p w14:paraId="21B69E5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51.7 </w:t>
                  </w:r>
                </w:p>
              </w:tc>
              <w:tc>
                <w:tcPr>
                  <w:tcW w:w="456" w:type="dxa"/>
                  <w:tcBorders>
                    <w:tl2br w:val="nil"/>
                    <w:tr2bl w:val="nil"/>
                  </w:tcBorders>
                  <w:vAlign w:val="center"/>
                </w:tcPr>
                <w:p w14:paraId="23A318CB">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49.0 </w:t>
                  </w:r>
                </w:p>
              </w:tc>
              <w:tc>
                <w:tcPr>
                  <w:tcW w:w="187" w:type="pct"/>
                  <w:vMerge w:val="continue"/>
                  <w:tcBorders>
                    <w:tl2br w:val="nil"/>
                    <w:tr2bl w:val="nil"/>
                  </w:tcBorders>
                  <w:vAlign w:val="center"/>
                </w:tcPr>
                <w:p w14:paraId="4D8682DB">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46" w:type="pct"/>
                  <w:tcBorders>
                    <w:tl2br w:val="nil"/>
                    <w:tr2bl w:val="nil"/>
                  </w:tcBorders>
                  <w:vAlign w:val="center"/>
                </w:tcPr>
                <w:p w14:paraId="31C1043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60475DDF">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1F99E0B7">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7B81275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2454C503">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47.4 </w:t>
                  </w:r>
                </w:p>
              </w:tc>
              <w:tc>
                <w:tcPr>
                  <w:tcW w:w="460" w:type="dxa"/>
                  <w:tcBorders>
                    <w:tl2br w:val="nil"/>
                    <w:tr2bl w:val="nil"/>
                  </w:tcBorders>
                  <w:vAlign w:val="center"/>
                </w:tcPr>
                <w:p w14:paraId="3A8FB40E">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73.0 </w:t>
                  </w:r>
                </w:p>
              </w:tc>
              <w:tc>
                <w:tcPr>
                  <w:tcW w:w="460" w:type="dxa"/>
                  <w:tcBorders>
                    <w:tl2br w:val="nil"/>
                    <w:tr2bl w:val="nil"/>
                  </w:tcBorders>
                  <w:vAlign w:val="center"/>
                </w:tcPr>
                <w:p w14:paraId="0FF9CCEA">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39.7 </w:t>
                  </w:r>
                </w:p>
              </w:tc>
              <w:tc>
                <w:tcPr>
                  <w:tcW w:w="462" w:type="dxa"/>
                  <w:tcBorders>
                    <w:tl2br w:val="nil"/>
                    <w:tr2bl w:val="nil"/>
                  </w:tcBorders>
                  <w:vAlign w:val="center"/>
                </w:tcPr>
                <w:p w14:paraId="28F45D61">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37.0 </w:t>
                  </w:r>
                </w:p>
              </w:tc>
              <w:tc>
                <w:tcPr>
                  <w:tcW w:w="219" w:type="pct"/>
                  <w:tcBorders>
                    <w:tl2br w:val="nil"/>
                    <w:tr2bl w:val="nil"/>
                  </w:tcBorders>
                  <w:vAlign w:val="center"/>
                </w:tcPr>
                <w:p w14:paraId="7F1D443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r w14:paraId="288353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9" w:type="pct"/>
                  <w:tcBorders>
                    <w:tl2br w:val="nil"/>
                    <w:tr2bl w:val="nil"/>
                  </w:tcBorders>
                  <w:vAlign w:val="center"/>
                </w:tcPr>
                <w:p w14:paraId="3FE93F43">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5" w:type="pct"/>
                  <w:vMerge w:val="continue"/>
                  <w:tcBorders>
                    <w:tl2br w:val="nil"/>
                    <w:tr2bl w:val="nil"/>
                  </w:tcBorders>
                  <w:vAlign w:val="center"/>
                </w:tcPr>
                <w:p w14:paraId="60E8B82C">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346" w:type="pct"/>
                  <w:tcBorders>
                    <w:tl2br w:val="nil"/>
                    <w:tr2bl w:val="nil"/>
                  </w:tcBorders>
                  <w:vAlign w:val="center"/>
                </w:tcPr>
                <w:p w14:paraId="195B12A7">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角磨机</w:t>
                  </w:r>
                </w:p>
              </w:tc>
              <w:tc>
                <w:tcPr>
                  <w:tcW w:w="245" w:type="pct"/>
                  <w:tcBorders>
                    <w:tl2br w:val="nil"/>
                    <w:tr2bl w:val="nil"/>
                  </w:tcBorders>
                  <w:vAlign w:val="center"/>
                </w:tcPr>
                <w:p w14:paraId="36829C14">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bCs/>
                      <w:color w:val="auto"/>
                      <w:sz w:val="21"/>
                      <w:szCs w:val="21"/>
                      <w:highlight w:val="none"/>
                      <w:lang w:val="en-US" w:eastAsia="zh-CN"/>
                    </w:rPr>
                    <w:t>－</w:t>
                  </w:r>
                </w:p>
              </w:tc>
              <w:tc>
                <w:tcPr>
                  <w:tcW w:w="220" w:type="pct"/>
                  <w:tcBorders>
                    <w:tl2br w:val="nil"/>
                    <w:tr2bl w:val="nil"/>
                  </w:tcBorders>
                  <w:vAlign w:val="center"/>
                </w:tcPr>
                <w:p w14:paraId="1F6976B2">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253" w:type="pct"/>
                  <w:vMerge w:val="restart"/>
                  <w:tcBorders>
                    <w:tl2br w:val="nil"/>
                    <w:tr2bl w:val="nil"/>
                  </w:tcBorders>
                  <w:vAlign w:val="center"/>
                </w:tcPr>
                <w:p w14:paraId="14073F5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置于打磨房内</w:t>
                  </w:r>
                </w:p>
              </w:tc>
              <w:tc>
                <w:tcPr>
                  <w:tcW w:w="193" w:type="pct"/>
                  <w:tcBorders>
                    <w:tl2br w:val="nil"/>
                    <w:tr2bl w:val="nil"/>
                  </w:tcBorders>
                  <w:vAlign w:val="center"/>
                </w:tcPr>
                <w:p w14:paraId="613B584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sz w:val="21"/>
                      <w:szCs w:val="21"/>
                      <w:highlight w:val="none"/>
                      <w:lang w:val="en-US" w:eastAsia="zh-CN"/>
                    </w:rPr>
                    <w:t>15</w:t>
                  </w:r>
                </w:p>
              </w:tc>
              <w:tc>
                <w:tcPr>
                  <w:tcW w:w="150" w:type="pct"/>
                  <w:tcBorders>
                    <w:tl2br w:val="nil"/>
                    <w:tr2bl w:val="nil"/>
                  </w:tcBorders>
                  <w:vAlign w:val="center"/>
                </w:tcPr>
                <w:p w14:paraId="5C59200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88</w:t>
                  </w:r>
                </w:p>
              </w:tc>
              <w:tc>
                <w:tcPr>
                  <w:tcW w:w="150" w:type="pct"/>
                  <w:tcBorders>
                    <w:tl2br w:val="nil"/>
                    <w:tr2bl w:val="nil"/>
                  </w:tcBorders>
                  <w:vAlign w:val="center"/>
                </w:tcPr>
                <w:p w14:paraId="480C5E73">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149</w:t>
                  </w:r>
                </w:p>
              </w:tc>
              <w:tc>
                <w:tcPr>
                  <w:tcW w:w="150" w:type="pct"/>
                  <w:tcBorders>
                    <w:tl2br w:val="nil"/>
                    <w:tr2bl w:val="nil"/>
                  </w:tcBorders>
                  <w:vAlign w:val="center"/>
                </w:tcPr>
                <w:p w14:paraId="3D007749">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69CFA0A6">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w:t>
                  </w:r>
                </w:p>
              </w:tc>
              <w:tc>
                <w:tcPr>
                  <w:tcW w:w="153" w:type="pct"/>
                  <w:tcBorders>
                    <w:tl2br w:val="nil"/>
                    <w:tr2bl w:val="nil"/>
                  </w:tcBorders>
                  <w:vAlign w:val="center"/>
                </w:tcPr>
                <w:p w14:paraId="5F5FDB2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153" w:type="pct"/>
                  <w:tcBorders>
                    <w:tl2br w:val="nil"/>
                    <w:tr2bl w:val="nil"/>
                  </w:tcBorders>
                  <w:vAlign w:val="center"/>
                </w:tcPr>
                <w:p w14:paraId="3276B819">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58</w:t>
                  </w:r>
                </w:p>
              </w:tc>
              <w:tc>
                <w:tcPr>
                  <w:tcW w:w="153" w:type="pct"/>
                  <w:tcBorders>
                    <w:tl2br w:val="nil"/>
                    <w:tr2bl w:val="nil"/>
                  </w:tcBorders>
                  <w:vAlign w:val="center"/>
                </w:tcPr>
                <w:p w14:paraId="49D7E8E9">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w:t>
                  </w:r>
                </w:p>
              </w:tc>
              <w:tc>
                <w:tcPr>
                  <w:tcW w:w="453" w:type="dxa"/>
                  <w:tcBorders>
                    <w:tl2br w:val="nil"/>
                    <w:tr2bl w:val="nil"/>
                  </w:tcBorders>
                  <w:vAlign w:val="center"/>
                </w:tcPr>
                <w:p w14:paraId="1B8F28A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43.1 </w:t>
                  </w:r>
                </w:p>
              </w:tc>
              <w:tc>
                <w:tcPr>
                  <w:tcW w:w="453" w:type="dxa"/>
                  <w:tcBorders>
                    <w:tl2br w:val="nil"/>
                    <w:tr2bl w:val="nil"/>
                  </w:tcBorders>
                  <w:vAlign w:val="center"/>
                </w:tcPr>
                <w:p w14:paraId="06D7BD8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54.0 </w:t>
                  </w:r>
                </w:p>
              </w:tc>
              <w:tc>
                <w:tcPr>
                  <w:tcW w:w="453" w:type="dxa"/>
                  <w:tcBorders>
                    <w:tl2br w:val="nil"/>
                    <w:tr2bl w:val="nil"/>
                  </w:tcBorders>
                  <w:vAlign w:val="center"/>
                </w:tcPr>
                <w:p w14:paraId="303DFE89">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24.7 </w:t>
                  </w:r>
                </w:p>
              </w:tc>
              <w:tc>
                <w:tcPr>
                  <w:tcW w:w="456" w:type="dxa"/>
                  <w:tcBorders>
                    <w:tl2br w:val="nil"/>
                    <w:tr2bl w:val="nil"/>
                  </w:tcBorders>
                  <w:vAlign w:val="center"/>
                </w:tcPr>
                <w:p w14:paraId="2B30964D">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24.2 </w:t>
                  </w:r>
                </w:p>
              </w:tc>
              <w:tc>
                <w:tcPr>
                  <w:tcW w:w="187" w:type="pct"/>
                  <w:vMerge w:val="continue"/>
                  <w:tcBorders>
                    <w:tl2br w:val="nil"/>
                    <w:tr2bl w:val="nil"/>
                  </w:tcBorders>
                  <w:vAlign w:val="center"/>
                </w:tcPr>
                <w:p w14:paraId="2C0E5E9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46" w:type="pct"/>
                  <w:tcBorders>
                    <w:tl2br w:val="nil"/>
                    <w:tr2bl w:val="nil"/>
                  </w:tcBorders>
                  <w:vAlign w:val="center"/>
                </w:tcPr>
                <w:p w14:paraId="68A22E61">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09AF4B9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06795B7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55A0CFA8">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3AE3D9FB">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31.1 </w:t>
                  </w:r>
                </w:p>
              </w:tc>
              <w:tc>
                <w:tcPr>
                  <w:tcW w:w="460" w:type="dxa"/>
                  <w:tcBorders>
                    <w:tl2br w:val="nil"/>
                    <w:tr2bl w:val="nil"/>
                  </w:tcBorders>
                  <w:vAlign w:val="center"/>
                </w:tcPr>
                <w:p w14:paraId="1C580AFA">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42.0 </w:t>
                  </w:r>
                </w:p>
              </w:tc>
              <w:tc>
                <w:tcPr>
                  <w:tcW w:w="460" w:type="dxa"/>
                  <w:tcBorders>
                    <w:tl2br w:val="nil"/>
                    <w:tr2bl w:val="nil"/>
                  </w:tcBorders>
                  <w:vAlign w:val="center"/>
                </w:tcPr>
                <w:p w14:paraId="68BE9EB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12.7 </w:t>
                  </w:r>
                </w:p>
              </w:tc>
              <w:tc>
                <w:tcPr>
                  <w:tcW w:w="462" w:type="dxa"/>
                  <w:tcBorders>
                    <w:tl2br w:val="nil"/>
                    <w:tr2bl w:val="nil"/>
                  </w:tcBorders>
                  <w:vAlign w:val="center"/>
                </w:tcPr>
                <w:p w14:paraId="335BFB9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12.2 </w:t>
                  </w:r>
                </w:p>
              </w:tc>
              <w:tc>
                <w:tcPr>
                  <w:tcW w:w="219" w:type="pct"/>
                  <w:tcBorders>
                    <w:tl2br w:val="nil"/>
                    <w:tr2bl w:val="nil"/>
                  </w:tcBorders>
                  <w:vAlign w:val="center"/>
                </w:tcPr>
                <w:p w14:paraId="789F068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r w14:paraId="0ABE58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9" w:type="pct"/>
                  <w:tcBorders>
                    <w:tl2br w:val="nil"/>
                    <w:tr2bl w:val="nil"/>
                  </w:tcBorders>
                  <w:vAlign w:val="center"/>
                </w:tcPr>
                <w:p w14:paraId="310EE417">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5" w:type="pct"/>
                  <w:vMerge w:val="continue"/>
                  <w:tcBorders>
                    <w:tl2br w:val="nil"/>
                    <w:tr2bl w:val="nil"/>
                  </w:tcBorders>
                  <w:vAlign w:val="center"/>
                </w:tcPr>
                <w:p w14:paraId="42CDAD6B">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46" w:type="pct"/>
                  <w:tcBorders>
                    <w:tl2br w:val="nil"/>
                    <w:tr2bl w:val="nil"/>
                  </w:tcBorders>
                  <w:vAlign w:val="center"/>
                </w:tcPr>
                <w:p w14:paraId="53118377">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角磨机</w:t>
                  </w:r>
                </w:p>
              </w:tc>
              <w:tc>
                <w:tcPr>
                  <w:tcW w:w="245" w:type="pct"/>
                  <w:tcBorders>
                    <w:tl2br w:val="nil"/>
                    <w:tr2bl w:val="nil"/>
                  </w:tcBorders>
                  <w:vAlign w:val="center"/>
                </w:tcPr>
                <w:p w14:paraId="08797F39">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bCs/>
                      <w:color w:val="auto"/>
                      <w:sz w:val="21"/>
                      <w:szCs w:val="21"/>
                      <w:highlight w:val="none"/>
                      <w:lang w:val="en-US" w:eastAsia="zh-CN"/>
                    </w:rPr>
                    <w:t>－</w:t>
                  </w:r>
                </w:p>
              </w:tc>
              <w:tc>
                <w:tcPr>
                  <w:tcW w:w="220" w:type="pct"/>
                  <w:tcBorders>
                    <w:tl2br w:val="nil"/>
                    <w:tr2bl w:val="nil"/>
                  </w:tcBorders>
                  <w:vAlign w:val="center"/>
                </w:tcPr>
                <w:p w14:paraId="056B1254">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253" w:type="pct"/>
                  <w:vMerge w:val="continue"/>
                  <w:tcBorders>
                    <w:tl2br w:val="nil"/>
                    <w:tr2bl w:val="nil"/>
                  </w:tcBorders>
                  <w:vAlign w:val="center"/>
                </w:tcPr>
                <w:p w14:paraId="7D69418E">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tcBorders>
                    <w:tl2br w:val="nil"/>
                    <w:tr2bl w:val="nil"/>
                  </w:tcBorders>
                  <w:vAlign w:val="center"/>
                </w:tcPr>
                <w:p w14:paraId="522C1B7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sz w:val="21"/>
                      <w:szCs w:val="21"/>
                      <w:highlight w:val="none"/>
                      <w:lang w:val="en-US" w:eastAsia="zh-CN"/>
                    </w:rPr>
                    <w:t>15</w:t>
                  </w:r>
                </w:p>
              </w:tc>
              <w:tc>
                <w:tcPr>
                  <w:tcW w:w="150" w:type="pct"/>
                  <w:tcBorders>
                    <w:tl2br w:val="nil"/>
                    <w:tr2bl w:val="nil"/>
                  </w:tcBorders>
                  <w:vAlign w:val="center"/>
                </w:tcPr>
                <w:p w14:paraId="670ADFAF">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85</w:t>
                  </w:r>
                </w:p>
              </w:tc>
              <w:tc>
                <w:tcPr>
                  <w:tcW w:w="150" w:type="pct"/>
                  <w:tcBorders>
                    <w:tl2br w:val="nil"/>
                    <w:tr2bl w:val="nil"/>
                  </w:tcBorders>
                  <w:vAlign w:val="center"/>
                </w:tcPr>
                <w:p w14:paraId="421070D0">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149</w:t>
                  </w:r>
                </w:p>
              </w:tc>
              <w:tc>
                <w:tcPr>
                  <w:tcW w:w="150" w:type="pct"/>
                  <w:tcBorders>
                    <w:tl2br w:val="nil"/>
                    <w:tr2bl w:val="nil"/>
                  </w:tcBorders>
                  <w:vAlign w:val="center"/>
                </w:tcPr>
                <w:p w14:paraId="3EED3CB3">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5E1BE6E6">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c>
                <w:tcPr>
                  <w:tcW w:w="153" w:type="pct"/>
                  <w:tcBorders>
                    <w:tl2br w:val="nil"/>
                    <w:tr2bl w:val="nil"/>
                  </w:tcBorders>
                  <w:vAlign w:val="center"/>
                </w:tcPr>
                <w:p w14:paraId="4E69D28B">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153" w:type="pct"/>
                  <w:tcBorders>
                    <w:tl2br w:val="nil"/>
                    <w:tr2bl w:val="nil"/>
                  </w:tcBorders>
                  <w:vAlign w:val="center"/>
                </w:tcPr>
                <w:p w14:paraId="54E0A70E">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55</w:t>
                  </w:r>
                </w:p>
              </w:tc>
              <w:tc>
                <w:tcPr>
                  <w:tcW w:w="153" w:type="pct"/>
                  <w:tcBorders>
                    <w:tl2br w:val="nil"/>
                    <w:tr2bl w:val="nil"/>
                  </w:tcBorders>
                  <w:vAlign w:val="center"/>
                </w:tcPr>
                <w:p w14:paraId="34427AF4">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w:t>
                  </w:r>
                </w:p>
              </w:tc>
              <w:tc>
                <w:tcPr>
                  <w:tcW w:w="453" w:type="dxa"/>
                  <w:tcBorders>
                    <w:tl2br w:val="nil"/>
                    <w:tr2bl w:val="nil"/>
                  </w:tcBorders>
                  <w:vAlign w:val="center"/>
                </w:tcPr>
                <w:p w14:paraId="28077A3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40.0 </w:t>
                  </w:r>
                </w:p>
              </w:tc>
              <w:tc>
                <w:tcPr>
                  <w:tcW w:w="453" w:type="dxa"/>
                  <w:tcBorders>
                    <w:tl2br w:val="nil"/>
                    <w:tr2bl w:val="nil"/>
                  </w:tcBorders>
                  <w:vAlign w:val="center"/>
                </w:tcPr>
                <w:p w14:paraId="379B3E4B">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54.0 </w:t>
                  </w:r>
                </w:p>
              </w:tc>
              <w:tc>
                <w:tcPr>
                  <w:tcW w:w="453" w:type="dxa"/>
                  <w:tcBorders>
                    <w:tl2br w:val="nil"/>
                    <w:tr2bl w:val="nil"/>
                  </w:tcBorders>
                  <w:vAlign w:val="center"/>
                </w:tcPr>
                <w:p w14:paraId="69F4F3A3">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25.2 </w:t>
                  </w:r>
                </w:p>
              </w:tc>
              <w:tc>
                <w:tcPr>
                  <w:tcW w:w="456" w:type="dxa"/>
                  <w:tcBorders>
                    <w:tl2br w:val="nil"/>
                    <w:tr2bl w:val="nil"/>
                  </w:tcBorders>
                  <w:vAlign w:val="center"/>
                </w:tcPr>
                <w:p w14:paraId="3BA92A53">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24.2 </w:t>
                  </w:r>
                </w:p>
              </w:tc>
              <w:tc>
                <w:tcPr>
                  <w:tcW w:w="187" w:type="pct"/>
                  <w:vMerge w:val="continue"/>
                  <w:tcBorders>
                    <w:tl2br w:val="nil"/>
                    <w:tr2bl w:val="nil"/>
                  </w:tcBorders>
                  <w:vAlign w:val="center"/>
                </w:tcPr>
                <w:p w14:paraId="065A068B">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46" w:type="pct"/>
                  <w:tcBorders>
                    <w:tl2br w:val="nil"/>
                    <w:tr2bl w:val="nil"/>
                  </w:tcBorders>
                  <w:vAlign w:val="center"/>
                </w:tcPr>
                <w:p w14:paraId="574E71DF">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3C8FB561">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1E1AE6AB">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03E3BF5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012C114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28.0 </w:t>
                  </w:r>
                </w:p>
              </w:tc>
              <w:tc>
                <w:tcPr>
                  <w:tcW w:w="460" w:type="dxa"/>
                  <w:tcBorders>
                    <w:tl2br w:val="nil"/>
                    <w:tr2bl w:val="nil"/>
                  </w:tcBorders>
                  <w:vAlign w:val="center"/>
                </w:tcPr>
                <w:p w14:paraId="533CC374">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42.0 </w:t>
                  </w:r>
                </w:p>
              </w:tc>
              <w:tc>
                <w:tcPr>
                  <w:tcW w:w="460" w:type="dxa"/>
                  <w:tcBorders>
                    <w:tl2br w:val="nil"/>
                    <w:tr2bl w:val="nil"/>
                  </w:tcBorders>
                  <w:vAlign w:val="center"/>
                </w:tcPr>
                <w:p w14:paraId="097B5A3D">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13.2 </w:t>
                  </w:r>
                </w:p>
              </w:tc>
              <w:tc>
                <w:tcPr>
                  <w:tcW w:w="462" w:type="dxa"/>
                  <w:tcBorders>
                    <w:tl2br w:val="nil"/>
                    <w:tr2bl w:val="nil"/>
                  </w:tcBorders>
                  <w:vAlign w:val="center"/>
                </w:tcPr>
                <w:p w14:paraId="59DACA9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12.2 </w:t>
                  </w:r>
                </w:p>
              </w:tc>
              <w:tc>
                <w:tcPr>
                  <w:tcW w:w="219" w:type="pct"/>
                  <w:tcBorders>
                    <w:tl2br w:val="nil"/>
                    <w:tr2bl w:val="nil"/>
                  </w:tcBorders>
                  <w:vAlign w:val="center"/>
                </w:tcPr>
                <w:p w14:paraId="4C441F0D">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r w14:paraId="2C713D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9" w:type="pct"/>
                  <w:tcBorders>
                    <w:tl2br w:val="nil"/>
                    <w:tr2bl w:val="nil"/>
                  </w:tcBorders>
                  <w:vAlign w:val="center"/>
                </w:tcPr>
                <w:p w14:paraId="2026D634">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5" w:type="pct"/>
                  <w:vMerge w:val="continue"/>
                  <w:tcBorders>
                    <w:tl2br w:val="nil"/>
                    <w:tr2bl w:val="nil"/>
                  </w:tcBorders>
                  <w:vAlign w:val="center"/>
                </w:tcPr>
                <w:p w14:paraId="5FCF23DB">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46" w:type="pct"/>
                  <w:tcBorders>
                    <w:tl2br w:val="nil"/>
                    <w:tr2bl w:val="nil"/>
                  </w:tcBorders>
                  <w:vAlign w:val="center"/>
                </w:tcPr>
                <w:p w14:paraId="076E1C14">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角磨机</w:t>
                  </w:r>
                </w:p>
              </w:tc>
              <w:tc>
                <w:tcPr>
                  <w:tcW w:w="245" w:type="pct"/>
                  <w:tcBorders>
                    <w:tl2br w:val="nil"/>
                    <w:tr2bl w:val="nil"/>
                  </w:tcBorders>
                  <w:vAlign w:val="center"/>
                </w:tcPr>
                <w:p w14:paraId="5B96AE05">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220" w:type="pct"/>
                  <w:tcBorders>
                    <w:tl2br w:val="nil"/>
                    <w:tr2bl w:val="nil"/>
                  </w:tcBorders>
                  <w:vAlign w:val="center"/>
                </w:tcPr>
                <w:p w14:paraId="1D9C0729">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253" w:type="pct"/>
                  <w:vMerge w:val="continue"/>
                  <w:tcBorders>
                    <w:tl2br w:val="nil"/>
                    <w:tr2bl w:val="nil"/>
                  </w:tcBorders>
                  <w:vAlign w:val="center"/>
                </w:tcPr>
                <w:p w14:paraId="54F9E842">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tcBorders>
                    <w:tl2br w:val="nil"/>
                    <w:tr2bl w:val="nil"/>
                  </w:tcBorders>
                  <w:vAlign w:val="center"/>
                </w:tcPr>
                <w:p w14:paraId="4D0915E7">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15</w:t>
                  </w:r>
                </w:p>
              </w:tc>
              <w:tc>
                <w:tcPr>
                  <w:tcW w:w="150" w:type="pct"/>
                  <w:tcBorders>
                    <w:tl2br w:val="nil"/>
                    <w:tr2bl w:val="nil"/>
                  </w:tcBorders>
                  <w:vAlign w:val="center"/>
                </w:tcPr>
                <w:p w14:paraId="2B11ADC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83</w:t>
                  </w:r>
                </w:p>
              </w:tc>
              <w:tc>
                <w:tcPr>
                  <w:tcW w:w="150" w:type="pct"/>
                  <w:tcBorders>
                    <w:tl2br w:val="nil"/>
                    <w:tr2bl w:val="nil"/>
                  </w:tcBorders>
                  <w:vAlign w:val="center"/>
                </w:tcPr>
                <w:p w14:paraId="20836EFF">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149</w:t>
                  </w:r>
                </w:p>
              </w:tc>
              <w:tc>
                <w:tcPr>
                  <w:tcW w:w="150" w:type="pct"/>
                  <w:tcBorders>
                    <w:tl2br w:val="nil"/>
                    <w:tr2bl w:val="nil"/>
                  </w:tcBorders>
                  <w:vAlign w:val="center"/>
                </w:tcPr>
                <w:p w14:paraId="2742898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1057EB07">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153" w:type="pct"/>
                  <w:tcBorders>
                    <w:tl2br w:val="nil"/>
                    <w:tr2bl w:val="nil"/>
                  </w:tcBorders>
                  <w:vAlign w:val="center"/>
                </w:tcPr>
                <w:p w14:paraId="3CA1E99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153" w:type="pct"/>
                  <w:tcBorders>
                    <w:tl2br w:val="nil"/>
                    <w:tr2bl w:val="nil"/>
                  </w:tcBorders>
                  <w:vAlign w:val="center"/>
                </w:tcPr>
                <w:p w14:paraId="2420B76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53</w:t>
                  </w:r>
                </w:p>
              </w:tc>
              <w:tc>
                <w:tcPr>
                  <w:tcW w:w="153" w:type="pct"/>
                  <w:tcBorders>
                    <w:tl2br w:val="nil"/>
                    <w:tr2bl w:val="nil"/>
                  </w:tcBorders>
                  <w:vAlign w:val="center"/>
                </w:tcPr>
                <w:p w14:paraId="6BB86864">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w:t>
                  </w:r>
                </w:p>
              </w:tc>
              <w:tc>
                <w:tcPr>
                  <w:tcW w:w="453" w:type="dxa"/>
                  <w:tcBorders>
                    <w:tl2br w:val="nil"/>
                    <w:tr2bl w:val="nil"/>
                  </w:tcBorders>
                  <w:vAlign w:val="center"/>
                </w:tcPr>
                <w:p w14:paraId="4E2C482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38.4 </w:t>
                  </w:r>
                </w:p>
              </w:tc>
              <w:tc>
                <w:tcPr>
                  <w:tcW w:w="453" w:type="dxa"/>
                  <w:tcBorders>
                    <w:tl2br w:val="nil"/>
                    <w:tr2bl w:val="nil"/>
                  </w:tcBorders>
                  <w:vAlign w:val="center"/>
                </w:tcPr>
                <w:p w14:paraId="5F7B4AC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54.0 </w:t>
                  </w:r>
                </w:p>
              </w:tc>
              <w:tc>
                <w:tcPr>
                  <w:tcW w:w="453" w:type="dxa"/>
                  <w:tcBorders>
                    <w:tl2br w:val="nil"/>
                    <w:tr2bl w:val="nil"/>
                  </w:tcBorders>
                  <w:vAlign w:val="center"/>
                </w:tcPr>
                <w:p w14:paraId="719A59D8">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25.5 </w:t>
                  </w:r>
                </w:p>
              </w:tc>
              <w:tc>
                <w:tcPr>
                  <w:tcW w:w="456" w:type="dxa"/>
                  <w:tcBorders>
                    <w:tl2br w:val="nil"/>
                    <w:tr2bl w:val="nil"/>
                  </w:tcBorders>
                  <w:vAlign w:val="center"/>
                </w:tcPr>
                <w:p w14:paraId="13AD4C59">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24.2 </w:t>
                  </w:r>
                </w:p>
              </w:tc>
              <w:tc>
                <w:tcPr>
                  <w:tcW w:w="187" w:type="pct"/>
                  <w:vMerge w:val="continue"/>
                  <w:tcBorders>
                    <w:tl2br w:val="nil"/>
                    <w:tr2bl w:val="nil"/>
                  </w:tcBorders>
                  <w:vAlign w:val="center"/>
                </w:tcPr>
                <w:p w14:paraId="49C3F97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46" w:type="pct"/>
                  <w:tcBorders>
                    <w:tl2br w:val="nil"/>
                    <w:tr2bl w:val="nil"/>
                  </w:tcBorders>
                  <w:vAlign w:val="center"/>
                </w:tcPr>
                <w:p w14:paraId="06F95CCA">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6064A3D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30A9D174">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1AA52BF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1DC805B1">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26.4 </w:t>
                  </w:r>
                </w:p>
              </w:tc>
              <w:tc>
                <w:tcPr>
                  <w:tcW w:w="460" w:type="dxa"/>
                  <w:tcBorders>
                    <w:tl2br w:val="nil"/>
                    <w:tr2bl w:val="nil"/>
                  </w:tcBorders>
                  <w:vAlign w:val="center"/>
                </w:tcPr>
                <w:p w14:paraId="0DF98ADF">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42.0 </w:t>
                  </w:r>
                </w:p>
              </w:tc>
              <w:tc>
                <w:tcPr>
                  <w:tcW w:w="460" w:type="dxa"/>
                  <w:tcBorders>
                    <w:tl2br w:val="nil"/>
                    <w:tr2bl w:val="nil"/>
                  </w:tcBorders>
                  <w:vAlign w:val="center"/>
                </w:tcPr>
                <w:p w14:paraId="50ED6BE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13.5 </w:t>
                  </w:r>
                </w:p>
              </w:tc>
              <w:tc>
                <w:tcPr>
                  <w:tcW w:w="462" w:type="dxa"/>
                  <w:tcBorders>
                    <w:tl2br w:val="nil"/>
                    <w:tr2bl w:val="nil"/>
                  </w:tcBorders>
                  <w:vAlign w:val="center"/>
                </w:tcPr>
                <w:p w14:paraId="1810FF38">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12.2 </w:t>
                  </w:r>
                </w:p>
              </w:tc>
              <w:tc>
                <w:tcPr>
                  <w:tcW w:w="219" w:type="pct"/>
                  <w:tcBorders>
                    <w:tl2br w:val="nil"/>
                    <w:tr2bl w:val="nil"/>
                  </w:tcBorders>
                  <w:vAlign w:val="center"/>
                </w:tcPr>
                <w:p w14:paraId="5DC31745">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r w14:paraId="606BE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9" w:type="pct"/>
                  <w:tcBorders>
                    <w:tl2br w:val="nil"/>
                    <w:tr2bl w:val="nil"/>
                  </w:tcBorders>
                  <w:vAlign w:val="center"/>
                </w:tcPr>
                <w:p w14:paraId="790DB49C">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5" w:type="pct"/>
                  <w:vMerge w:val="continue"/>
                  <w:tcBorders>
                    <w:tl2br w:val="nil"/>
                    <w:tr2bl w:val="nil"/>
                  </w:tcBorders>
                  <w:vAlign w:val="center"/>
                </w:tcPr>
                <w:p w14:paraId="109E58DD">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46" w:type="pct"/>
                  <w:tcBorders>
                    <w:tl2br w:val="nil"/>
                    <w:tr2bl w:val="nil"/>
                  </w:tcBorders>
                  <w:vAlign w:val="center"/>
                </w:tcPr>
                <w:p w14:paraId="282B8E11">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角磨机</w:t>
                  </w:r>
                </w:p>
              </w:tc>
              <w:tc>
                <w:tcPr>
                  <w:tcW w:w="245" w:type="pct"/>
                  <w:tcBorders>
                    <w:tl2br w:val="nil"/>
                    <w:tr2bl w:val="nil"/>
                  </w:tcBorders>
                  <w:vAlign w:val="center"/>
                </w:tcPr>
                <w:p w14:paraId="79ABB014">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220" w:type="pct"/>
                  <w:tcBorders>
                    <w:tl2br w:val="nil"/>
                    <w:tr2bl w:val="nil"/>
                  </w:tcBorders>
                  <w:vAlign w:val="center"/>
                </w:tcPr>
                <w:p w14:paraId="73D3CD65">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253" w:type="pct"/>
                  <w:vMerge w:val="continue"/>
                  <w:tcBorders>
                    <w:tl2br w:val="nil"/>
                    <w:tr2bl w:val="nil"/>
                  </w:tcBorders>
                  <w:vAlign w:val="center"/>
                </w:tcPr>
                <w:p w14:paraId="3CA5FE0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tcBorders>
                    <w:tl2br w:val="nil"/>
                    <w:tr2bl w:val="nil"/>
                  </w:tcBorders>
                  <w:vAlign w:val="center"/>
                </w:tcPr>
                <w:p w14:paraId="44F89A59">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15</w:t>
                  </w:r>
                </w:p>
              </w:tc>
              <w:tc>
                <w:tcPr>
                  <w:tcW w:w="150" w:type="pct"/>
                  <w:tcBorders>
                    <w:tl2br w:val="nil"/>
                    <w:tr2bl w:val="nil"/>
                  </w:tcBorders>
                  <w:vAlign w:val="center"/>
                </w:tcPr>
                <w:p w14:paraId="2542CD08">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81</w:t>
                  </w:r>
                </w:p>
              </w:tc>
              <w:tc>
                <w:tcPr>
                  <w:tcW w:w="150" w:type="pct"/>
                  <w:tcBorders>
                    <w:tl2br w:val="nil"/>
                    <w:tr2bl w:val="nil"/>
                  </w:tcBorders>
                  <w:vAlign w:val="center"/>
                </w:tcPr>
                <w:p w14:paraId="58FE79D1">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149</w:t>
                  </w:r>
                </w:p>
              </w:tc>
              <w:tc>
                <w:tcPr>
                  <w:tcW w:w="150" w:type="pct"/>
                  <w:tcBorders>
                    <w:tl2br w:val="nil"/>
                    <w:tr2bl w:val="nil"/>
                  </w:tcBorders>
                  <w:vAlign w:val="center"/>
                </w:tcPr>
                <w:p w14:paraId="520E3126">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5A0671B0">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14</w:t>
                  </w:r>
                </w:p>
              </w:tc>
              <w:tc>
                <w:tcPr>
                  <w:tcW w:w="153" w:type="pct"/>
                  <w:tcBorders>
                    <w:tl2br w:val="nil"/>
                    <w:tr2bl w:val="nil"/>
                  </w:tcBorders>
                  <w:vAlign w:val="center"/>
                </w:tcPr>
                <w:p w14:paraId="7C1A9823">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153" w:type="pct"/>
                  <w:tcBorders>
                    <w:tl2br w:val="nil"/>
                    <w:tr2bl w:val="nil"/>
                  </w:tcBorders>
                  <w:vAlign w:val="center"/>
                </w:tcPr>
                <w:p w14:paraId="5BA0D5AC">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51</w:t>
                  </w:r>
                </w:p>
              </w:tc>
              <w:tc>
                <w:tcPr>
                  <w:tcW w:w="153" w:type="pct"/>
                  <w:tcBorders>
                    <w:tl2br w:val="nil"/>
                    <w:tr2bl w:val="nil"/>
                  </w:tcBorders>
                  <w:vAlign w:val="center"/>
                </w:tcPr>
                <w:p w14:paraId="3A868B6F">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w:t>
                  </w:r>
                </w:p>
              </w:tc>
              <w:tc>
                <w:tcPr>
                  <w:tcW w:w="453" w:type="dxa"/>
                  <w:tcBorders>
                    <w:tl2br w:val="nil"/>
                    <w:tr2bl w:val="nil"/>
                  </w:tcBorders>
                  <w:vAlign w:val="center"/>
                </w:tcPr>
                <w:p w14:paraId="67786CF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37.1 </w:t>
                  </w:r>
                </w:p>
              </w:tc>
              <w:tc>
                <w:tcPr>
                  <w:tcW w:w="453" w:type="dxa"/>
                  <w:tcBorders>
                    <w:tl2br w:val="nil"/>
                    <w:tr2bl w:val="nil"/>
                  </w:tcBorders>
                  <w:vAlign w:val="center"/>
                </w:tcPr>
                <w:p w14:paraId="4288658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54.0 </w:t>
                  </w:r>
                </w:p>
              </w:tc>
              <w:tc>
                <w:tcPr>
                  <w:tcW w:w="453" w:type="dxa"/>
                  <w:tcBorders>
                    <w:tl2br w:val="nil"/>
                    <w:tr2bl w:val="nil"/>
                  </w:tcBorders>
                  <w:vAlign w:val="center"/>
                </w:tcPr>
                <w:p w14:paraId="6590DE6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25.8 </w:t>
                  </w:r>
                </w:p>
              </w:tc>
              <w:tc>
                <w:tcPr>
                  <w:tcW w:w="456" w:type="dxa"/>
                  <w:tcBorders>
                    <w:tl2br w:val="nil"/>
                    <w:tr2bl w:val="nil"/>
                  </w:tcBorders>
                  <w:vAlign w:val="center"/>
                </w:tcPr>
                <w:p w14:paraId="3A1CD7E4">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24.2 </w:t>
                  </w:r>
                </w:p>
              </w:tc>
              <w:tc>
                <w:tcPr>
                  <w:tcW w:w="187" w:type="pct"/>
                  <w:vMerge w:val="continue"/>
                  <w:tcBorders>
                    <w:tl2br w:val="nil"/>
                    <w:tr2bl w:val="nil"/>
                  </w:tcBorders>
                  <w:vAlign w:val="center"/>
                </w:tcPr>
                <w:p w14:paraId="371760A7">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46" w:type="pct"/>
                  <w:tcBorders>
                    <w:tl2br w:val="nil"/>
                    <w:tr2bl w:val="nil"/>
                  </w:tcBorders>
                  <w:vAlign w:val="center"/>
                </w:tcPr>
                <w:p w14:paraId="0175B7C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4C31420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44FC18A2">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68E060C8">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2F8FF143">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25.1 </w:t>
                  </w:r>
                </w:p>
              </w:tc>
              <w:tc>
                <w:tcPr>
                  <w:tcW w:w="460" w:type="dxa"/>
                  <w:tcBorders>
                    <w:tl2br w:val="nil"/>
                    <w:tr2bl w:val="nil"/>
                  </w:tcBorders>
                  <w:vAlign w:val="center"/>
                </w:tcPr>
                <w:p w14:paraId="7D233394">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42.0 </w:t>
                  </w:r>
                </w:p>
              </w:tc>
              <w:tc>
                <w:tcPr>
                  <w:tcW w:w="460" w:type="dxa"/>
                  <w:tcBorders>
                    <w:tl2br w:val="nil"/>
                    <w:tr2bl w:val="nil"/>
                  </w:tcBorders>
                  <w:vAlign w:val="center"/>
                </w:tcPr>
                <w:p w14:paraId="22AC99C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13.8 </w:t>
                  </w:r>
                </w:p>
              </w:tc>
              <w:tc>
                <w:tcPr>
                  <w:tcW w:w="462" w:type="dxa"/>
                  <w:tcBorders>
                    <w:tl2br w:val="nil"/>
                    <w:tr2bl w:val="nil"/>
                  </w:tcBorders>
                  <w:vAlign w:val="center"/>
                </w:tcPr>
                <w:p w14:paraId="1A0518F6">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12.2 </w:t>
                  </w:r>
                </w:p>
              </w:tc>
              <w:tc>
                <w:tcPr>
                  <w:tcW w:w="219" w:type="pct"/>
                  <w:tcBorders>
                    <w:tl2br w:val="nil"/>
                    <w:tr2bl w:val="nil"/>
                  </w:tcBorders>
                  <w:vAlign w:val="center"/>
                </w:tcPr>
                <w:p w14:paraId="5387D9EE">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r w14:paraId="78F38E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9" w:type="pct"/>
                  <w:tcBorders>
                    <w:tl2br w:val="nil"/>
                    <w:tr2bl w:val="nil"/>
                  </w:tcBorders>
                  <w:vAlign w:val="center"/>
                </w:tcPr>
                <w:p w14:paraId="4B688FC7">
                  <w:pPr>
                    <w:pStyle w:val="35"/>
                    <w:keepNext w:val="0"/>
                    <w:keepLines w:val="0"/>
                    <w:pageBreakBefore w:val="0"/>
                    <w:widowControl w:val="0"/>
                    <w:numPr>
                      <w:ilvl w:val="0"/>
                      <w:numId w:val="35"/>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5" w:type="pct"/>
                  <w:tcBorders>
                    <w:tl2br w:val="nil"/>
                    <w:tr2bl w:val="nil"/>
                  </w:tcBorders>
                  <w:vAlign w:val="center"/>
                </w:tcPr>
                <w:p w14:paraId="7B05F4A4">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综合楼</w:t>
                  </w:r>
                </w:p>
              </w:tc>
              <w:tc>
                <w:tcPr>
                  <w:tcW w:w="346" w:type="pct"/>
                  <w:tcBorders>
                    <w:tl2br w:val="nil"/>
                    <w:tr2bl w:val="nil"/>
                  </w:tcBorders>
                  <w:vAlign w:val="center"/>
                </w:tcPr>
                <w:p w14:paraId="5F04189C">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油烟净化器风机</w:t>
                  </w:r>
                </w:p>
              </w:tc>
              <w:tc>
                <w:tcPr>
                  <w:tcW w:w="245" w:type="pct"/>
                  <w:tcBorders>
                    <w:tl2br w:val="nil"/>
                    <w:tr2bl w:val="nil"/>
                  </w:tcBorders>
                  <w:vAlign w:val="center"/>
                </w:tcPr>
                <w:p w14:paraId="72D35C2D">
                  <w:pPr>
                    <w:pStyle w:val="4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48" w:leftChars="-20" w:right="-48" w:rightChars="-2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风机风量</w:t>
                  </w:r>
                  <w:r>
                    <w:rPr>
                      <w:rFonts w:hint="default" w:ascii="Times New Roman" w:hAnsi="Times New Roman" w:eastAsia="宋体" w:cs="Times New Roman"/>
                      <w:bCs/>
                      <w:color w:val="auto"/>
                      <w:sz w:val="21"/>
                      <w:szCs w:val="21"/>
                      <w:highlight w:val="none"/>
                      <w:lang w:val="en-US" w:eastAsia="zh-CN"/>
                    </w:rPr>
                    <w:t>10000</w:t>
                  </w:r>
                  <w:r>
                    <w:rPr>
                      <w:rFonts w:hint="default" w:ascii="Times New Roman" w:hAnsi="Times New Roman" w:cs="Times New Roman"/>
                      <w:bCs/>
                      <w:color w:val="auto"/>
                      <w:kern w:val="2"/>
                      <w:sz w:val="21"/>
                      <w:szCs w:val="21"/>
                      <w:highlight w:val="none"/>
                      <w:lang w:val="en-US" w:eastAsia="zh-CN" w:bidi="ar-SA"/>
                    </w:rPr>
                    <w:t>m</w:t>
                  </w:r>
                  <w:r>
                    <w:rPr>
                      <w:rFonts w:hint="default" w:ascii="Times New Roman" w:hAnsi="Times New Roman" w:cs="Times New Roman"/>
                      <w:bCs/>
                      <w:color w:val="auto"/>
                      <w:kern w:val="2"/>
                      <w:sz w:val="21"/>
                      <w:szCs w:val="21"/>
                      <w:highlight w:val="none"/>
                      <w:vertAlign w:val="superscript"/>
                      <w:lang w:val="en-US" w:eastAsia="zh-CN" w:bidi="ar-SA"/>
                    </w:rPr>
                    <w:t>3</w:t>
                  </w:r>
                  <w:r>
                    <w:rPr>
                      <w:rFonts w:hint="default" w:ascii="Times New Roman" w:hAnsi="Times New Roman" w:cs="Times New Roman"/>
                      <w:bCs/>
                      <w:color w:val="auto"/>
                      <w:kern w:val="2"/>
                      <w:sz w:val="21"/>
                      <w:szCs w:val="21"/>
                      <w:highlight w:val="none"/>
                      <w:vertAlign w:val="baseline"/>
                      <w:lang w:val="en-US" w:eastAsia="zh-CN" w:bidi="ar-SA"/>
                    </w:rPr>
                    <w:t>/h</w:t>
                  </w:r>
                </w:p>
              </w:tc>
              <w:tc>
                <w:tcPr>
                  <w:tcW w:w="220" w:type="pct"/>
                  <w:tcBorders>
                    <w:tl2br w:val="nil"/>
                    <w:tr2bl w:val="nil"/>
                  </w:tcBorders>
                  <w:vAlign w:val="center"/>
                </w:tcPr>
                <w:p w14:paraId="70330D87">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90</w:t>
                  </w:r>
                </w:p>
              </w:tc>
              <w:tc>
                <w:tcPr>
                  <w:tcW w:w="253" w:type="pct"/>
                  <w:tcBorders>
                    <w:tl2br w:val="nil"/>
                    <w:tr2bl w:val="nil"/>
                  </w:tcBorders>
                  <w:vAlign w:val="center"/>
                </w:tcPr>
                <w:p w14:paraId="45C3380A">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选用低噪声设备，基础安装减振垫</w:t>
                  </w:r>
                </w:p>
              </w:tc>
              <w:tc>
                <w:tcPr>
                  <w:tcW w:w="193" w:type="pct"/>
                  <w:tcBorders>
                    <w:tl2br w:val="nil"/>
                    <w:tr2bl w:val="nil"/>
                  </w:tcBorders>
                  <w:vAlign w:val="center"/>
                </w:tcPr>
                <w:p w14:paraId="7D1D01C0">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sz w:val="21"/>
                      <w:szCs w:val="21"/>
                      <w:highlight w:val="none"/>
                      <w:lang w:val="en-US" w:eastAsia="zh-CN"/>
                    </w:rPr>
                    <w:t>5</w:t>
                  </w:r>
                </w:p>
              </w:tc>
              <w:tc>
                <w:tcPr>
                  <w:tcW w:w="150" w:type="pct"/>
                  <w:tcBorders>
                    <w:tl2br w:val="nil"/>
                    <w:tr2bl w:val="nil"/>
                  </w:tcBorders>
                  <w:vAlign w:val="center"/>
                </w:tcPr>
                <w:p w14:paraId="6081204E">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61</w:t>
                  </w:r>
                </w:p>
              </w:tc>
              <w:tc>
                <w:tcPr>
                  <w:tcW w:w="150" w:type="pct"/>
                  <w:tcBorders>
                    <w:tl2br w:val="nil"/>
                    <w:tr2bl w:val="nil"/>
                  </w:tcBorders>
                  <w:vAlign w:val="center"/>
                </w:tcPr>
                <w:p w14:paraId="301774B4">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28</w:t>
                  </w:r>
                </w:p>
              </w:tc>
              <w:tc>
                <w:tcPr>
                  <w:tcW w:w="150" w:type="pct"/>
                  <w:tcBorders>
                    <w:tl2br w:val="nil"/>
                    <w:tr2bl w:val="nil"/>
                  </w:tcBorders>
                  <w:vAlign w:val="center"/>
                </w:tcPr>
                <w:p w14:paraId="4EB42F19">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c>
                <w:tcPr>
                  <w:tcW w:w="153" w:type="pct"/>
                  <w:tcBorders>
                    <w:tl2br w:val="nil"/>
                    <w:tr2bl w:val="nil"/>
                  </w:tcBorders>
                  <w:vAlign w:val="center"/>
                </w:tcPr>
                <w:p w14:paraId="6C958F3E">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w:t>
                  </w:r>
                </w:p>
              </w:tc>
              <w:tc>
                <w:tcPr>
                  <w:tcW w:w="153" w:type="pct"/>
                  <w:tcBorders>
                    <w:tl2br w:val="nil"/>
                    <w:tr2bl w:val="nil"/>
                  </w:tcBorders>
                  <w:vAlign w:val="center"/>
                </w:tcPr>
                <w:p w14:paraId="490713AB">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22</w:t>
                  </w:r>
                </w:p>
              </w:tc>
              <w:tc>
                <w:tcPr>
                  <w:tcW w:w="153" w:type="pct"/>
                  <w:tcBorders>
                    <w:tl2br w:val="nil"/>
                    <w:tr2bl w:val="nil"/>
                  </w:tcBorders>
                  <w:vAlign w:val="center"/>
                </w:tcPr>
                <w:p w14:paraId="0FEEFE9D">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26</w:t>
                  </w:r>
                </w:p>
              </w:tc>
              <w:tc>
                <w:tcPr>
                  <w:tcW w:w="153" w:type="pct"/>
                  <w:tcBorders>
                    <w:tl2br w:val="nil"/>
                    <w:tr2bl w:val="nil"/>
                  </w:tcBorders>
                  <w:vAlign w:val="center"/>
                </w:tcPr>
                <w:p w14:paraId="3431EAD0">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453" w:type="dxa"/>
                  <w:tcBorders>
                    <w:tl2br w:val="nil"/>
                    <w:tr2bl w:val="nil"/>
                  </w:tcBorders>
                  <w:vAlign w:val="center"/>
                </w:tcPr>
                <w:p w14:paraId="1F6B4AA1">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453" w:type="dxa"/>
                  <w:tcBorders>
                    <w:tl2br w:val="nil"/>
                    <w:tr2bl w:val="nil"/>
                  </w:tcBorders>
                  <w:vAlign w:val="center"/>
                </w:tcPr>
                <w:p w14:paraId="435C8EF3">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58.2 </w:t>
                  </w:r>
                </w:p>
              </w:tc>
              <w:tc>
                <w:tcPr>
                  <w:tcW w:w="453" w:type="dxa"/>
                  <w:tcBorders>
                    <w:tl2br w:val="nil"/>
                    <w:tr2bl w:val="nil"/>
                  </w:tcBorders>
                  <w:vAlign w:val="center"/>
                </w:tcPr>
                <w:p w14:paraId="132D3A4D">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56.7 </w:t>
                  </w:r>
                </w:p>
              </w:tc>
              <w:tc>
                <w:tcPr>
                  <w:tcW w:w="456" w:type="dxa"/>
                  <w:tcBorders>
                    <w:tl2br w:val="nil"/>
                    <w:tr2bl w:val="nil"/>
                  </w:tcBorders>
                  <w:vAlign w:val="center"/>
                </w:tcPr>
                <w:p w14:paraId="29C4E09E">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75.5 </w:t>
                  </w:r>
                </w:p>
              </w:tc>
              <w:tc>
                <w:tcPr>
                  <w:tcW w:w="187" w:type="pct"/>
                  <w:vMerge w:val="continue"/>
                  <w:tcBorders>
                    <w:tl2br w:val="nil"/>
                    <w:tr2bl w:val="nil"/>
                  </w:tcBorders>
                  <w:vAlign w:val="center"/>
                </w:tcPr>
                <w:p w14:paraId="24B8BCC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46" w:type="pct"/>
                  <w:tcBorders>
                    <w:tl2br w:val="nil"/>
                    <w:tr2bl w:val="nil"/>
                  </w:tcBorders>
                  <w:vAlign w:val="center"/>
                </w:tcPr>
                <w:p w14:paraId="36DB1409">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57AE20F9">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768DA24A">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146" w:type="pct"/>
                  <w:tcBorders>
                    <w:tl2br w:val="nil"/>
                    <w:tr2bl w:val="nil"/>
                  </w:tcBorders>
                  <w:vAlign w:val="center"/>
                </w:tcPr>
                <w:p w14:paraId="7D495517">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w:t>
                  </w:r>
                </w:p>
              </w:tc>
              <w:tc>
                <w:tcPr>
                  <w:tcW w:w="460" w:type="dxa"/>
                  <w:tcBorders>
                    <w:tl2br w:val="nil"/>
                    <w:tr2bl w:val="nil"/>
                  </w:tcBorders>
                  <w:vAlign w:val="center"/>
                </w:tcPr>
                <w:p w14:paraId="225CF6CF">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43.5 </w:t>
                  </w:r>
                </w:p>
              </w:tc>
              <w:tc>
                <w:tcPr>
                  <w:tcW w:w="460" w:type="dxa"/>
                  <w:tcBorders>
                    <w:tl2br w:val="nil"/>
                    <w:tr2bl w:val="nil"/>
                  </w:tcBorders>
                  <w:vAlign w:val="center"/>
                </w:tcPr>
                <w:p w14:paraId="6EBE5E5C">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46.2 </w:t>
                  </w:r>
                </w:p>
              </w:tc>
              <w:tc>
                <w:tcPr>
                  <w:tcW w:w="460" w:type="dxa"/>
                  <w:tcBorders>
                    <w:tl2br w:val="nil"/>
                    <w:tr2bl w:val="nil"/>
                  </w:tcBorders>
                  <w:vAlign w:val="center"/>
                </w:tcPr>
                <w:p w14:paraId="65446743">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44.7 </w:t>
                  </w:r>
                </w:p>
              </w:tc>
              <w:tc>
                <w:tcPr>
                  <w:tcW w:w="462" w:type="dxa"/>
                  <w:tcBorders>
                    <w:tl2br w:val="nil"/>
                    <w:tr2bl w:val="nil"/>
                  </w:tcBorders>
                  <w:vAlign w:val="center"/>
                </w:tcPr>
                <w:p w14:paraId="04929790">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63.5 </w:t>
                  </w:r>
                </w:p>
              </w:tc>
              <w:tc>
                <w:tcPr>
                  <w:tcW w:w="219" w:type="pct"/>
                  <w:tcBorders>
                    <w:tl2br w:val="nil"/>
                    <w:tr2bl w:val="nil"/>
                  </w:tcBorders>
                  <w:vAlign w:val="center"/>
                </w:tcPr>
                <w:p w14:paraId="55D4942E">
                  <w:pPr>
                    <w:keepNext w:val="0"/>
                    <w:keepLines w:val="0"/>
                    <w:pageBreakBefore w:val="0"/>
                    <w:widowControl w:val="0"/>
                    <w:kinsoku/>
                    <w:wordWrap/>
                    <w:overflowPunct/>
                    <w:topLinePunct w:val="0"/>
                    <w:autoSpaceDE w:val="0"/>
                    <w:autoSpaceDN w:val="0"/>
                    <w:bidi w:val="0"/>
                    <w:adjustRightInd/>
                    <w:spacing w:before="32" w:beforeLines="10" w:after="32" w:afterLines="10"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r>
          </w:tbl>
          <w:p w14:paraId="436B5390">
            <w:pPr>
              <w:ind w:left="0" w:leftChars="0" w:firstLine="0" w:firstLineChars="0"/>
              <w:rPr>
                <w:color w:val="auto"/>
                <w:highlight w:val="none"/>
                <w:vertAlign w:val="baseline"/>
              </w:rPr>
            </w:pPr>
          </w:p>
          <w:p w14:paraId="4F42070C">
            <w:pPr>
              <w:ind w:left="0" w:leftChars="0" w:firstLine="0" w:firstLineChars="0"/>
              <w:rPr>
                <w:color w:val="auto"/>
                <w:highlight w:val="none"/>
                <w:vertAlign w:val="baseline"/>
              </w:rPr>
            </w:pPr>
          </w:p>
          <w:p w14:paraId="1E92E55C">
            <w:pPr>
              <w:ind w:left="0" w:leftChars="0" w:firstLine="0" w:firstLineChars="0"/>
              <w:rPr>
                <w:color w:val="auto"/>
                <w:highlight w:val="none"/>
                <w:vertAlign w:val="baseline"/>
              </w:rPr>
            </w:pPr>
          </w:p>
          <w:p w14:paraId="370B5950">
            <w:pPr>
              <w:ind w:left="0" w:leftChars="0" w:firstLine="0" w:firstLineChars="0"/>
              <w:rPr>
                <w:color w:val="auto"/>
                <w:highlight w:val="none"/>
                <w:vertAlign w:val="baseline"/>
              </w:rPr>
            </w:pPr>
          </w:p>
          <w:p w14:paraId="66A28E9E">
            <w:pPr>
              <w:ind w:left="0" w:leftChars="0" w:firstLine="0" w:firstLineChars="0"/>
              <w:rPr>
                <w:color w:val="auto"/>
                <w:highlight w:val="none"/>
                <w:vertAlign w:val="baseline"/>
              </w:rPr>
            </w:pPr>
          </w:p>
          <w:p w14:paraId="229CFFAC">
            <w:pPr>
              <w:ind w:left="0" w:leftChars="0" w:firstLine="0" w:firstLineChars="0"/>
              <w:rPr>
                <w:color w:val="auto"/>
                <w:highlight w:val="none"/>
                <w:vertAlign w:val="baseline"/>
              </w:rPr>
            </w:pPr>
          </w:p>
          <w:p w14:paraId="4F34B6A2">
            <w:pPr>
              <w:ind w:left="0" w:leftChars="0" w:firstLine="0" w:firstLineChars="0"/>
              <w:rPr>
                <w:color w:val="auto"/>
                <w:highlight w:val="none"/>
                <w:vertAlign w:val="baseline"/>
              </w:rPr>
            </w:pPr>
          </w:p>
          <w:p w14:paraId="6948DEF2">
            <w:pPr>
              <w:ind w:left="0" w:leftChars="0" w:firstLine="0" w:firstLineChars="0"/>
              <w:rPr>
                <w:color w:val="auto"/>
                <w:highlight w:val="none"/>
                <w:vertAlign w:val="baseline"/>
              </w:rPr>
            </w:pPr>
          </w:p>
          <w:p w14:paraId="49B5FA78">
            <w:pPr>
              <w:ind w:left="0" w:leftChars="0" w:firstLine="0" w:firstLineChars="0"/>
              <w:rPr>
                <w:color w:val="auto"/>
                <w:highlight w:val="none"/>
                <w:vertAlign w:val="baseline"/>
              </w:rPr>
            </w:pPr>
          </w:p>
          <w:p w14:paraId="27A379DA">
            <w:pPr>
              <w:ind w:left="0" w:leftChars="0" w:firstLine="0" w:firstLineChars="0"/>
              <w:rPr>
                <w:color w:val="auto"/>
                <w:highlight w:val="none"/>
                <w:vertAlign w:val="baseline"/>
              </w:rPr>
            </w:pPr>
          </w:p>
          <w:p w14:paraId="135134E2">
            <w:pPr>
              <w:ind w:left="0" w:leftChars="0" w:firstLine="0" w:firstLineChars="0"/>
              <w:rPr>
                <w:color w:val="auto"/>
                <w:highlight w:val="none"/>
                <w:vertAlign w:val="baseline"/>
              </w:rPr>
            </w:pPr>
          </w:p>
          <w:p w14:paraId="5A4F8E0C">
            <w:pPr>
              <w:ind w:left="0" w:leftChars="0" w:firstLine="0" w:firstLineChars="0"/>
              <w:rPr>
                <w:color w:val="auto"/>
                <w:highlight w:val="none"/>
                <w:vertAlign w:val="baseline"/>
              </w:rPr>
            </w:pPr>
          </w:p>
        </w:tc>
      </w:tr>
    </w:tbl>
    <w:p w14:paraId="0E7964B5">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8636"/>
      </w:tblGrid>
      <w:tr w14:paraId="46180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tcPr>
          <w:p w14:paraId="0E4100D3">
            <w:pPr>
              <w:rPr>
                <w:color w:val="auto"/>
                <w:highlight w:val="none"/>
                <w:vertAlign w:val="baseline"/>
              </w:rPr>
            </w:pPr>
          </w:p>
        </w:tc>
        <w:tc>
          <w:tcPr>
            <w:tcW w:w="8612" w:type="dxa"/>
            <w:tcBorders>
              <w:tl2br w:val="nil"/>
              <w:tr2bl w:val="nil"/>
            </w:tcBorders>
          </w:tcPr>
          <w:p w14:paraId="6415A816">
            <w:pPr>
              <w:keepNext w:val="0"/>
              <w:keepLines w:val="0"/>
              <w:pageBreakBefore w:val="0"/>
              <w:widowControl w:val="0"/>
              <w:numPr>
                <w:ilvl w:val="0"/>
                <w:numId w:val="36"/>
              </w:numPr>
              <w:kinsoku/>
              <w:wordWrap/>
              <w:overflowPunct/>
              <w:topLinePunct w:val="0"/>
              <w:autoSpaceDE w:val="0"/>
              <w:autoSpaceDN w:val="0"/>
              <w:bidi w:val="0"/>
              <w:adjustRightInd w:val="0"/>
              <w:snapToGrid/>
              <w:spacing w:line="480" w:lineRule="exact"/>
              <w:ind w:firstLine="480" w:firstLineChars="200"/>
              <w:textAlignment w:val="auto"/>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噪声预测</w:t>
            </w:r>
          </w:p>
          <w:p w14:paraId="7993869E">
            <w:pPr>
              <w:bidi w:val="0"/>
              <w:rPr>
                <w:rFonts w:hint="default"/>
                <w:color w:val="auto"/>
                <w:highlight w:val="none"/>
              </w:rPr>
            </w:pPr>
            <w:r>
              <w:rPr>
                <w:rFonts w:hint="default"/>
                <w:color w:val="auto"/>
                <w:highlight w:val="none"/>
              </w:rPr>
              <w:t>预测模</w:t>
            </w:r>
            <w:r>
              <w:rPr>
                <w:rFonts w:hint="default"/>
                <w:color w:val="auto"/>
                <w:highlight w:val="none"/>
                <w:lang w:val="en-US" w:eastAsia="zh-CN"/>
              </w:rPr>
              <w:t>型</w:t>
            </w:r>
            <w:r>
              <w:rPr>
                <w:rFonts w:hint="default"/>
                <w:color w:val="auto"/>
                <w:highlight w:val="none"/>
              </w:rPr>
              <w:t>采用《环境影响评价技术导则</w:t>
            </w:r>
            <w:r>
              <w:rPr>
                <w:rFonts w:hint="default"/>
                <w:color w:val="auto"/>
                <w:highlight w:val="none"/>
                <w:lang w:val="en-US" w:eastAsia="zh-CN"/>
              </w:rPr>
              <w:t xml:space="preserve"> 声环境</w:t>
            </w:r>
            <w:r>
              <w:rPr>
                <w:rFonts w:hint="default"/>
                <w:color w:val="auto"/>
                <w:highlight w:val="none"/>
              </w:rPr>
              <w:t>》（HJ2.4-</w:t>
            </w:r>
            <w:r>
              <w:rPr>
                <w:rFonts w:hint="default"/>
                <w:color w:val="auto"/>
                <w:highlight w:val="none"/>
                <w:lang w:val="en-US" w:eastAsia="zh-CN"/>
              </w:rPr>
              <w:t>2021</w:t>
            </w:r>
            <w:r>
              <w:rPr>
                <w:rFonts w:hint="default"/>
                <w:color w:val="auto"/>
                <w:highlight w:val="none"/>
              </w:rPr>
              <w:t>）中</w:t>
            </w:r>
            <w:r>
              <w:rPr>
                <w:rFonts w:hint="default"/>
                <w:color w:val="auto"/>
                <w:highlight w:val="none"/>
                <w:lang w:val="en-US" w:eastAsia="zh-CN"/>
              </w:rPr>
              <w:t>附录A和附录B</w:t>
            </w:r>
            <w:r>
              <w:rPr>
                <w:rFonts w:hint="default"/>
                <w:color w:val="auto"/>
                <w:highlight w:val="none"/>
              </w:rPr>
              <w:t>推荐的工业噪声预测模</w:t>
            </w:r>
            <w:r>
              <w:rPr>
                <w:rFonts w:hint="default"/>
                <w:color w:val="auto"/>
                <w:highlight w:val="none"/>
                <w:lang w:val="en-US" w:eastAsia="zh-CN"/>
              </w:rPr>
              <w:t>型</w:t>
            </w:r>
            <w:r>
              <w:rPr>
                <w:rFonts w:hint="default"/>
                <w:color w:val="auto"/>
                <w:highlight w:val="none"/>
              </w:rPr>
              <w:t>。预测计算只考虑工程各声源所在厂房围护结构的屏蔽效应和声源至受声点的几何发散衰减，不考虑空气吸收及影响较小的附加衰减。</w:t>
            </w:r>
          </w:p>
          <w:p w14:paraId="301EB469">
            <w:pPr>
              <w:bidi w:val="0"/>
              <w:rPr>
                <w:rFonts w:hint="default"/>
                <w:color w:val="auto"/>
                <w:highlight w:val="none"/>
              </w:rPr>
            </w:pPr>
            <w:r>
              <w:rPr>
                <w:rFonts w:hint="default"/>
                <w:color w:val="auto"/>
                <w:highlight w:val="none"/>
              </w:rPr>
              <w:t>采用预测模式如下：</w:t>
            </w:r>
          </w:p>
          <w:p w14:paraId="24758ED3">
            <w:pPr>
              <w:bidi w:val="0"/>
              <w:rPr>
                <w:rFonts w:hint="default" w:ascii="Times New Roman" w:hAnsi="Times New Roman" w:cs="Times New Roman"/>
                <w:snapToGrid w:val="0"/>
                <w:color w:val="auto"/>
                <w:sz w:val="24"/>
                <w:highlight w:val="none"/>
              </w:rPr>
            </w:pPr>
            <w:r>
              <w:rPr>
                <w:rFonts w:hint="default" w:ascii="Times New Roman" w:hAnsi="Times New Roman" w:cs="Times New Roman"/>
                <w:snapToGrid w:val="0"/>
                <w:color w:val="auto"/>
                <w:sz w:val="24"/>
                <w:highlight w:val="none"/>
              </w:rPr>
              <w:fldChar w:fldCharType="begin"/>
            </w:r>
            <w:r>
              <w:rPr>
                <w:rFonts w:hint="default" w:ascii="Times New Roman" w:hAnsi="Times New Roman" w:cs="Times New Roman"/>
                <w:snapToGrid w:val="0"/>
                <w:color w:val="auto"/>
                <w:sz w:val="24"/>
                <w:highlight w:val="none"/>
              </w:rPr>
              <w:instrText xml:space="preserve"> = 1 \* GB3 </w:instrText>
            </w:r>
            <w:r>
              <w:rPr>
                <w:rFonts w:hint="default" w:ascii="Times New Roman" w:hAnsi="Times New Roman" w:cs="Times New Roman"/>
                <w:snapToGrid w:val="0"/>
                <w:color w:val="auto"/>
                <w:sz w:val="24"/>
                <w:highlight w:val="none"/>
              </w:rPr>
              <w:fldChar w:fldCharType="separate"/>
            </w:r>
            <w:r>
              <w:rPr>
                <w:rFonts w:hint="default" w:ascii="Times New Roman" w:hAnsi="Times New Roman" w:cs="Times New Roman"/>
                <w:snapToGrid w:val="0"/>
                <w:color w:val="auto"/>
                <w:sz w:val="24"/>
                <w:highlight w:val="none"/>
              </w:rPr>
              <w:t>①</w:t>
            </w:r>
            <w:r>
              <w:rPr>
                <w:rFonts w:hint="default" w:ascii="Times New Roman" w:hAnsi="Times New Roman" w:cs="Times New Roman"/>
                <w:snapToGrid w:val="0"/>
                <w:color w:val="auto"/>
                <w:sz w:val="24"/>
                <w:highlight w:val="none"/>
              </w:rPr>
              <w:fldChar w:fldCharType="end"/>
            </w:r>
            <w:r>
              <w:rPr>
                <w:rFonts w:hint="default" w:ascii="Times New Roman" w:hAnsi="Times New Roman" w:cs="Times New Roman"/>
                <w:snapToGrid w:val="0"/>
                <w:color w:val="auto"/>
                <w:sz w:val="24"/>
                <w:highlight w:val="none"/>
              </w:rPr>
              <w:t>室外声源在预测点产生的声级计算模型</w:t>
            </w:r>
          </w:p>
          <w:p w14:paraId="46BBF38A">
            <w:pPr>
              <w:bidi w:val="0"/>
              <w:rPr>
                <w:rFonts w:hint="default"/>
                <w:color w:val="auto"/>
                <w:highlight w:val="none"/>
                <w:lang w:eastAsia="zh-CN"/>
              </w:rPr>
            </w:pPr>
            <w:r>
              <w:rPr>
                <w:rFonts w:hint="default"/>
                <w:color w:val="auto"/>
                <w:highlight w:val="none"/>
              </w:rPr>
              <w:t>室外声源在预测点产生的声级计算模型参照导则附录 A</w:t>
            </w:r>
            <w:r>
              <w:rPr>
                <w:rFonts w:hint="default"/>
                <w:color w:val="auto"/>
                <w:highlight w:val="none"/>
                <w:lang w:eastAsia="zh-CN"/>
              </w:rPr>
              <w:t>：</w:t>
            </w:r>
          </w:p>
          <w:p w14:paraId="1ADA59F3">
            <w:pPr>
              <w:pStyle w:val="6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position w:val="-14"/>
                <w:highlight w:val="none"/>
              </w:rPr>
              <w:object>
                <v:shape id="_x0000_i1026" o:spt="75" type="#_x0000_t75" style="height:20.1pt;width:268.5pt;" o:ole="t" filled="f" o:preferrelative="t" stroked="f" coordsize="21600,21600">
                  <v:path/>
                  <v:fill on="f" focussize="0,0"/>
                  <v:stroke on="f"/>
                  <v:imagedata r:id="rId23" o:title=""/>
                  <o:lock v:ext="edit" aspectratio="t"/>
                  <w10:wrap type="none"/>
                  <w10:anchorlock/>
                </v:shape>
                <o:OLEObject Type="Embed" ProgID="Equation.3" ShapeID="_x0000_i1026" DrawAspect="Content" ObjectID="_1468075726" r:id="rId22">
                  <o:LockedField>false</o:LockedField>
                </o:OLEObject>
              </w:object>
            </w:r>
          </w:p>
          <w:p w14:paraId="792DFD81">
            <w:pPr>
              <w:bidi w:val="0"/>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caps w:val="0"/>
                <w:color w:val="auto"/>
                <w:kern w:val="2"/>
                <w:sz w:val="24"/>
                <w:szCs w:val="24"/>
                <w:highlight w:val="none"/>
                <w:lang w:val="en-US" w:eastAsia="zh-CN" w:bidi="ar-SA"/>
              </w:rPr>
              <w:t>式中：</w:t>
            </w:r>
            <w:r>
              <w:rPr>
                <w:rFonts w:hint="default" w:ascii="Times New Roman" w:hAnsi="Times New Roman" w:eastAsia="宋体" w:cs="Times New Roman"/>
                <w:b w:val="0"/>
                <w:bCs w:val="0"/>
                <w:i/>
                <w:iCs/>
                <w:caps w:val="0"/>
                <w:color w:val="auto"/>
                <w:kern w:val="2"/>
                <w:sz w:val="24"/>
                <w:szCs w:val="24"/>
                <w:highlight w:val="none"/>
                <w:lang w:val="en-US" w:eastAsia="zh-CN" w:bidi="ar-SA"/>
              </w:rPr>
              <w:t>L</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p</w:t>
            </w: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caps w:val="0"/>
                <w:color w:val="auto"/>
                <w:kern w:val="2"/>
                <w:sz w:val="24"/>
                <w:szCs w:val="24"/>
                <w:highlight w:val="none"/>
                <w:lang w:val="en-US" w:eastAsia="zh-CN" w:bidi="ar-SA"/>
              </w:rPr>
              <w:t>──预测点处声压级，dB；</w:t>
            </w:r>
          </w:p>
          <w:p w14:paraId="06F6B42C">
            <w:pPr>
              <w:bidi w:val="0"/>
              <w:ind w:firstLine="1200" w:firstLineChars="500"/>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L</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p</w:t>
            </w: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0</w:t>
            </w:r>
            <w:r>
              <w:rPr>
                <w:rFonts w:hint="default" w:ascii="Times New Roman" w:hAnsi="Times New Roman" w:eastAsia="宋体" w:cs="Times New Roman"/>
                <w:b w:val="0"/>
                <w:bCs w:val="0"/>
                <w:i/>
                <w:iCs/>
                <w:caps w:val="0"/>
                <w:color w:val="auto"/>
                <w:kern w:val="2"/>
                <w:sz w:val="24"/>
                <w:szCs w:val="24"/>
                <w:highlight w:val="none"/>
                <w:lang w:val="en-US" w:eastAsia="zh-CN" w:bidi="ar-SA"/>
              </w:rPr>
              <w:t>)</w:t>
            </w:r>
            <w:r>
              <w:rPr>
                <w:rFonts w:hint="default" w:ascii="Times New Roman" w:hAnsi="Times New Roman" w:eastAsia="宋体" w:cs="Times New Roman"/>
                <w:b w:val="0"/>
                <w:bCs w:val="0"/>
                <w:caps w:val="0"/>
                <w:color w:val="auto"/>
                <w:kern w:val="2"/>
                <w:sz w:val="24"/>
                <w:szCs w:val="24"/>
                <w:highlight w:val="none"/>
                <w:lang w:val="en-US" w:eastAsia="zh-CN" w:bidi="ar-SA"/>
              </w:rPr>
              <w:t>—参考位置r</w:t>
            </w:r>
            <w:r>
              <w:rPr>
                <w:rFonts w:hint="default" w:ascii="Times New Roman" w:hAnsi="Times New Roman" w:eastAsia="宋体" w:cs="Times New Roman"/>
                <w:b w:val="0"/>
                <w:bCs w:val="0"/>
                <w:caps w:val="0"/>
                <w:color w:val="auto"/>
                <w:kern w:val="2"/>
                <w:sz w:val="24"/>
                <w:szCs w:val="24"/>
                <w:highlight w:val="none"/>
                <w:vertAlign w:val="subscript"/>
                <w:lang w:val="en-US" w:eastAsia="zh-CN" w:bidi="ar-SA"/>
              </w:rPr>
              <w:t>0</w:t>
            </w:r>
            <w:r>
              <w:rPr>
                <w:rFonts w:hint="default" w:ascii="Times New Roman" w:hAnsi="Times New Roman" w:eastAsia="宋体" w:cs="Times New Roman"/>
                <w:b w:val="0"/>
                <w:bCs w:val="0"/>
                <w:caps w:val="0"/>
                <w:color w:val="auto"/>
                <w:kern w:val="2"/>
                <w:sz w:val="24"/>
                <w:szCs w:val="24"/>
                <w:highlight w:val="none"/>
                <w:lang w:val="en-US" w:eastAsia="zh-CN" w:bidi="ar-SA"/>
              </w:rPr>
              <w:t>处的声压级，dB；</w:t>
            </w:r>
          </w:p>
          <w:p w14:paraId="10DA4C3D">
            <w:pPr>
              <w:keepNext w:val="0"/>
              <w:keepLines w:val="0"/>
              <w:pageBreakBefore w:val="0"/>
              <w:widowControl w:val="0"/>
              <w:kinsoku/>
              <w:wordWrap/>
              <w:overflowPunct/>
              <w:topLinePunct w:val="0"/>
              <w:autoSpaceDE/>
              <w:autoSpaceDN/>
              <w:bidi w:val="0"/>
              <w:adjustRightInd/>
              <w:snapToGrid/>
              <w:ind w:left="720" w:leftChars="300"/>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D</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C</w:t>
            </w:r>
            <w:r>
              <w:rPr>
                <w:rFonts w:hint="default" w:ascii="Times New Roman" w:hAnsi="Times New Roman" w:eastAsia="宋体" w:cs="Times New Roman"/>
                <w:b w:val="0"/>
                <w:bCs w:val="0"/>
                <w:caps w:val="0"/>
                <w:color w:val="auto"/>
                <w:kern w:val="2"/>
                <w:sz w:val="24"/>
                <w:szCs w:val="24"/>
                <w:highlight w:val="none"/>
                <w:lang w:val="en-US" w:eastAsia="zh-CN" w:bidi="ar-SA"/>
              </w:rPr>
              <w:t>—指向性校正，它描述点声源的等效连续声压级与产生声功率级</w:t>
            </w:r>
            <w:r>
              <w:rPr>
                <w:rFonts w:hint="default" w:ascii="Times New Roman" w:hAnsi="Times New Roman" w:eastAsia="宋体" w:cs="Times New Roman"/>
                <w:b w:val="0"/>
                <w:bCs w:val="0"/>
                <w:i/>
                <w:iCs/>
                <w:caps w:val="0"/>
                <w:color w:val="auto"/>
                <w:kern w:val="2"/>
                <w:sz w:val="24"/>
                <w:szCs w:val="24"/>
                <w:highlight w:val="none"/>
                <w:lang w:val="en-US" w:eastAsia="zh-CN" w:bidi="ar-SA"/>
              </w:rPr>
              <w:t>L</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w</w:t>
            </w:r>
            <w:r>
              <w:rPr>
                <w:rFonts w:hint="default" w:ascii="Times New Roman" w:hAnsi="Times New Roman" w:eastAsia="宋体" w:cs="Times New Roman"/>
                <w:b w:val="0"/>
                <w:bCs w:val="0"/>
                <w:caps w:val="0"/>
                <w:color w:val="auto"/>
                <w:kern w:val="2"/>
                <w:sz w:val="24"/>
                <w:szCs w:val="24"/>
                <w:highlight w:val="none"/>
                <w:lang w:val="en-US" w:eastAsia="zh-CN" w:bidi="ar-SA"/>
              </w:rPr>
              <w:t>的全向点声源在规定方向的声级的偏差程度，dB；</w:t>
            </w:r>
          </w:p>
          <w:p w14:paraId="397FD1A6">
            <w:pPr>
              <w:bidi w:val="0"/>
              <w:ind w:firstLine="1200" w:firstLineChars="500"/>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A</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div</w:t>
            </w:r>
            <w:r>
              <w:rPr>
                <w:rFonts w:hint="default" w:ascii="Times New Roman" w:hAnsi="Times New Roman" w:eastAsia="宋体" w:cs="Times New Roman"/>
                <w:b w:val="0"/>
                <w:bCs w:val="0"/>
                <w:caps w:val="0"/>
                <w:color w:val="auto"/>
                <w:kern w:val="2"/>
                <w:sz w:val="24"/>
                <w:szCs w:val="24"/>
                <w:highlight w:val="none"/>
                <w:lang w:val="en-US" w:eastAsia="zh-CN" w:bidi="ar-SA"/>
              </w:rPr>
              <w:t>──几何发散引起的衰减，dB；</w:t>
            </w:r>
          </w:p>
          <w:p w14:paraId="4FAEB13C">
            <w:pPr>
              <w:bidi w:val="0"/>
              <w:ind w:firstLine="1200" w:firstLineChars="500"/>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A</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atm</w:t>
            </w:r>
            <w:r>
              <w:rPr>
                <w:rFonts w:hint="default" w:ascii="Times New Roman" w:hAnsi="Times New Roman" w:eastAsia="宋体" w:cs="Times New Roman"/>
                <w:b w:val="0"/>
                <w:bCs w:val="0"/>
                <w:caps w:val="0"/>
                <w:color w:val="auto"/>
                <w:kern w:val="2"/>
                <w:sz w:val="24"/>
                <w:szCs w:val="24"/>
                <w:highlight w:val="none"/>
                <w:lang w:val="en-US" w:eastAsia="zh-CN" w:bidi="ar-SA"/>
              </w:rPr>
              <w:t>──大气吸收引起的衰减，dB；</w:t>
            </w:r>
          </w:p>
          <w:p w14:paraId="6E515B84">
            <w:pPr>
              <w:bidi w:val="0"/>
              <w:ind w:firstLine="1200" w:firstLineChars="500"/>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A</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gr</w:t>
            </w:r>
            <w:r>
              <w:rPr>
                <w:rFonts w:hint="default" w:ascii="Times New Roman" w:hAnsi="Times New Roman" w:eastAsia="宋体" w:cs="Times New Roman"/>
                <w:b w:val="0"/>
                <w:bCs w:val="0"/>
                <w:caps w:val="0"/>
                <w:color w:val="auto"/>
                <w:kern w:val="2"/>
                <w:sz w:val="24"/>
                <w:szCs w:val="24"/>
                <w:highlight w:val="none"/>
                <w:lang w:val="en-US" w:eastAsia="zh-CN" w:bidi="ar-SA"/>
              </w:rPr>
              <w:t>──地面效应引起的衰减，dB；</w:t>
            </w:r>
          </w:p>
          <w:p w14:paraId="06BE1D64">
            <w:pPr>
              <w:bidi w:val="0"/>
              <w:ind w:firstLine="1200" w:firstLineChars="500"/>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A</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bar</w:t>
            </w:r>
            <w:r>
              <w:rPr>
                <w:rFonts w:hint="default" w:ascii="Times New Roman" w:hAnsi="Times New Roman" w:eastAsia="宋体" w:cs="Times New Roman"/>
                <w:b w:val="0"/>
                <w:bCs w:val="0"/>
                <w:caps w:val="0"/>
                <w:color w:val="auto"/>
                <w:kern w:val="2"/>
                <w:sz w:val="24"/>
                <w:szCs w:val="24"/>
                <w:highlight w:val="none"/>
                <w:lang w:val="en-US" w:eastAsia="zh-CN" w:bidi="ar-SA"/>
              </w:rPr>
              <w:t>──障碍物屏蔽引起的衰减，dB；</w:t>
            </w:r>
          </w:p>
          <w:p w14:paraId="214B5FE7">
            <w:pPr>
              <w:bidi w:val="0"/>
              <w:ind w:firstLine="1200" w:firstLineChars="500"/>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A</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misc</w:t>
            </w:r>
            <w:r>
              <w:rPr>
                <w:rFonts w:hint="default" w:ascii="Times New Roman" w:hAnsi="Times New Roman" w:eastAsia="宋体" w:cs="Times New Roman"/>
                <w:b w:val="0"/>
                <w:bCs w:val="0"/>
                <w:caps w:val="0"/>
                <w:color w:val="auto"/>
                <w:kern w:val="2"/>
                <w:sz w:val="24"/>
                <w:szCs w:val="24"/>
                <w:highlight w:val="none"/>
                <w:lang w:val="en-US" w:eastAsia="zh-CN" w:bidi="ar-SA"/>
              </w:rPr>
              <w:t>──其他多方面效应引起的衰减，dB。</w:t>
            </w:r>
          </w:p>
          <w:p w14:paraId="09375537">
            <w:pPr>
              <w:pStyle w:val="2"/>
              <w:keepNext w:val="0"/>
              <w:keepLines w:val="0"/>
              <w:pageBreakBefore w:val="0"/>
              <w:widowControl w:val="0"/>
              <w:kinsoku/>
              <w:wordWrap/>
              <w:overflowPunct/>
              <w:topLinePunct w:val="0"/>
              <w:autoSpaceDE/>
              <w:autoSpaceDN/>
              <w:bidi w:val="0"/>
              <w:adjustRightInd/>
              <w:snapToGrid/>
              <w:spacing w:line="48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zh-CN" w:eastAsia="zh-CN" w:bidi="ar-SA"/>
              </w:rPr>
              <w:t>本</w:t>
            </w:r>
            <w:r>
              <w:rPr>
                <w:rFonts w:hint="default" w:ascii="Times New Roman" w:hAnsi="Times New Roman" w:eastAsia="宋体" w:cs="Times New Roman"/>
                <w:color w:val="auto"/>
                <w:kern w:val="2"/>
                <w:sz w:val="24"/>
                <w:szCs w:val="24"/>
                <w:highlight w:val="none"/>
                <w:lang w:val="en-US" w:eastAsia="zh-CN" w:bidi="ar-SA"/>
              </w:rPr>
              <w:t>评价</w:t>
            </w:r>
            <w:r>
              <w:rPr>
                <w:rFonts w:hint="default" w:ascii="Times New Roman" w:hAnsi="Times New Roman" w:eastAsia="宋体" w:cs="Times New Roman"/>
                <w:color w:val="auto"/>
                <w:kern w:val="2"/>
                <w:sz w:val="24"/>
                <w:szCs w:val="24"/>
                <w:highlight w:val="none"/>
                <w:lang w:val="zh-CN" w:eastAsia="zh-CN" w:bidi="ar-SA"/>
              </w:rPr>
              <w:t>预测计算只考虑各声源至受声点的几何发散衰减，不考虑</w:t>
            </w:r>
            <w:r>
              <w:rPr>
                <w:rFonts w:hint="default" w:ascii="Times New Roman" w:hAnsi="Times New Roman" w:eastAsia="宋体" w:cs="Times New Roman"/>
                <w:color w:val="auto"/>
                <w:kern w:val="2"/>
                <w:sz w:val="24"/>
                <w:szCs w:val="24"/>
                <w:highlight w:val="none"/>
                <w:lang w:val="en-US" w:eastAsia="zh-CN" w:bidi="ar-SA"/>
              </w:rPr>
              <w:t>大气吸收、地面效应、障碍物屏蔽及其他多方面等影响较小的衰减。</w:t>
            </w:r>
          </w:p>
          <w:p w14:paraId="7BD33DC9">
            <w:pPr>
              <w:pStyle w:val="2"/>
              <w:keepNext w:val="0"/>
              <w:keepLines w:val="0"/>
              <w:pageBreakBefore w:val="0"/>
              <w:widowControl w:val="0"/>
              <w:kinsoku/>
              <w:wordWrap/>
              <w:overflowPunct/>
              <w:topLinePunct w:val="0"/>
              <w:autoSpaceDE/>
              <w:autoSpaceDN/>
              <w:bidi w:val="0"/>
              <w:adjustRightInd/>
              <w:snapToGrid/>
              <w:spacing w:line="48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预测点的A声级，可利用8个倍频带的声压级按下式计算：</w:t>
            </w:r>
          </w:p>
          <w:p w14:paraId="0A43913C">
            <w:pPr>
              <w:pStyle w:val="3"/>
              <w:keepNext w:val="0"/>
              <w:keepLines w:val="0"/>
              <w:pageBreakBefore w:val="0"/>
              <w:widowControl w:val="0"/>
              <w:tabs>
                <w:tab w:val="right" w:leader="dot" w:pos="8296"/>
              </w:tabs>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napToGrid w:val="0"/>
                <w:color w:val="auto"/>
                <w:sz w:val="24"/>
                <w:highlight w:val="none"/>
              </w:rPr>
            </w:pPr>
            <w:r>
              <w:rPr>
                <w:rFonts w:hint="default" w:ascii="Times New Roman" w:hAnsi="Times New Roman" w:eastAsia="宋体" w:cs="Times New Roman"/>
                <w:b w:val="0"/>
                <w:bCs w:val="0"/>
                <w:caps w:val="0"/>
                <w:color w:val="auto"/>
                <w:kern w:val="2"/>
                <w:sz w:val="24"/>
                <w:szCs w:val="24"/>
                <w:highlight w:val="none"/>
                <w:lang w:val="en-US" w:eastAsia="zh-CN" w:bidi="ar-SA"/>
              </w:rPr>
              <w:t> </w:t>
            </w:r>
            <w:r>
              <w:rPr>
                <w:rFonts w:hint="default" w:ascii="Times New Roman" w:hAnsi="Times New Roman" w:cs="Times New Roman"/>
                <w:snapToGrid w:val="0"/>
                <w:color w:val="auto"/>
                <w:sz w:val="24"/>
                <w:highlight w:val="none"/>
              </w:rPr>
              <w:t></w:t>
            </w:r>
            <w:r>
              <w:rPr>
                <w:rFonts w:hint="default" w:ascii="Times New Roman" w:hAnsi="Times New Roman" w:cs="Times New Roman"/>
                <w:color w:val="auto"/>
                <w:kern w:val="0"/>
                <w:position w:val="-30"/>
                <w:highlight w:val="none"/>
              </w:rPr>
              <w:object>
                <v:shape id="_x0000_i1027" o:spt="75" type="#_x0000_t75" style="height:34.55pt;width:168.4pt;" o:ole="t" filled="f" o:preferrelative="f" stroked="f" coordsize="21600,21600">
                  <v:path/>
                  <v:fill on="f" focussize="0,0"/>
                  <v:stroke on="f"/>
                  <v:imagedata r:id="rId25" o:title=""/>
                  <o:lock v:ext="edit" rotation="t" aspectratio="f"/>
                  <w10:wrap type="none"/>
                  <w10:anchorlock/>
                </v:shape>
                <o:OLEObject Type="Embed" ProgID="Equation.3" ShapeID="_x0000_i1027" DrawAspect="Content" ObjectID="_1468075727" r:id="rId24">
                  <o:LockedField>false</o:LockedField>
                </o:OLEObject>
              </w:object>
            </w:r>
          </w:p>
          <w:p w14:paraId="2C4598BB">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left="480" w:leftChars="200" w:firstLine="0" w:firstLineChars="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caps w:val="0"/>
                <w:color w:val="auto"/>
                <w:kern w:val="2"/>
                <w:sz w:val="24"/>
                <w:szCs w:val="24"/>
                <w:highlight w:val="none"/>
                <w:lang w:val="en-US" w:eastAsia="zh-CN" w:bidi="ar-SA"/>
              </w:rPr>
              <w:t>式中：</w:t>
            </w:r>
            <w:r>
              <w:rPr>
                <w:rFonts w:hint="default" w:ascii="Times New Roman" w:hAnsi="Times New Roman" w:eastAsia="宋体" w:cs="Times New Roman"/>
                <w:b w:val="0"/>
                <w:bCs w:val="0"/>
                <w:i/>
                <w:iCs/>
                <w:caps w:val="0"/>
                <w:color w:val="auto"/>
                <w:kern w:val="2"/>
                <w:sz w:val="24"/>
                <w:szCs w:val="24"/>
                <w:highlight w:val="none"/>
                <w:lang w:val="en-US" w:eastAsia="zh-CN" w:bidi="ar-SA"/>
              </w:rPr>
              <w:t>L</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A</w:t>
            </w: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caps w:val="0"/>
                <w:color w:val="auto"/>
                <w:kern w:val="2"/>
                <w:sz w:val="24"/>
                <w:szCs w:val="24"/>
                <w:highlight w:val="none"/>
                <w:lang w:val="en-US" w:eastAsia="zh-CN" w:bidi="ar-SA"/>
              </w:rPr>
              <w:t>—距声源r处的A声级，dB（A）；</w:t>
            </w:r>
          </w:p>
          <w:p w14:paraId="7FB7B867">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left="480" w:leftChars="200" w:firstLine="720" w:firstLineChars="30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L</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Pi</w:t>
            </w: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caps w:val="0"/>
                <w:color w:val="auto"/>
                <w:kern w:val="2"/>
                <w:sz w:val="24"/>
                <w:szCs w:val="24"/>
                <w:highlight w:val="none"/>
                <w:lang w:val="en-US" w:eastAsia="zh-CN" w:bidi="ar-SA"/>
              </w:rPr>
              <w:t>—预测点（r）处，第i倍频带声压级，dB；</w:t>
            </w:r>
          </w:p>
          <w:p w14:paraId="4120EF0C">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left="480" w:leftChars="200" w:firstLine="720" w:firstLineChars="30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ΔL</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i</w:t>
            </w:r>
            <w:r>
              <w:rPr>
                <w:rFonts w:hint="default" w:ascii="Times New Roman" w:hAnsi="Times New Roman" w:eastAsia="宋体" w:cs="Times New Roman"/>
                <w:b w:val="0"/>
                <w:bCs w:val="0"/>
                <w:caps w:val="0"/>
                <w:color w:val="auto"/>
                <w:kern w:val="2"/>
                <w:sz w:val="24"/>
                <w:szCs w:val="24"/>
                <w:highlight w:val="none"/>
                <w:lang w:val="en-US" w:eastAsia="zh-CN" w:bidi="ar-SA"/>
              </w:rPr>
              <w:t>—第i 倍频带 A 计权网络修正值，dB。</w:t>
            </w:r>
          </w:p>
          <w:p w14:paraId="274D5AAE">
            <w:pPr>
              <w:pStyle w:val="2"/>
              <w:keepNext w:val="0"/>
              <w:keepLines w:val="0"/>
              <w:pageBreakBefore w:val="0"/>
              <w:widowControl w:val="0"/>
              <w:kinsoku/>
              <w:wordWrap/>
              <w:overflowPunct/>
              <w:topLinePunct w:val="0"/>
              <w:autoSpaceDE/>
              <w:autoSpaceDN/>
              <w:bidi w:val="0"/>
              <w:adjustRightInd/>
              <w:snapToGrid/>
              <w:spacing w:line="48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1 \* ROMAN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I</w:t>
            </w:r>
            <w:r>
              <w:rPr>
                <w:rFonts w:hint="default" w:ascii="Times New Roman" w:hAnsi="Times New Roman" w:eastAsia="宋体" w:cs="Times New Roman"/>
                <w:color w:val="auto"/>
                <w:kern w:val="2"/>
                <w:sz w:val="24"/>
                <w:szCs w:val="24"/>
                <w:highlight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、指向性校正</w:t>
            </w:r>
          </w:p>
          <w:p w14:paraId="6D9C0AF2">
            <w:pPr>
              <w:pStyle w:val="2"/>
              <w:keepNext w:val="0"/>
              <w:keepLines w:val="0"/>
              <w:pageBreakBefore w:val="0"/>
              <w:widowControl w:val="0"/>
              <w:kinsoku/>
              <w:wordWrap/>
              <w:overflowPunct/>
              <w:topLinePunct w:val="0"/>
              <w:autoSpaceDE/>
              <w:autoSpaceDN/>
              <w:bidi w:val="0"/>
              <w:adjustRightInd/>
              <w:snapToGrid/>
              <w:spacing w:line="48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本次评价忽略。</w:t>
            </w:r>
          </w:p>
          <w:p w14:paraId="57197178">
            <w:pPr>
              <w:pStyle w:val="2"/>
              <w:keepNext w:val="0"/>
              <w:keepLines w:val="0"/>
              <w:pageBreakBefore w:val="0"/>
              <w:widowControl w:val="0"/>
              <w:kinsoku/>
              <w:wordWrap/>
              <w:overflowPunct/>
              <w:topLinePunct w:val="0"/>
              <w:autoSpaceDE/>
              <w:autoSpaceDN/>
              <w:bidi w:val="0"/>
              <w:adjustRightInd/>
              <w:snapToGrid/>
              <w:spacing w:line="48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2 \* ROMAN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II</w:t>
            </w:r>
            <w:r>
              <w:rPr>
                <w:rFonts w:hint="default" w:ascii="Times New Roman" w:hAnsi="Times New Roman" w:eastAsia="宋体" w:cs="Times New Roman"/>
                <w:color w:val="auto"/>
                <w:kern w:val="2"/>
                <w:sz w:val="24"/>
                <w:szCs w:val="24"/>
                <w:highlight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、几何发散引起的衰减</w:t>
            </w:r>
          </w:p>
          <w:p w14:paraId="67AE0C81">
            <w:pPr>
              <w:pStyle w:val="2"/>
              <w:keepNext w:val="0"/>
              <w:keepLines w:val="0"/>
              <w:pageBreakBefore w:val="0"/>
              <w:widowControl w:val="0"/>
              <w:kinsoku/>
              <w:wordWrap/>
              <w:overflowPunct/>
              <w:topLinePunct w:val="0"/>
              <w:autoSpaceDE/>
              <w:autoSpaceDN/>
              <w:bidi w:val="0"/>
              <w:adjustRightInd/>
              <w:snapToGrid/>
              <w:spacing w:line="48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对于室外点声源，不考虑其指向性，几何发散衰减计算公式为：</w:t>
            </w:r>
          </w:p>
          <w:p w14:paraId="58922414">
            <w:pPr>
              <w:pStyle w:val="3"/>
              <w:keepNext w:val="0"/>
              <w:keepLines w:val="0"/>
              <w:pageBreakBefore w:val="0"/>
              <w:widowControl w:val="0"/>
              <w:tabs>
                <w:tab w:val="right" w:leader="dot" w:pos="8296"/>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position w:val="-14"/>
                <w:highlight w:val="none"/>
                <w:lang w:eastAsia="zh-CN"/>
              </w:rPr>
            </w:pPr>
            <w:r>
              <w:rPr>
                <w:rFonts w:hint="default" w:ascii="Times New Roman" w:hAnsi="Times New Roman" w:eastAsia="宋体" w:cs="Times New Roman"/>
                <w:color w:val="auto"/>
                <w:kern w:val="0"/>
                <w:position w:val="-14"/>
                <w:highlight w:val="none"/>
                <w:lang w:eastAsia="zh-CN"/>
              </w:rPr>
              <w:object>
                <v:shape id="_x0000_i1028" o:spt="75" type="#_x0000_t75" style="height:19pt;width:132pt;" o:ole="t" filled="f" o:preferrelative="t" stroked="f" coordsize="21600,21600">
                  <v:path/>
                  <v:fill on="f" focussize="0,0"/>
                  <v:stroke on="f"/>
                  <v:imagedata r:id="rId27" o:title=""/>
                  <o:lock v:ext="edit" aspectratio="t"/>
                  <w10:wrap type="none"/>
                  <w10:anchorlock/>
                </v:shape>
                <o:OLEObject Type="Embed" ProgID="Equation.KSEE3" ShapeID="_x0000_i1028" DrawAspect="Content" ObjectID="_1468075728" r:id="rId26">
                  <o:LockedField>false</o:LockedField>
                </o:OLEObject>
              </w:object>
            </w:r>
          </w:p>
          <w:p w14:paraId="05CA69FC">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caps w:val="0"/>
                <w:color w:val="auto"/>
                <w:kern w:val="2"/>
                <w:sz w:val="24"/>
                <w:szCs w:val="24"/>
                <w:highlight w:val="none"/>
                <w:lang w:val="en-US" w:eastAsia="zh-CN" w:bidi="ar-SA"/>
              </w:rPr>
              <w:t>式中：</w:t>
            </w:r>
            <w:r>
              <w:rPr>
                <w:rFonts w:hint="default" w:ascii="Times New Roman" w:hAnsi="Times New Roman" w:eastAsia="宋体" w:cs="Times New Roman"/>
                <w:b w:val="0"/>
                <w:bCs w:val="0"/>
                <w:i/>
                <w:iCs/>
                <w:caps w:val="0"/>
                <w:color w:val="auto"/>
                <w:kern w:val="2"/>
                <w:sz w:val="24"/>
                <w:szCs w:val="24"/>
                <w:highlight w:val="none"/>
                <w:lang w:val="en-US" w:eastAsia="zh-CN" w:bidi="ar-SA"/>
              </w:rPr>
              <w:t>L</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p</w:t>
            </w: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caps w:val="0"/>
                <w:color w:val="auto"/>
                <w:kern w:val="2"/>
                <w:sz w:val="24"/>
                <w:szCs w:val="24"/>
                <w:highlight w:val="none"/>
                <w:lang w:val="en-US" w:eastAsia="zh-CN" w:bidi="ar-SA"/>
              </w:rPr>
              <w:t>──预测点处声压级，dB；</w:t>
            </w:r>
          </w:p>
          <w:p w14:paraId="65C3B2FF">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left="0" w:leftChars="0" w:firstLine="1200" w:firstLineChars="50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L</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p</w:t>
            </w: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0</w:t>
            </w:r>
            <w:r>
              <w:rPr>
                <w:rFonts w:hint="default" w:ascii="Times New Roman" w:hAnsi="Times New Roman" w:eastAsia="宋体" w:cs="Times New Roman"/>
                <w:b w:val="0"/>
                <w:bCs w:val="0"/>
                <w:i/>
                <w:iCs/>
                <w:caps w:val="0"/>
                <w:color w:val="auto"/>
                <w:kern w:val="2"/>
                <w:sz w:val="24"/>
                <w:szCs w:val="24"/>
                <w:highlight w:val="none"/>
                <w:lang w:val="en-US" w:eastAsia="zh-CN" w:bidi="ar-SA"/>
              </w:rPr>
              <w:t>)</w:t>
            </w:r>
            <w:r>
              <w:rPr>
                <w:rFonts w:hint="default" w:ascii="Times New Roman" w:hAnsi="Times New Roman" w:eastAsia="宋体" w:cs="Times New Roman"/>
                <w:b w:val="0"/>
                <w:bCs w:val="0"/>
                <w:caps w:val="0"/>
                <w:color w:val="auto"/>
                <w:kern w:val="2"/>
                <w:sz w:val="24"/>
                <w:szCs w:val="24"/>
                <w:highlight w:val="none"/>
                <w:lang w:val="en-US" w:eastAsia="zh-CN" w:bidi="ar-SA"/>
              </w:rPr>
              <w:t>—参考位置r</w:t>
            </w:r>
            <w:r>
              <w:rPr>
                <w:rFonts w:hint="default" w:ascii="Times New Roman" w:hAnsi="Times New Roman" w:eastAsia="宋体" w:cs="Times New Roman"/>
                <w:b w:val="0"/>
                <w:bCs w:val="0"/>
                <w:caps w:val="0"/>
                <w:color w:val="auto"/>
                <w:kern w:val="2"/>
                <w:sz w:val="24"/>
                <w:szCs w:val="24"/>
                <w:highlight w:val="none"/>
                <w:vertAlign w:val="subscript"/>
                <w:lang w:val="en-US" w:eastAsia="zh-CN" w:bidi="ar-SA"/>
              </w:rPr>
              <w:t>0</w:t>
            </w:r>
            <w:r>
              <w:rPr>
                <w:rFonts w:hint="default" w:ascii="Times New Roman" w:hAnsi="Times New Roman" w:eastAsia="宋体" w:cs="Times New Roman"/>
                <w:b w:val="0"/>
                <w:bCs w:val="0"/>
                <w:caps w:val="0"/>
                <w:color w:val="auto"/>
                <w:kern w:val="2"/>
                <w:sz w:val="24"/>
                <w:szCs w:val="24"/>
                <w:highlight w:val="none"/>
                <w:lang w:val="en-US" w:eastAsia="zh-CN" w:bidi="ar-SA"/>
              </w:rPr>
              <w:t>处的声压级，dB；</w:t>
            </w:r>
          </w:p>
          <w:p w14:paraId="71794733">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left="0" w:leftChars="0" w:firstLine="1200" w:firstLineChars="50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caps w:val="0"/>
                <w:color w:val="auto"/>
                <w:kern w:val="2"/>
                <w:sz w:val="24"/>
                <w:szCs w:val="24"/>
                <w:highlight w:val="none"/>
                <w:lang w:val="en-US" w:eastAsia="zh-CN" w:bidi="ar-SA"/>
              </w:rPr>
              <w:t>—预测点距声源的距离；</w:t>
            </w:r>
          </w:p>
          <w:p w14:paraId="24482AB4">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left="0" w:leftChars="0" w:firstLine="1200" w:firstLineChars="50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0</w:t>
            </w:r>
            <w:r>
              <w:rPr>
                <w:rFonts w:hint="default" w:ascii="Times New Roman" w:hAnsi="Times New Roman" w:eastAsia="宋体" w:cs="Times New Roman"/>
                <w:b w:val="0"/>
                <w:bCs w:val="0"/>
                <w:caps w:val="0"/>
                <w:color w:val="auto"/>
                <w:kern w:val="2"/>
                <w:sz w:val="24"/>
                <w:szCs w:val="24"/>
                <w:highlight w:val="none"/>
                <w:lang w:val="en-US" w:eastAsia="zh-CN" w:bidi="ar-SA"/>
              </w:rPr>
              <w:t>—参考位置距声源的距离。</w:t>
            </w:r>
          </w:p>
          <w:p w14:paraId="4D77698A">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color w:val="auto"/>
                <w:kern w:val="0"/>
                <w:position w:val="-12"/>
                <w:highlight w:val="none"/>
                <w:lang w:eastAsia="zh-CN"/>
              </w:rPr>
              <w:object>
                <v:shape id="_x0000_i1029" o:spt="75" type="#_x0000_t75" style="height:18pt;width:85pt;" o:ole="t" filled="f" o:preferrelative="t" stroked="f" coordsize="21600,21600">
                  <v:path/>
                  <v:fill on="f" focussize="0,0"/>
                  <v:stroke on="f"/>
                  <v:imagedata r:id="rId29" o:title=""/>
                  <o:lock v:ext="edit" aspectratio="t"/>
                  <w10:wrap type="none"/>
                  <w10:anchorlock/>
                </v:shape>
                <o:OLEObject Type="Embed" ProgID="Equation.KSEE3" ShapeID="_x0000_i1029" DrawAspect="Content" ObjectID="_1468075729" r:id="rId28">
                  <o:LockedField>false</o:LockedField>
                </o:OLEObject>
              </w:object>
            </w:r>
          </w:p>
          <w:p w14:paraId="54F9E3EA">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caps w:val="0"/>
                <w:color w:val="auto"/>
                <w:kern w:val="2"/>
                <w:sz w:val="24"/>
                <w:szCs w:val="24"/>
                <w:highlight w:val="none"/>
                <w:lang w:val="en-US" w:eastAsia="zh-CN" w:bidi="ar-SA"/>
              </w:rPr>
              <w:t>式中：</w:t>
            </w:r>
            <w:r>
              <w:rPr>
                <w:rFonts w:hint="default" w:ascii="Times New Roman" w:hAnsi="Times New Roman" w:eastAsia="宋体" w:cs="Times New Roman"/>
                <w:b w:val="0"/>
                <w:bCs w:val="0"/>
                <w:i/>
                <w:iCs/>
                <w:caps w:val="0"/>
                <w:color w:val="auto"/>
                <w:kern w:val="2"/>
                <w:sz w:val="24"/>
                <w:szCs w:val="24"/>
                <w:highlight w:val="none"/>
                <w:lang w:val="en-US" w:eastAsia="zh-CN" w:bidi="ar-SA"/>
              </w:rPr>
              <w:t>A</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div</w:t>
            </w:r>
            <w:r>
              <w:rPr>
                <w:rFonts w:hint="default" w:ascii="Times New Roman" w:hAnsi="Times New Roman" w:eastAsia="宋体" w:cs="Times New Roman"/>
                <w:b w:val="0"/>
                <w:bCs w:val="0"/>
                <w:caps w:val="0"/>
                <w:color w:val="auto"/>
                <w:kern w:val="2"/>
                <w:sz w:val="24"/>
                <w:szCs w:val="24"/>
                <w:highlight w:val="none"/>
                <w:lang w:val="en-US" w:eastAsia="zh-CN" w:bidi="ar-SA"/>
              </w:rPr>
              <w:t>──几何发散引起的衰减，dB；</w:t>
            </w:r>
          </w:p>
          <w:p w14:paraId="76AA102A">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firstLine="1200" w:firstLineChars="50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caps w:val="0"/>
                <w:color w:val="auto"/>
                <w:kern w:val="2"/>
                <w:sz w:val="24"/>
                <w:szCs w:val="24"/>
                <w:highlight w:val="none"/>
                <w:lang w:val="en-US" w:eastAsia="zh-CN" w:bidi="ar-SA"/>
              </w:rPr>
              <w:t>—预测点距声源的距离；</w:t>
            </w:r>
          </w:p>
          <w:p w14:paraId="32B71203">
            <w:pPr>
              <w:pStyle w:val="3"/>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firstLine="1200" w:firstLineChars="500"/>
              <w:jc w:val="left"/>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default" w:ascii="Times New Roman" w:hAnsi="Times New Roman" w:eastAsia="宋体" w:cs="Times New Roman"/>
                <w:b w:val="0"/>
                <w:bCs w:val="0"/>
                <w:i/>
                <w:iCs/>
                <w:caps w:val="0"/>
                <w:color w:val="auto"/>
                <w:kern w:val="2"/>
                <w:sz w:val="24"/>
                <w:szCs w:val="24"/>
                <w:highlight w:val="none"/>
                <w:lang w:val="en-US" w:eastAsia="zh-CN" w:bidi="ar-SA"/>
              </w:rPr>
              <w:t>r</w:t>
            </w:r>
            <w:r>
              <w:rPr>
                <w:rFonts w:hint="default" w:ascii="Times New Roman" w:hAnsi="Times New Roman" w:eastAsia="宋体" w:cs="Times New Roman"/>
                <w:b w:val="0"/>
                <w:bCs w:val="0"/>
                <w:i/>
                <w:iCs/>
                <w:caps w:val="0"/>
                <w:color w:val="auto"/>
                <w:kern w:val="2"/>
                <w:sz w:val="24"/>
                <w:szCs w:val="24"/>
                <w:highlight w:val="none"/>
                <w:vertAlign w:val="subscript"/>
                <w:lang w:val="en-US" w:eastAsia="zh-CN" w:bidi="ar-SA"/>
              </w:rPr>
              <w:t>0</w:t>
            </w:r>
            <w:r>
              <w:rPr>
                <w:rFonts w:hint="default" w:ascii="Times New Roman" w:hAnsi="Times New Roman" w:eastAsia="宋体" w:cs="Times New Roman"/>
                <w:b w:val="0"/>
                <w:bCs w:val="0"/>
                <w:caps w:val="0"/>
                <w:color w:val="auto"/>
                <w:kern w:val="2"/>
                <w:sz w:val="24"/>
                <w:szCs w:val="24"/>
                <w:highlight w:val="none"/>
                <w:lang w:val="en-US" w:eastAsia="zh-CN" w:bidi="ar-SA"/>
              </w:rPr>
              <w:t>—参考位置距声源的距离。</w:t>
            </w:r>
          </w:p>
          <w:p w14:paraId="7F7D408D">
            <w:pPr>
              <w:pStyle w:val="2"/>
              <w:keepNext w:val="0"/>
              <w:keepLines w:val="0"/>
              <w:pageBreakBefore w:val="0"/>
              <w:widowControl w:val="0"/>
              <w:kinsoku/>
              <w:wordWrap/>
              <w:overflowPunct/>
              <w:topLinePunct w:val="0"/>
              <w:autoSpaceDE/>
              <w:autoSpaceDN/>
              <w:bidi w:val="0"/>
              <w:adjustRightInd/>
              <w:snapToGrid/>
              <w:spacing w:line="48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②室内声源等效室外声源声功率级计算方法</w:t>
            </w:r>
          </w:p>
          <w:p w14:paraId="35C0E6C2">
            <w:pPr>
              <w:pStyle w:val="2"/>
              <w:keepNext w:val="0"/>
              <w:keepLines w:val="0"/>
              <w:pageBreakBefore w:val="0"/>
              <w:widowControl w:val="0"/>
              <w:kinsoku/>
              <w:wordWrap/>
              <w:overflowPunct/>
              <w:topLinePunct w:val="0"/>
              <w:autoSpaceDE/>
              <w:autoSpaceDN/>
              <w:bidi w:val="0"/>
              <w:adjustRightInd/>
              <w:snapToGrid/>
              <w:spacing w:line="480" w:lineRule="atLeas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1 \* ROMAN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I</w:t>
            </w:r>
            <w:r>
              <w:rPr>
                <w:rFonts w:hint="default" w:ascii="Times New Roman" w:hAnsi="Times New Roman" w:eastAsia="宋体" w:cs="Times New Roman"/>
                <w:color w:val="auto"/>
                <w:kern w:val="2"/>
                <w:sz w:val="24"/>
                <w:szCs w:val="24"/>
                <w:highlight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、室内声源可采用等效室外声源声功率级法进行计算：</w:t>
            </w:r>
          </w:p>
          <w:p w14:paraId="01581BE6">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kern w:val="0"/>
                <w:position w:val="-14"/>
                <w:highlight w:val="none"/>
                <w:lang w:eastAsia="zh-CN"/>
              </w:rPr>
              <w:object>
                <v:shape id="_x0000_i1030" o:spt="75" type="#_x0000_t75" style="height:19pt;width:93pt;" o:ole="t" filled="f" o:preferrelative="t" stroked="f" coordsize="21600,21600">
                  <v:path/>
                  <v:fill on="f" focussize="0,0"/>
                  <v:stroke on="f"/>
                  <v:imagedata r:id="rId31" o:title=""/>
                  <o:lock v:ext="edit" aspectratio="t"/>
                  <w10:wrap type="none"/>
                  <w10:anchorlock/>
                </v:shape>
                <o:OLEObject Type="Embed" ProgID="Equation.KSEE3" ShapeID="_x0000_i1030" DrawAspect="Content" ObjectID="_1468075730" r:id="rId30">
                  <o:LockedField>false</o:LockedField>
                </o:OLEObject>
              </w:object>
            </w:r>
          </w:p>
          <w:p w14:paraId="30E4EC8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P1</w:t>
            </w:r>
            <w:r>
              <w:rPr>
                <w:rFonts w:hint="default" w:ascii="Times New Roman" w:hAnsi="Times New Roman" w:cs="Times New Roman"/>
                <w:color w:val="auto"/>
                <w:sz w:val="24"/>
                <w:highlight w:val="none"/>
              </w:rPr>
              <w:t>—靠近开口处（或窗户）室内某倍频带</w:t>
            </w:r>
            <w:r>
              <w:rPr>
                <w:rFonts w:hint="default"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rPr>
              <w:t>声压级</w:t>
            </w:r>
            <w:r>
              <w:rPr>
                <w:rFonts w:hint="default" w:ascii="Times New Roman" w:hAnsi="Times New Roman" w:cs="Times New Roman"/>
                <w:color w:val="auto"/>
                <w:sz w:val="24"/>
                <w:highlight w:val="none"/>
                <w:lang w:val="en-US" w:eastAsia="zh-CN"/>
              </w:rPr>
              <w:t>或A声级</w:t>
            </w:r>
            <w:r>
              <w:rPr>
                <w:rFonts w:hint="default" w:ascii="Times New Roman" w:hAnsi="Times New Roman" w:cs="Times New Roman"/>
                <w:color w:val="auto"/>
                <w:sz w:val="24"/>
                <w:highlight w:val="none"/>
              </w:rPr>
              <w:t>，dB；</w:t>
            </w:r>
          </w:p>
          <w:p w14:paraId="1DF21C2E">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P2</w:t>
            </w:r>
            <w:r>
              <w:rPr>
                <w:rFonts w:hint="default" w:ascii="Times New Roman" w:hAnsi="Times New Roman" w:cs="Times New Roman"/>
                <w:color w:val="auto"/>
                <w:sz w:val="24"/>
                <w:highlight w:val="none"/>
              </w:rPr>
              <w:t>—靠近开口处（或窗户）室外某倍频带</w:t>
            </w:r>
            <w:r>
              <w:rPr>
                <w:rFonts w:hint="default"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rPr>
              <w:t>声压级</w:t>
            </w:r>
            <w:r>
              <w:rPr>
                <w:rFonts w:hint="default" w:ascii="Times New Roman" w:hAnsi="Times New Roman" w:cs="Times New Roman"/>
                <w:color w:val="auto"/>
                <w:sz w:val="24"/>
                <w:highlight w:val="none"/>
                <w:lang w:val="en-US" w:eastAsia="zh-CN"/>
              </w:rPr>
              <w:t>或A声级</w:t>
            </w:r>
            <w:r>
              <w:rPr>
                <w:rFonts w:hint="default" w:ascii="Times New Roman" w:hAnsi="Times New Roman" w:cs="Times New Roman"/>
                <w:color w:val="auto"/>
                <w:sz w:val="24"/>
                <w:highlight w:val="none"/>
              </w:rPr>
              <w:t>，dB；</w:t>
            </w:r>
          </w:p>
          <w:p w14:paraId="6C534294">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TL</w:t>
            </w:r>
            <w:r>
              <w:rPr>
                <w:rFonts w:hint="default" w:ascii="Times New Roman" w:hAnsi="Times New Roman" w:cs="Times New Roman"/>
                <w:color w:val="auto"/>
                <w:sz w:val="24"/>
                <w:highlight w:val="none"/>
              </w:rPr>
              <w:t>—隔墙（或窗户）倍频带</w:t>
            </w:r>
            <w:r>
              <w:rPr>
                <w:rFonts w:hint="default" w:ascii="Times New Roman" w:hAnsi="Times New Roman" w:cs="Times New Roman"/>
                <w:color w:val="auto"/>
                <w:sz w:val="24"/>
                <w:highlight w:val="none"/>
                <w:lang w:val="en-US" w:eastAsia="zh-CN"/>
              </w:rPr>
              <w:t>或A声级</w:t>
            </w:r>
            <w:r>
              <w:rPr>
                <w:rFonts w:hint="default" w:ascii="Times New Roman" w:hAnsi="Times New Roman" w:cs="Times New Roman"/>
                <w:color w:val="auto"/>
                <w:sz w:val="24"/>
                <w:highlight w:val="none"/>
              </w:rPr>
              <w:t>的隔声量，dB。</w:t>
            </w:r>
          </w:p>
          <w:p w14:paraId="4AD329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position w:val="-24"/>
                <w:sz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也可计算某一室内声源靠近围护结构处产生的倍频带声压级或 A 声级：</w:t>
            </w:r>
          </w:p>
          <w:p w14:paraId="2A98BD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position w:val="-24"/>
                <w:sz w:val="24"/>
                <w:highlight w:val="none"/>
                <w:lang w:eastAsia="zh-CN"/>
              </w:rPr>
              <w:object>
                <v:shape id="_x0000_i1031" o:spt="75" type="#_x0000_t75" style="height:31pt;width:168pt;" o:ole="t" filled="f" o:preferrelative="t" stroked="f" coordsize="21600,21600">
                  <v:path/>
                  <v:fill on="f" focussize="0,0"/>
                  <v:stroke on="f"/>
                  <v:imagedata r:id="rId33" o:title=""/>
                  <o:lock v:ext="edit" aspectratio="t"/>
                  <w10:wrap type="none"/>
                  <w10:anchorlock/>
                </v:shape>
                <o:OLEObject Type="Embed" ProgID="Equation.KSEE3" ShapeID="_x0000_i1031" DrawAspect="Content" ObjectID="_1468075731" r:id="rId32">
                  <o:LockedField>false</o:LockedField>
                </o:OLEObject>
              </w:object>
            </w:r>
          </w:p>
          <w:p w14:paraId="2AB8D647">
            <w:pPr>
              <w:bidi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P1</w:t>
            </w:r>
            <w:r>
              <w:rPr>
                <w:rFonts w:hint="default" w:ascii="Times New Roman" w:hAnsi="Times New Roman" w:cs="Times New Roman"/>
                <w:color w:val="auto"/>
                <w:sz w:val="24"/>
                <w:highlight w:val="none"/>
              </w:rPr>
              <w:t>—靠近开口处（或窗户）室内某倍频带</w:t>
            </w:r>
            <w:r>
              <w:rPr>
                <w:rFonts w:hint="default"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rPr>
              <w:t>声压级</w:t>
            </w:r>
            <w:r>
              <w:rPr>
                <w:rFonts w:hint="default" w:ascii="Times New Roman" w:hAnsi="Times New Roman" w:cs="Times New Roman"/>
                <w:color w:val="auto"/>
                <w:sz w:val="24"/>
                <w:highlight w:val="none"/>
                <w:lang w:val="en-US" w:eastAsia="zh-CN"/>
              </w:rPr>
              <w:t>或A声级</w:t>
            </w:r>
            <w:r>
              <w:rPr>
                <w:rFonts w:hint="default" w:ascii="Times New Roman" w:hAnsi="Times New Roman" w:cs="Times New Roman"/>
                <w:color w:val="auto"/>
                <w:sz w:val="24"/>
                <w:highlight w:val="none"/>
              </w:rPr>
              <w:t>，dB；</w:t>
            </w:r>
          </w:p>
          <w:p w14:paraId="3140ECB9">
            <w:pPr>
              <w:keepNext w:val="0"/>
              <w:keepLines w:val="0"/>
              <w:pageBreakBefore w:val="0"/>
              <w:widowControl w:val="0"/>
              <w:kinsoku/>
              <w:wordWrap/>
              <w:overflowPunct/>
              <w:topLinePunct w:val="0"/>
              <w:autoSpaceDE/>
              <w:autoSpaceDN/>
              <w:bidi w:val="0"/>
              <w:adjustRightInd/>
              <w:snapToGrid/>
              <w:spacing w:line="480" w:lineRule="atLeast"/>
              <w:ind w:firstLine="1200" w:firstLineChars="500"/>
              <w:jc w:val="left"/>
              <w:textAlignment w:val="auto"/>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cs="Times New Roman"/>
                <w:i/>
                <w:iCs/>
                <w:color w:val="auto"/>
                <w:sz w:val="24"/>
                <w:highlight w:val="none"/>
                <w:lang w:val="en-US" w:eastAsia="zh-CN"/>
              </w:rPr>
              <w:t>L</w:t>
            </w:r>
            <w:r>
              <w:rPr>
                <w:rFonts w:hint="default" w:ascii="Times New Roman" w:hAnsi="Times New Roman" w:cs="Times New Roman"/>
                <w:i/>
                <w:iCs/>
                <w:color w:val="auto"/>
                <w:sz w:val="24"/>
                <w:highlight w:val="none"/>
                <w:vertAlign w:val="subscript"/>
                <w:lang w:val="en-US" w:eastAsia="zh-CN"/>
              </w:rPr>
              <w:t>w</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点声源声功率级（A计权或倍频带），dB；</w:t>
            </w:r>
          </w:p>
          <w:p w14:paraId="579BF396">
            <w:pPr>
              <w:keepNext w:val="0"/>
              <w:keepLines w:val="0"/>
              <w:pageBreakBefore w:val="0"/>
              <w:widowControl w:val="0"/>
              <w:kinsoku/>
              <w:wordWrap/>
              <w:overflowPunct/>
              <w:topLinePunct w:val="0"/>
              <w:autoSpaceDE/>
              <w:autoSpaceDN/>
              <w:bidi w:val="0"/>
              <w:adjustRightInd/>
              <w:snapToGrid/>
              <w:spacing w:line="480" w:lineRule="atLeast"/>
              <w:ind w:left="720" w:leftChars="300"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Q</w:t>
            </w:r>
            <w:r>
              <w:rPr>
                <w:rFonts w:hint="default" w:ascii="Times New Roman" w:hAnsi="Times New Roman" w:cs="Times New Roman"/>
                <w:color w:val="auto"/>
                <w:sz w:val="24"/>
                <w:highlight w:val="none"/>
              </w:rPr>
              <w:t>—指向因数；通常对无指向性声源，当声源放在房间中心时，Q=1；当放在一面墙的中心时，Q=2；当放在两面墙夹角处时，Q=4；当放在三面墙夹角处时，Q=8。</w:t>
            </w:r>
          </w:p>
          <w:p w14:paraId="0FCE49BD">
            <w:pPr>
              <w:keepNext w:val="0"/>
              <w:keepLines w:val="0"/>
              <w:pageBreakBefore w:val="0"/>
              <w:widowControl w:val="0"/>
              <w:kinsoku/>
              <w:wordWrap/>
              <w:overflowPunct/>
              <w:topLinePunct w:val="0"/>
              <w:autoSpaceDE/>
              <w:autoSpaceDN/>
              <w:bidi w:val="0"/>
              <w:adjustRightInd/>
              <w:snapToGrid/>
              <w:spacing w:line="480" w:lineRule="atLeast"/>
              <w:ind w:left="720" w:leftChars="300"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R—房间常数，R=Sα</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α），S为房间内表面面积，m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；α为平均吸声系数。</w:t>
            </w:r>
          </w:p>
          <w:p w14:paraId="4C1E573E">
            <w:pPr>
              <w:keepNext w:val="0"/>
              <w:keepLines w:val="0"/>
              <w:pageBreakBefore w:val="0"/>
              <w:widowControl w:val="0"/>
              <w:kinsoku/>
              <w:wordWrap/>
              <w:overflowPunct/>
              <w:topLinePunct w:val="0"/>
              <w:autoSpaceDE/>
              <w:autoSpaceDN/>
              <w:bidi w:val="0"/>
              <w:adjustRightInd/>
              <w:snapToGrid/>
              <w:spacing w:line="480" w:lineRule="atLeast"/>
              <w:ind w:firstLine="1200" w:firstLineChars="5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r</w:t>
            </w:r>
            <w:r>
              <w:rPr>
                <w:rFonts w:hint="default" w:ascii="Times New Roman" w:hAnsi="Times New Roman" w:cs="Times New Roman"/>
                <w:color w:val="auto"/>
                <w:sz w:val="24"/>
                <w:highlight w:val="none"/>
              </w:rPr>
              <w:t>—声源到靠近围护结构某点处的距离，m。</w:t>
            </w:r>
          </w:p>
          <w:p w14:paraId="0C6A26F3">
            <w:pPr>
              <w:pStyle w:val="32"/>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Times New Roman" w:hAnsi="Times New Roman" w:cs="Times New Roman"/>
                <w:color w:val="auto"/>
                <w:kern w:val="0"/>
                <w:highlight w:val="none"/>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2 \* ROMAN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II</w:t>
            </w:r>
            <w:r>
              <w:rPr>
                <w:rFonts w:hint="default" w:ascii="Times New Roman" w:hAnsi="Times New Roman" w:eastAsia="宋体" w:cs="Times New Roman"/>
                <w:color w:val="auto"/>
                <w:kern w:val="2"/>
                <w:sz w:val="24"/>
                <w:szCs w:val="24"/>
                <w:highlight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、计算出所有室内声源在围护结构处产生的i倍频带叠加声压级：</w:t>
            </w:r>
          </w:p>
          <w:p w14:paraId="06CDEE71">
            <w:pPr>
              <w:pStyle w:val="32"/>
              <w:keepNext w:val="0"/>
              <w:keepLines w:val="0"/>
              <w:pageBreakBefore w:val="0"/>
              <w:widowControl w:val="0"/>
              <w:kinsoku/>
              <w:wordWrap/>
              <w:overflowPunct/>
              <w:topLinePunct w:val="0"/>
              <w:autoSpaceDE/>
              <w:autoSpaceDN/>
              <w:bidi w:val="0"/>
              <w:adjustRightInd/>
              <w:snapToGrid/>
              <w:spacing w:before="95" w:after="95"/>
              <w:ind w:firstLine="0" w:firstLineChars="0"/>
              <w:jc w:val="center"/>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position w:val="-30"/>
                <w:highlight w:val="none"/>
              </w:rPr>
              <w:object>
                <v:shape id="_x0000_i1032" o:spt="75" type="#_x0000_t75" style="height:35pt;width:129.05pt;" o:ole="t" filled="f" o:preferrelative="f" stroked="f" coordsize="21600,21600">
                  <v:path/>
                  <v:fill on="f" focussize="0,0"/>
                  <v:stroke on="f"/>
                  <v:imagedata r:id="rId35" o:title=""/>
                  <o:lock v:ext="edit" rotation="t" aspectratio="f"/>
                  <w10:wrap type="none"/>
                  <w10:anchorlock/>
                </v:shape>
                <o:OLEObject Type="Embed" ProgID="Equation.3" ShapeID="_x0000_i1032" DrawAspect="Content" ObjectID="_1468075732" r:id="rId34">
                  <o:LockedField>false</o:LockedField>
                </o:OLEObject>
              </w:object>
            </w:r>
          </w:p>
          <w:p w14:paraId="65EE39DE">
            <w:pPr>
              <w:bidi w:val="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w:t>
            </w:r>
            <w:r>
              <w:rPr>
                <w:rFonts w:hint="default" w:ascii="Times New Roman" w:hAnsi="Times New Roman" w:cs="Times New Roman"/>
                <w:i/>
                <w:color w:val="auto"/>
                <w:kern w:val="0"/>
                <w:highlight w:val="none"/>
              </w:rPr>
              <w:t>L</w:t>
            </w:r>
            <w:r>
              <w:rPr>
                <w:rFonts w:hint="default" w:ascii="Times New Roman" w:hAnsi="Times New Roman" w:cs="Times New Roman"/>
                <w:i/>
                <w:color w:val="auto"/>
                <w:kern w:val="0"/>
                <w:highlight w:val="none"/>
                <w:vertAlign w:val="subscript"/>
              </w:rPr>
              <w:t>P</w:t>
            </w:r>
            <w:r>
              <w:rPr>
                <w:rFonts w:hint="default" w:ascii="Times New Roman" w:hAnsi="Times New Roman" w:cs="Times New Roman"/>
                <w:color w:val="auto"/>
                <w:kern w:val="0"/>
                <w:highlight w:val="none"/>
                <w:vertAlign w:val="subscript"/>
              </w:rPr>
              <w:t>1</w:t>
            </w:r>
            <w:r>
              <w:rPr>
                <w:rFonts w:hint="default" w:ascii="Times New Roman" w:hAnsi="Times New Roman" w:cs="Times New Roman"/>
                <w:i/>
                <w:color w:val="auto"/>
                <w:kern w:val="0"/>
                <w:highlight w:val="none"/>
                <w:vertAlign w:val="subscript"/>
              </w:rPr>
              <w:t>i</w:t>
            </w:r>
            <w:r>
              <w:rPr>
                <w:rFonts w:hint="default" w:ascii="Times New Roman" w:hAnsi="Times New Roman" w:cs="Times New Roman"/>
                <w:color w:val="auto"/>
                <w:kern w:val="0"/>
                <w:highlight w:val="none"/>
              </w:rPr>
              <w:t>（</w:t>
            </w:r>
            <w:r>
              <w:rPr>
                <w:rFonts w:hint="default" w:ascii="Times New Roman" w:hAnsi="Times New Roman" w:cs="Times New Roman"/>
                <w:i/>
                <w:color w:val="auto"/>
                <w:kern w:val="0"/>
                <w:highlight w:val="none"/>
              </w:rPr>
              <w:t>T</w:t>
            </w:r>
            <w:r>
              <w:rPr>
                <w:rFonts w:hint="default" w:ascii="Times New Roman" w:hAnsi="Times New Roman" w:cs="Times New Roman"/>
                <w:color w:val="auto"/>
                <w:kern w:val="0"/>
                <w:highlight w:val="none"/>
              </w:rPr>
              <w:t>）—靠近围护结构处室内N个声源</w:t>
            </w:r>
            <w:r>
              <w:rPr>
                <w:rFonts w:hint="default" w:ascii="Times New Roman" w:hAnsi="Times New Roman" w:cs="Times New Roman"/>
                <w:i/>
                <w:color w:val="auto"/>
                <w:kern w:val="0"/>
                <w:highlight w:val="none"/>
              </w:rPr>
              <w:t>i</w:t>
            </w:r>
            <w:r>
              <w:rPr>
                <w:rFonts w:hint="default" w:ascii="Times New Roman" w:hAnsi="Times New Roman" w:cs="Times New Roman"/>
                <w:color w:val="auto"/>
                <w:kern w:val="0"/>
                <w:highlight w:val="none"/>
              </w:rPr>
              <w:t>倍频带的叠加声压级，dB；</w:t>
            </w:r>
          </w:p>
          <w:p w14:paraId="4FA09B93">
            <w:pPr>
              <w:pStyle w:val="32"/>
              <w:spacing w:before="0" w:after="0" w:line="480" w:lineRule="exact"/>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i/>
                <w:color w:val="auto"/>
                <w:kern w:val="0"/>
                <w:highlight w:val="none"/>
              </w:rPr>
              <w:t>L</w:t>
            </w:r>
            <w:r>
              <w:rPr>
                <w:rFonts w:hint="default" w:ascii="Times New Roman" w:hAnsi="Times New Roman" w:cs="Times New Roman"/>
                <w:i/>
                <w:color w:val="auto"/>
                <w:kern w:val="0"/>
                <w:highlight w:val="none"/>
                <w:vertAlign w:val="subscript"/>
              </w:rPr>
              <w:t>P</w:t>
            </w:r>
            <w:r>
              <w:rPr>
                <w:rFonts w:hint="default" w:ascii="Times New Roman" w:hAnsi="Times New Roman" w:cs="Times New Roman"/>
                <w:color w:val="auto"/>
                <w:kern w:val="0"/>
                <w:highlight w:val="none"/>
                <w:vertAlign w:val="subscript"/>
              </w:rPr>
              <w:t>1</w:t>
            </w:r>
            <w:r>
              <w:rPr>
                <w:rFonts w:hint="default" w:ascii="Times New Roman" w:hAnsi="Times New Roman" w:cs="Times New Roman"/>
                <w:i/>
                <w:color w:val="auto"/>
                <w:kern w:val="0"/>
                <w:highlight w:val="none"/>
                <w:vertAlign w:val="subscript"/>
              </w:rPr>
              <w:t>ij</w:t>
            </w:r>
            <w:r>
              <w:rPr>
                <w:rFonts w:hint="default" w:ascii="Times New Roman" w:hAnsi="Times New Roman" w:cs="Times New Roman"/>
                <w:i/>
                <w:color w:val="auto"/>
                <w:kern w:val="0"/>
                <w:highlight w:val="none"/>
              </w:rPr>
              <w:t>—</w:t>
            </w:r>
            <w:r>
              <w:rPr>
                <w:rFonts w:hint="default" w:ascii="Times New Roman" w:hAnsi="Times New Roman" w:cs="Times New Roman"/>
                <w:color w:val="auto"/>
                <w:kern w:val="0"/>
                <w:highlight w:val="none"/>
              </w:rPr>
              <w:t>室内</w:t>
            </w:r>
            <w:r>
              <w:rPr>
                <w:rFonts w:hint="default" w:ascii="Times New Roman" w:hAnsi="Times New Roman" w:cs="Times New Roman"/>
                <w:i/>
                <w:color w:val="auto"/>
                <w:kern w:val="0"/>
                <w:highlight w:val="none"/>
              </w:rPr>
              <w:t>j</w:t>
            </w:r>
            <w:r>
              <w:rPr>
                <w:rFonts w:hint="default" w:ascii="Times New Roman" w:hAnsi="Times New Roman" w:cs="Times New Roman"/>
                <w:color w:val="auto"/>
                <w:kern w:val="0"/>
                <w:highlight w:val="none"/>
              </w:rPr>
              <w:t>声源</w:t>
            </w:r>
            <w:r>
              <w:rPr>
                <w:rFonts w:hint="default" w:ascii="Times New Roman" w:hAnsi="Times New Roman" w:cs="Times New Roman"/>
                <w:i/>
                <w:color w:val="auto"/>
                <w:kern w:val="0"/>
                <w:highlight w:val="none"/>
              </w:rPr>
              <w:t>i</w:t>
            </w:r>
            <w:r>
              <w:rPr>
                <w:rFonts w:hint="default" w:ascii="Times New Roman" w:hAnsi="Times New Roman" w:cs="Times New Roman"/>
                <w:color w:val="auto"/>
                <w:kern w:val="0"/>
                <w:highlight w:val="none"/>
              </w:rPr>
              <w:t>倍频带的声压级，dB；</w:t>
            </w:r>
          </w:p>
          <w:p w14:paraId="6B1A9907">
            <w:pPr>
              <w:pStyle w:val="32"/>
              <w:spacing w:before="0" w:after="0" w:line="480" w:lineRule="exact"/>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i/>
                <w:color w:val="auto"/>
                <w:kern w:val="0"/>
                <w:highlight w:val="none"/>
              </w:rPr>
              <w:t>N</w:t>
            </w:r>
            <w:r>
              <w:rPr>
                <w:rFonts w:hint="default" w:ascii="Times New Roman" w:hAnsi="Times New Roman" w:cs="Times New Roman"/>
                <w:color w:val="auto"/>
                <w:kern w:val="0"/>
                <w:highlight w:val="none"/>
              </w:rPr>
              <w:t>—室内声源总数。</w:t>
            </w:r>
          </w:p>
          <w:p w14:paraId="7349D978">
            <w:pPr>
              <w:pStyle w:val="32"/>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3 \* ROMAN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III</w:t>
            </w:r>
            <w:r>
              <w:rPr>
                <w:rFonts w:hint="default" w:ascii="Times New Roman" w:hAnsi="Times New Roman" w:eastAsia="宋体" w:cs="Times New Roman"/>
                <w:color w:val="auto"/>
                <w:kern w:val="2"/>
                <w:sz w:val="24"/>
                <w:szCs w:val="24"/>
                <w:highlight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、计算出靠近室外围护结构处的声压级：</w:t>
            </w:r>
          </w:p>
          <w:p w14:paraId="1BFCF4AB">
            <w:pPr>
              <w:pStyle w:val="32"/>
              <w:keepNext w:val="0"/>
              <w:keepLines w:val="0"/>
              <w:pageBreakBefore w:val="0"/>
              <w:widowControl w:val="0"/>
              <w:kinsoku/>
              <w:wordWrap/>
              <w:overflowPunct/>
              <w:topLinePunct w:val="0"/>
              <w:autoSpaceDE/>
              <w:autoSpaceDN/>
              <w:bidi w:val="0"/>
              <w:adjustRightInd/>
              <w:snapToGrid/>
              <w:spacing w:before="95" w:after="95"/>
              <w:ind w:firstLine="0" w:firstLineChars="0"/>
              <w:jc w:val="center"/>
              <w:textAlignment w:val="auto"/>
              <w:rPr>
                <w:rFonts w:hint="default" w:ascii="Times New Roman" w:hAnsi="Times New Roman" w:cs="Times New Roman"/>
                <w:color w:val="auto"/>
                <w:kern w:val="0"/>
                <w:highlight w:val="none"/>
              </w:rPr>
            </w:pPr>
            <w:r>
              <w:rPr>
                <w:rFonts w:hint="default" w:ascii="Times New Roman" w:hAnsi="Times New Roman" w:eastAsia="宋体" w:cs="Times New Roman"/>
                <w:color w:val="auto"/>
                <w:kern w:val="0"/>
                <w:position w:val="-14"/>
                <w:highlight w:val="none"/>
                <w:lang w:eastAsia="zh-CN"/>
              </w:rPr>
              <w:object>
                <v:shape id="_x0000_i1033" o:spt="75" type="#_x0000_t75" style="height:19pt;width:131pt;" o:ole="t" filled="f" o:preferrelative="t" stroked="f" coordsize="21600,21600">
                  <v:path/>
                  <v:fill on="f" focussize="0,0"/>
                  <v:stroke on="f"/>
                  <v:imagedata r:id="rId37" o:title=""/>
                  <o:lock v:ext="edit" aspectratio="t"/>
                  <w10:wrap type="none"/>
                  <w10:anchorlock/>
                </v:shape>
                <o:OLEObject Type="Embed" ProgID="Equation.KSEE3" ShapeID="_x0000_i1033" DrawAspect="Content" ObjectID="_1468075733" r:id="rId36">
                  <o:LockedField>false</o:LockedField>
                </o:OLEObject>
              </w:object>
            </w:r>
          </w:p>
          <w:p w14:paraId="667015D9">
            <w:pPr>
              <w:bidi w:val="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w:t>
            </w:r>
            <w:r>
              <w:rPr>
                <w:rFonts w:hint="default" w:ascii="Times New Roman" w:hAnsi="Times New Roman" w:cs="Times New Roman"/>
                <w:i/>
                <w:color w:val="auto"/>
                <w:kern w:val="0"/>
                <w:highlight w:val="none"/>
              </w:rPr>
              <w:t>L</w:t>
            </w:r>
            <w:r>
              <w:rPr>
                <w:rFonts w:hint="default" w:ascii="Times New Roman" w:hAnsi="Times New Roman" w:cs="Times New Roman"/>
                <w:i/>
                <w:color w:val="auto"/>
                <w:kern w:val="0"/>
                <w:highlight w:val="none"/>
                <w:vertAlign w:val="subscript"/>
              </w:rPr>
              <w:t>P</w:t>
            </w:r>
            <w:r>
              <w:rPr>
                <w:rFonts w:hint="default" w:ascii="Times New Roman" w:hAnsi="Times New Roman" w:cs="Times New Roman"/>
                <w:color w:val="auto"/>
                <w:kern w:val="0"/>
                <w:highlight w:val="none"/>
                <w:vertAlign w:val="subscript"/>
              </w:rPr>
              <w:t>2</w:t>
            </w:r>
            <w:r>
              <w:rPr>
                <w:rFonts w:hint="default" w:ascii="Times New Roman" w:hAnsi="Times New Roman" w:cs="Times New Roman"/>
                <w:i/>
                <w:color w:val="auto"/>
                <w:kern w:val="0"/>
                <w:highlight w:val="none"/>
                <w:vertAlign w:val="subscript"/>
              </w:rPr>
              <w:t>i</w:t>
            </w:r>
            <w:r>
              <w:rPr>
                <w:rFonts w:hint="default" w:ascii="Times New Roman" w:hAnsi="Times New Roman" w:cs="Times New Roman"/>
                <w:color w:val="auto"/>
                <w:kern w:val="0"/>
                <w:highlight w:val="none"/>
                <w:lang w:val="en-US" w:eastAsia="zh-CN"/>
              </w:rPr>
              <w:t>(</w:t>
            </w:r>
            <w:r>
              <w:rPr>
                <w:rFonts w:hint="default" w:ascii="Times New Roman" w:hAnsi="Times New Roman" w:cs="Times New Roman"/>
                <w:i/>
                <w:color w:val="auto"/>
                <w:kern w:val="0"/>
                <w:highlight w:val="none"/>
              </w:rPr>
              <w:t>T</w:t>
            </w:r>
            <w:r>
              <w:rPr>
                <w:rFonts w:hint="default" w:ascii="Times New Roman" w:hAnsi="Times New Roman" w:cs="Times New Roman"/>
                <w:color w:val="auto"/>
                <w:kern w:val="0"/>
                <w:highlight w:val="none"/>
                <w:lang w:val="en-US" w:eastAsia="zh-CN"/>
              </w:rPr>
              <w:t>)</w:t>
            </w:r>
            <w:r>
              <w:rPr>
                <w:rFonts w:hint="default" w:ascii="Times New Roman" w:hAnsi="Times New Roman" w:cs="Times New Roman"/>
                <w:color w:val="auto"/>
                <w:kern w:val="0"/>
                <w:highlight w:val="none"/>
              </w:rPr>
              <w:t>—靠近围护结构处室外N个噪声源</w:t>
            </w:r>
            <w:r>
              <w:rPr>
                <w:rFonts w:hint="default" w:ascii="Times New Roman" w:hAnsi="Times New Roman" w:cs="Times New Roman"/>
                <w:i/>
                <w:color w:val="auto"/>
                <w:kern w:val="0"/>
                <w:highlight w:val="none"/>
              </w:rPr>
              <w:t>i</w:t>
            </w:r>
            <w:r>
              <w:rPr>
                <w:rFonts w:hint="default" w:ascii="Times New Roman" w:hAnsi="Times New Roman" w:cs="Times New Roman"/>
                <w:color w:val="auto"/>
                <w:kern w:val="0"/>
                <w:highlight w:val="none"/>
              </w:rPr>
              <w:t>倍频带的叠加声压级，dB；</w:t>
            </w:r>
          </w:p>
          <w:p w14:paraId="6D3BC7E4">
            <w:pPr>
              <w:pStyle w:val="32"/>
              <w:keepNext w:val="0"/>
              <w:keepLines w:val="0"/>
              <w:pageBreakBefore w:val="0"/>
              <w:widowControl w:val="0"/>
              <w:kinsoku/>
              <w:wordWrap/>
              <w:overflowPunct/>
              <w:topLinePunct w:val="0"/>
              <w:autoSpaceDE/>
              <w:autoSpaceDN/>
              <w:bidi w:val="0"/>
              <w:adjustRightInd/>
              <w:snapToGrid/>
              <w:spacing w:before="0" w:after="0"/>
              <w:ind w:firstLine="1024" w:firstLineChars="427"/>
              <w:textAlignment w:val="auto"/>
              <w:rPr>
                <w:rFonts w:hint="default" w:ascii="Times New Roman" w:hAnsi="Times New Roman" w:cs="Times New Roman"/>
                <w:color w:val="auto"/>
                <w:kern w:val="0"/>
                <w:highlight w:val="none"/>
              </w:rPr>
            </w:pPr>
            <w:r>
              <w:rPr>
                <w:rFonts w:hint="default" w:ascii="Times New Roman" w:hAnsi="Times New Roman" w:cs="Times New Roman"/>
                <w:i/>
                <w:color w:val="auto"/>
                <w:kern w:val="0"/>
                <w:highlight w:val="none"/>
              </w:rPr>
              <w:t>L</w:t>
            </w:r>
            <w:r>
              <w:rPr>
                <w:rFonts w:hint="default" w:ascii="Times New Roman" w:hAnsi="Times New Roman" w:cs="Times New Roman"/>
                <w:i/>
                <w:color w:val="auto"/>
                <w:kern w:val="0"/>
                <w:highlight w:val="none"/>
                <w:vertAlign w:val="subscript"/>
              </w:rPr>
              <w:t>P</w:t>
            </w:r>
            <w:r>
              <w:rPr>
                <w:rFonts w:hint="default" w:ascii="Times New Roman" w:hAnsi="Times New Roman" w:cs="Times New Roman"/>
                <w:color w:val="auto"/>
                <w:kern w:val="0"/>
                <w:highlight w:val="none"/>
                <w:vertAlign w:val="subscript"/>
                <w:lang w:val="en-US" w:eastAsia="zh-CN"/>
              </w:rPr>
              <w:t>1</w:t>
            </w:r>
            <w:r>
              <w:rPr>
                <w:rFonts w:hint="default" w:ascii="Times New Roman" w:hAnsi="Times New Roman" w:cs="Times New Roman"/>
                <w:i/>
                <w:color w:val="auto"/>
                <w:kern w:val="0"/>
                <w:highlight w:val="none"/>
                <w:vertAlign w:val="subscript"/>
              </w:rPr>
              <w:t>i</w:t>
            </w:r>
            <w:r>
              <w:rPr>
                <w:rFonts w:hint="default" w:ascii="Times New Roman" w:hAnsi="Times New Roman" w:cs="Times New Roman"/>
                <w:color w:val="auto"/>
                <w:kern w:val="0"/>
                <w:highlight w:val="none"/>
                <w:lang w:val="en-US" w:eastAsia="zh-CN"/>
              </w:rPr>
              <w:t>(</w:t>
            </w:r>
            <w:r>
              <w:rPr>
                <w:rFonts w:hint="default" w:ascii="Times New Roman" w:hAnsi="Times New Roman" w:cs="Times New Roman"/>
                <w:i/>
                <w:color w:val="auto"/>
                <w:kern w:val="0"/>
                <w:highlight w:val="none"/>
              </w:rPr>
              <w:t>T</w:t>
            </w:r>
            <w:r>
              <w:rPr>
                <w:rFonts w:hint="default" w:ascii="Times New Roman" w:hAnsi="Times New Roman" w:cs="Times New Roman"/>
                <w:color w:val="auto"/>
                <w:kern w:val="0"/>
                <w:highlight w:val="none"/>
                <w:lang w:val="en-US" w:eastAsia="zh-CN"/>
              </w:rPr>
              <w:t>)</w:t>
            </w:r>
            <w:r>
              <w:rPr>
                <w:rFonts w:hint="default" w:ascii="Times New Roman" w:hAnsi="Times New Roman" w:cs="Times New Roman"/>
                <w:color w:val="auto"/>
                <w:kern w:val="0"/>
                <w:highlight w:val="none"/>
              </w:rPr>
              <w:t>—靠近围护结构处室</w:t>
            </w:r>
            <w:r>
              <w:rPr>
                <w:rFonts w:hint="default" w:ascii="Times New Roman" w:hAnsi="Times New Roman" w:cs="Times New Roman"/>
                <w:color w:val="auto"/>
                <w:kern w:val="0"/>
                <w:highlight w:val="none"/>
                <w:lang w:val="en-US" w:eastAsia="zh-CN"/>
              </w:rPr>
              <w:t>内</w:t>
            </w:r>
            <w:r>
              <w:rPr>
                <w:rFonts w:hint="default" w:ascii="Times New Roman" w:hAnsi="Times New Roman" w:cs="Times New Roman"/>
                <w:color w:val="auto"/>
                <w:kern w:val="0"/>
                <w:highlight w:val="none"/>
              </w:rPr>
              <w:t>N个噪声源</w:t>
            </w:r>
            <w:r>
              <w:rPr>
                <w:rFonts w:hint="default" w:ascii="Times New Roman" w:hAnsi="Times New Roman" w:cs="Times New Roman"/>
                <w:i/>
                <w:color w:val="auto"/>
                <w:kern w:val="0"/>
                <w:highlight w:val="none"/>
              </w:rPr>
              <w:t>i</w:t>
            </w:r>
            <w:r>
              <w:rPr>
                <w:rFonts w:hint="default" w:ascii="Times New Roman" w:hAnsi="Times New Roman" w:cs="Times New Roman"/>
                <w:color w:val="auto"/>
                <w:kern w:val="0"/>
                <w:highlight w:val="none"/>
              </w:rPr>
              <w:t>倍频带的叠加声压级，dB；</w:t>
            </w:r>
          </w:p>
          <w:p w14:paraId="3B24169B">
            <w:pPr>
              <w:pStyle w:val="32"/>
              <w:keepNext w:val="0"/>
              <w:keepLines w:val="0"/>
              <w:pageBreakBefore w:val="0"/>
              <w:widowControl w:val="0"/>
              <w:kinsoku/>
              <w:wordWrap/>
              <w:overflowPunct/>
              <w:topLinePunct w:val="0"/>
              <w:autoSpaceDE/>
              <w:autoSpaceDN/>
              <w:bidi w:val="0"/>
              <w:adjustRightInd/>
              <w:snapToGrid/>
              <w:spacing w:before="0" w:after="0"/>
              <w:ind w:firstLine="1024" w:firstLineChars="427"/>
              <w:textAlignment w:val="auto"/>
              <w:rPr>
                <w:rFonts w:hint="default" w:ascii="Times New Roman" w:hAnsi="Times New Roman" w:cs="Times New Roman"/>
                <w:color w:val="auto"/>
                <w:kern w:val="0"/>
                <w:highlight w:val="none"/>
              </w:rPr>
            </w:pPr>
            <w:r>
              <w:rPr>
                <w:rFonts w:hint="default" w:ascii="Times New Roman" w:hAnsi="Times New Roman" w:cs="Times New Roman"/>
                <w:i/>
                <w:color w:val="auto"/>
                <w:kern w:val="0"/>
                <w:highlight w:val="none"/>
              </w:rPr>
              <w:t>TL</w:t>
            </w:r>
            <w:r>
              <w:rPr>
                <w:rFonts w:hint="default" w:ascii="Times New Roman" w:hAnsi="Times New Roman" w:cs="Times New Roman"/>
                <w:i/>
                <w:color w:val="auto"/>
                <w:kern w:val="0"/>
                <w:highlight w:val="none"/>
                <w:vertAlign w:val="subscript"/>
              </w:rPr>
              <w:t>i</w:t>
            </w:r>
            <w:r>
              <w:rPr>
                <w:rFonts w:hint="default" w:ascii="Times New Roman" w:hAnsi="Times New Roman" w:cs="Times New Roman"/>
                <w:i/>
                <w:color w:val="auto"/>
                <w:kern w:val="0"/>
                <w:highlight w:val="none"/>
              </w:rPr>
              <w:t>—</w:t>
            </w:r>
            <w:r>
              <w:rPr>
                <w:rFonts w:hint="default" w:ascii="Times New Roman" w:hAnsi="Times New Roman" w:cs="Times New Roman"/>
                <w:color w:val="auto"/>
                <w:kern w:val="0"/>
                <w:highlight w:val="none"/>
              </w:rPr>
              <w:t>围护结构</w:t>
            </w:r>
            <w:r>
              <w:rPr>
                <w:rFonts w:hint="default" w:ascii="Times New Roman" w:hAnsi="Times New Roman" w:cs="Times New Roman"/>
                <w:i/>
                <w:color w:val="auto"/>
                <w:kern w:val="0"/>
                <w:highlight w:val="none"/>
              </w:rPr>
              <w:t>i</w:t>
            </w:r>
            <w:r>
              <w:rPr>
                <w:rFonts w:hint="default" w:ascii="Times New Roman" w:hAnsi="Times New Roman" w:cs="Times New Roman"/>
                <w:color w:val="auto"/>
                <w:kern w:val="0"/>
                <w:highlight w:val="none"/>
              </w:rPr>
              <w:t>倍频带的隔声量。</w:t>
            </w:r>
          </w:p>
          <w:p w14:paraId="0DC55F3A">
            <w:pPr>
              <w:bidi w:val="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4 \* ROMAN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IV</w:t>
            </w:r>
            <w:r>
              <w:rPr>
                <w:rFonts w:hint="default" w:ascii="Times New Roman" w:hAnsi="Times New Roman" w:eastAsia="宋体" w:cs="Times New Roman"/>
                <w:color w:val="auto"/>
                <w:kern w:val="2"/>
                <w:sz w:val="24"/>
                <w:szCs w:val="24"/>
                <w:highlight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、将室外声源的声压级和透过面积换算成等效的室外声源，计算出中心位置位于透声面积（S）处的等效声源的倍频带声功率级：</w:t>
            </w:r>
          </w:p>
          <w:p w14:paraId="0A79790C">
            <w:pPr>
              <w:pStyle w:val="32"/>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position w:val="-14"/>
                <w:sz w:val="24"/>
                <w:szCs w:val="24"/>
                <w:highlight w:val="none"/>
                <w:lang w:eastAsia="zh-CN"/>
              </w:rPr>
              <w:object>
                <v:shape id="_x0000_i1034" o:spt="75" type="#_x0000_t75" style="height:19pt;width:98pt;" o:ole="t" filled="f" o:preferrelative="t" stroked="f" coordsize="21600,21600">
                  <v:path/>
                  <v:fill on="f" focussize="0,0"/>
                  <v:stroke on="f"/>
                  <v:imagedata r:id="rId39" o:title=""/>
                  <o:lock v:ext="edit" aspectratio="t"/>
                  <w10:wrap type="none"/>
                  <w10:anchorlock/>
                </v:shape>
                <o:OLEObject Type="Embed" ProgID="Equation.KSEE3" ShapeID="_x0000_i1034" DrawAspect="Content" ObjectID="_1468075734" r:id="rId38">
                  <o:LockedField>false</o:LockedField>
                </o:OLEObject>
              </w:object>
            </w:r>
          </w:p>
          <w:p w14:paraId="6398275D">
            <w:pPr>
              <w:keepNext w:val="0"/>
              <w:keepLines w:val="0"/>
              <w:pageBreakBefore w:val="0"/>
              <w:widowControl w:val="0"/>
              <w:kinsoku/>
              <w:wordWrap/>
              <w:overflowPunct/>
              <w:topLinePunct w:val="0"/>
              <w:autoSpaceDE/>
              <w:autoSpaceDN/>
              <w:bidi w:val="0"/>
              <w:adjustRightInd/>
              <w:snapToGrid/>
              <w:spacing w:line="480" w:lineRule="exact"/>
              <w:ind w:left="1200" w:leftChars="200" w:hanging="720" w:hangingChars="3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式中：</w:t>
            </w:r>
            <w:r>
              <w:rPr>
                <w:rFonts w:hint="default" w:ascii="Times New Roman" w:hAnsi="Times New Roman" w:cs="Times New Roman"/>
                <w:color w:val="auto"/>
                <w:sz w:val="24"/>
                <w:highlight w:val="none"/>
                <w:lang w:val="en-US" w:eastAsia="zh-CN"/>
              </w:rPr>
              <w:t>Lw</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中心位置位于透声面积（S）处的等效声源的倍频带声功率级，dB；</w:t>
            </w:r>
          </w:p>
          <w:p w14:paraId="7D05FA34">
            <w:pPr>
              <w:pStyle w:val="32"/>
              <w:keepNext w:val="0"/>
              <w:keepLines w:val="0"/>
              <w:pageBreakBefore w:val="0"/>
              <w:widowControl w:val="0"/>
              <w:kinsoku/>
              <w:wordWrap/>
              <w:overflowPunct/>
              <w:topLinePunct w:val="0"/>
              <w:autoSpaceDE/>
              <w:autoSpaceDN/>
              <w:bidi w:val="0"/>
              <w:adjustRightInd/>
              <w:snapToGrid/>
              <w:spacing w:before="0" w:after="0" w:line="480" w:lineRule="exact"/>
              <w:ind w:left="0" w:leftChars="0"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iCs/>
                <w:color w:val="auto"/>
                <w:kern w:val="0"/>
                <w:sz w:val="24"/>
                <w:szCs w:val="24"/>
                <w:highlight w:val="none"/>
                <w:lang w:val="en-US" w:eastAsia="zh-CN"/>
              </w:rPr>
              <w:t>L</w:t>
            </w:r>
            <w:r>
              <w:rPr>
                <w:rFonts w:hint="default" w:ascii="Times New Roman" w:hAnsi="Times New Roman" w:eastAsia="宋体" w:cs="Times New Roman"/>
                <w:i/>
                <w:iCs/>
                <w:color w:val="auto"/>
                <w:kern w:val="0"/>
                <w:sz w:val="24"/>
                <w:szCs w:val="24"/>
                <w:highlight w:val="none"/>
                <w:vertAlign w:val="subscript"/>
                <w:lang w:val="en-US" w:eastAsia="zh-CN"/>
              </w:rPr>
              <w:t>p2</w:t>
            </w:r>
            <w:r>
              <w:rPr>
                <w:rFonts w:hint="default" w:ascii="Times New Roman" w:hAnsi="Times New Roman" w:eastAsia="宋体" w:cs="Times New Roman"/>
                <w:i/>
                <w:iCs/>
                <w:color w:val="auto"/>
                <w:kern w:val="0"/>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靠近围护结构处室外声源的声压级，dB；</w:t>
            </w:r>
          </w:p>
          <w:p w14:paraId="62E18332">
            <w:pPr>
              <w:keepNext w:val="0"/>
              <w:keepLines w:val="0"/>
              <w:pageBreakBefore w:val="0"/>
              <w:widowControl w:val="0"/>
              <w:kinsoku/>
              <w:wordWrap/>
              <w:overflowPunct/>
              <w:topLinePunct w:val="0"/>
              <w:autoSpaceDE/>
              <w:autoSpaceDN/>
              <w:bidi w:val="0"/>
              <w:adjustRightInd/>
              <w:snapToGrid/>
              <w:spacing w:line="480" w:lineRule="exact"/>
              <w:ind w:left="0" w:leftChars="0"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透声面积，m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14:paraId="5257527C">
            <w:pPr>
              <w:bidi w:val="0"/>
              <w:rPr>
                <w:rFonts w:hint="default"/>
                <w:color w:val="auto"/>
                <w:highlight w:val="none"/>
              </w:rPr>
            </w:pPr>
            <w:r>
              <w:rPr>
                <w:rFonts w:hint="default"/>
                <w:color w:val="auto"/>
                <w:highlight w:val="none"/>
              </w:rPr>
              <w:t>然后按室外声源预测方法计算预测点处的A声级。</w:t>
            </w:r>
          </w:p>
          <w:p w14:paraId="6EA159B2">
            <w:pPr>
              <w:bidi w:val="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设第i个室外声源在预测点产生的A声级为L</w:t>
            </w:r>
            <w:r>
              <w:rPr>
                <w:rFonts w:hint="default" w:ascii="Times New Roman" w:hAnsi="Times New Roman" w:cs="Times New Roman"/>
                <w:color w:val="auto"/>
                <w:kern w:val="0"/>
                <w:highlight w:val="none"/>
                <w:vertAlign w:val="subscript"/>
              </w:rPr>
              <w:t>Ai</w:t>
            </w:r>
            <w:r>
              <w:rPr>
                <w:rFonts w:hint="default" w:ascii="Times New Roman" w:hAnsi="Times New Roman" w:cs="Times New Roman"/>
                <w:color w:val="auto"/>
                <w:kern w:val="0"/>
                <w:highlight w:val="none"/>
              </w:rPr>
              <w:t>，在T时间内该声源工作时间为t</w:t>
            </w:r>
            <w:r>
              <w:rPr>
                <w:rFonts w:hint="default" w:ascii="Times New Roman" w:hAnsi="Times New Roman" w:cs="Times New Roman"/>
                <w:color w:val="auto"/>
                <w:kern w:val="0"/>
                <w:highlight w:val="none"/>
                <w:vertAlign w:val="subscript"/>
              </w:rPr>
              <w:t>i</w:t>
            </w:r>
            <w:r>
              <w:rPr>
                <w:rFonts w:hint="default" w:ascii="Times New Roman" w:hAnsi="Times New Roman" w:cs="Times New Roman"/>
                <w:color w:val="auto"/>
                <w:kern w:val="0"/>
                <w:highlight w:val="none"/>
              </w:rPr>
              <w:t>；第j个等效室外声源在预测点产生的A声级为L</w:t>
            </w:r>
            <w:r>
              <w:rPr>
                <w:rFonts w:hint="default" w:ascii="Times New Roman" w:hAnsi="Times New Roman" w:cs="Times New Roman"/>
                <w:color w:val="auto"/>
                <w:kern w:val="0"/>
                <w:highlight w:val="none"/>
                <w:vertAlign w:val="subscript"/>
              </w:rPr>
              <w:t>Aj</w:t>
            </w:r>
            <w:r>
              <w:rPr>
                <w:rFonts w:hint="default" w:ascii="Times New Roman" w:hAnsi="Times New Roman" w:cs="Times New Roman"/>
                <w:color w:val="auto"/>
                <w:kern w:val="0"/>
                <w:highlight w:val="none"/>
              </w:rPr>
              <w:t>，在T时间内该声源工作时间为t</w:t>
            </w:r>
            <w:r>
              <w:rPr>
                <w:rFonts w:hint="default" w:ascii="Times New Roman" w:hAnsi="Times New Roman" w:cs="Times New Roman"/>
                <w:color w:val="auto"/>
                <w:kern w:val="0"/>
                <w:highlight w:val="none"/>
                <w:vertAlign w:val="subscript"/>
              </w:rPr>
              <w:t>j</w:t>
            </w:r>
            <w:r>
              <w:rPr>
                <w:rFonts w:hint="default" w:ascii="Times New Roman" w:hAnsi="Times New Roman" w:cs="Times New Roman"/>
                <w:color w:val="auto"/>
                <w:kern w:val="0"/>
                <w:highlight w:val="none"/>
              </w:rPr>
              <w:t>，则</w:t>
            </w:r>
            <w:r>
              <w:rPr>
                <w:rFonts w:hint="default" w:ascii="Times New Roman" w:hAnsi="Times New Roman" w:cs="Times New Roman"/>
                <w:color w:val="auto"/>
                <w:kern w:val="0"/>
                <w:highlight w:val="none"/>
                <w:lang w:val="en-US" w:eastAsia="zh-CN"/>
              </w:rPr>
              <w:t>建设</w:t>
            </w:r>
            <w:r>
              <w:rPr>
                <w:rFonts w:hint="default" w:ascii="Times New Roman" w:hAnsi="Times New Roman" w:cs="Times New Roman"/>
                <w:color w:val="auto"/>
                <w:kern w:val="0"/>
                <w:highlight w:val="none"/>
              </w:rPr>
              <w:t>项目声源对预测点产生的贡献值（L</w:t>
            </w:r>
            <w:r>
              <w:rPr>
                <w:rFonts w:hint="default" w:ascii="Times New Roman" w:hAnsi="Times New Roman" w:cs="Times New Roman"/>
                <w:color w:val="auto"/>
                <w:kern w:val="0"/>
                <w:highlight w:val="none"/>
                <w:vertAlign w:val="subscript"/>
              </w:rPr>
              <w:t>eqg</w:t>
            </w:r>
            <w:r>
              <w:rPr>
                <w:rFonts w:hint="default" w:ascii="Times New Roman" w:hAnsi="Times New Roman" w:cs="Times New Roman"/>
                <w:color w:val="auto"/>
                <w:kern w:val="0"/>
                <w:highlight w:val="none"/>
              </w:rPr>
              <w:t>）为：</w:t>
            </w:r>
          </w:p>
          <w:p w14:paraId="5DE4DA03">
            <w:pPr>
              <w:pStyle w:val="3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position w:val="-36"/>
                <w:highlight w:val="none"/>
              </w:rPr>
              <w:object>
                <v:shape id="_x0000_i1035" o:spt="75" type="#_x0000_t75" style="height:42.2pt;width:205.35pt;" o:ole="t" filled="f" o:preferrelative="f" stroked="f" coordsize="21600,21600">
                  <v:path/>
                  <v:fill on="f" focussize="0,0"/>
                  <v:stroke on="f"/>
                  <v:imagedata r:id="rId41" o:title=""/>
                  <o:lock v:ext="edit" rotation="t" aspectratio="f"/>
                  <w10:wrap type="none"/>
                  <w10:anchorlock/>
                </v:shape>
                <o:OLEObject Type="Embed" ProgID="Equation.3" ShapeID="_x0000_i1035" DrawAspect="Content" ObjectID="_1468075735" r:id="rId40">
                  <o:LockedField>false</o:LockedField>
                </o:OLEObject>
              </w:object>
            </w:r>
          </w:p>
          <w:p w14:paraId="31320175">
            <w:pPr>
              <w:pStyle w:val="32"/>
              <w:keepNext w:val="0"/>
              <w:keepLines w:val="0"/>
              <w:pageBreakBefore w:val="0"/>
              <w:widowControl w:val="0"/>
              <w:kinsoku/>
              <w:wordWrap/>
              <w:overflowPunct/>
              <w:topLinePunct w:val="0"/>
              <w:autoSpaceDE/>
              <w:autoSpaceDN/>
              <w:bidi w:val="0"/>
              <w:adjustRightInd/>
              <w:snapToGrid/>
              <w:spacing w:before="0" w:after="0" w:line="480" w:lineRule="exact"/>
              <w:ind w:firstLineChars="200"/>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w:t>
            </w:r>
            <w:r>
              <w:rPr>
                <w:rFonts w:hint="default" w:ascii="Times New Roman" w:hAnsi="Times New Roman" w:cs="Times New Roman"/>
                <w:i/>
                <w:iCs/>
                <w:color w:val="auto"/>
                <w:kern w:val="0"/>
                <w:highlight w:val="none"/>
              </w:rPr>
              <w:t>L</w:t>
            </w:r>
            <w:r>
              <w:rPr>
                <w:rFonts w:hint="default" w:ascii="Times New Roman" w:hAnsi="Times New Roman" w:cs="Times New Roman"/>
                <w:i/>
                <w:iCs/>
                <w:color w:val="auto"/>
                <w:kern w:val="0"/>
                <w:highlight w:val="none"/>
                <w:vertAlign w:val="subscript"/>
              </w:rPr>
              <w:t>eqg</w:t>
            </w:r>
            <w:r>
              <w:rPr>
                <w:rFonts w:hint="default" w:ascii="Times New Roman" w:hAnsi="Times New Roman" w:cs="Times New Roman"/>
                <w:color w:val="auto"/>
                <w:kern w:val="0"/>
                <w:highlight w:val="none"/>
              </w:rPr>
              <w:t>—建设项目声源在预测点</w:t>
            </w:r>
            <w:r>
              <w:rPr>
                <w:rFonts w:hint="default" w:ascii="Times New Roman" w:hAnsi="Times New Roman" w:cs="Times New Roman"/>
                <w:color w:val="auto"/>
                <w:kern w:val="0"/>
                <w:highlight w:val="none"/>
                <w:lang w:val="en-US" w:eastAsia="zh-CN"/>
              </w:rPr>
              <w:t>产生的噪声</w:t>
            </w:r>
            <w:r>
              <w:rPr>
                <w:rFonts w:hint="default" w:ascii="Times New Roman" w:hAnsi="Times New Roman" w:cs="Times New Roman"/>
                <w:color w:val="auto"/>
                <w:kern w:val="0"/>
                <w:highlight w:val="none"/>
              </w:rPr>
              <w:t>贡献值，dB；</w:t>
            </w:r>
          </w:p>
          <w:p w14:paraId="7C8F460C">
            <w:pPr>
              <w:pStyle w:val="32"/>
              <w:keepNext w:val="0"/>
              <w:keepLines w:val="0"/>
              <w:pageBreakBefore w:val="0"/>
              <w:widowControl w:val="0"/>
              <w:kinsoku/>
              <w:wordWrap/>
              <w:overflowPunct/>
              <w:topLinePunct w:val="0"/>
              <w:autoSpaceDE/>
              <w:autoSpaceDN/>
              <w:bidi w:val="0"/>
              <w:adjustRightInd/>
              <w:snapToGrid/>
              <w:spacing w:before="0" w:after="0" w:line="480" w:lineRule="exact"/>
              <w:ind w:firstLine="1202" w:firstLineChars="501"/>
              <w:textAlignment w:val="auto"/>
              <w:rPr>
                <w:rFonts w:hint="default" w:ascii="Times New Roman" w:hAnsi="Times New Roman" w:cs="Times New Roman"/>
                <w:color w:val="auto"/>
                <w:kern w:val="0"/>
                <w:highlight w:val="none"/>
                <w:lang w:val="en-US" w:eastAsia="zh-CN"/>
              </w:rPr>
            </w:pPr>
            <w:r>
              <w:rPr>
                <w:rFonts w:hint="default" w:ascii="Times New Roman" w:hAnsi="Times New Roman" w:cs="Times New Roman"/>
                <w:i/>
                <w:iCs/>
                <w:color w:val="auto"/>
                <w:kern w:val="0"/>
                <w:highlight w:val="none"/>
                <w:lang w:val="en-US" w:eastAsia="zh-CN"/>
              </w:rPr>
              <w:t>T</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用于计算等效声级的时间，s；</w:t>
            </w:r>
          </w:p>
          <w:p w14:paraId="67262B1A">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i w:val="0"/>
                <w:iCs w:val="0"/>
                <w:color w:val="auto"/>
                <w:kern w:val="0"/>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lang w:val="en-US" w:eastAsia="zh-CN" w:bidi="ar-SA"/>
              </w:rPr>
              <w:t>N—室外声源个数；</w:t>
            </w:r>
          </w:p>
          <w:p w14:paraId="5BEC7DEE">
            <w:pPr>
              <w:pStyle w:val="32"/>
              <w:keepNext w:val="0"/>
              <w:keepLines w:val="0"/>
              <w:pageBreakBefore w:val="0"/>
              <w:widowControl w:val="0"/>
              <w:kinsoku/>
              <w:wordWrap/>
              <w:overflowPunct/>
              <w:topLinePunct w:val="0"/>
              <w:autoSpaceDE/>
              <w:autoSpaceDN/>
              <w:bidi w:val="0"/>
              <w:adjustRightInd/>
              <w:snapToGrid/>
              <w:spacing w:before="0" w:after="0" w:line="480" w:lineRule="exact"/>
              <w:ind w:firstLine="1200" w:firstLineChars="500"/>
              <w:textAlignment w:val="auto"/>
              <w:rPr>
                <w:rFonts w:hint="default" w:ascii="Times New Roman" w:hAnsi="Times New Roman" w:cs="Times New Roman"/>
                <w:color w:val="auto"/>
                <w:kern w:val="0"/>
                <w:highlight w:val="none"/>
                <w:lang w:eastAsia="zh-CN"/>
              </w:rPr>
            </w:pPr>
            <w:r>
              <w:rPr>
                <w:rFonts w:hint="default" w:ascii="Times New Roman" w:hAnsi="Times New Roman" w:cs="Times New Roman"/>
                <w:color w:val="auto"/>
                <w:kern w:val="0"/>
                <w:highlight w:val="none"/>
              </w:rPr>
              <w:t>t</w:t>
            </w:r>
            <w:r>
              <w:rPr>
                <w:rFonts w:hint="default" w:ascii="Times New Roman" w:hAnsi="Times New Roman" w:cs="Times New Roman"/>
                <w:color w:val="auto"/>
                <w:kern w:val="0"/>
                <w:highlight w:val="none"/>
                <w:vertAlign w:val="subscript"/>
              </w:rPr>
              <w:t>i</w:t>
            </w:r>
            <w:r>
              <w:rPr>
                <w:rFonts w:hint="default" w:ascii="Times New Roman" w:hAnsi="Times New Roman" w:cs="Times New Roman"/>
                <w:color w:val="auto"/>
                <w:kern w:val="0"/>
                <w:highlight w:val="none"/>
              </w:rPr>
              <w:t>— 在T</w:t>
            </w:r>
            <w:r>
              <w:rPr>
                <w:rFonts w:hint="default" w:ascii="Times New Roman" w:hAnsi="Times New Roman" w:cs="Times New Roman"/>
                <w:color w:val="auto"/>
                <w:kern w:val="0"/>
                <w:highlight w:val="none"/>
                <w:lang w:val="en-US" w:eastAsia="zh-CN"/>
              </w:rPr>
              <w:t>时间内i声源工作</w:t>
            </w:r>
            <w:r>
              <w:rPr>
                <w:rFonts w:hint="default" w:ascii="Times New Roman" w:hAnsi="Times New Roman" w:cs="Times New Roman"/>
                <w:color w:val="auto"/>
                <w:kern w:val="0"/>
                <w:highlight w:val="none"/>
              </w:rPr>
              <w:t>时间，s</w:t>
            </w:r>
            <w:r>
              <w:rPr>
                <w:rFonts w:hint="default" w:ascii="Times New Roman" w:hAnsi="Times New Roman" w:cs="Times New Roman"/>
                <w:color w:val="auto"/>
                <w:kern w:val="0"/>
                <w:highlight w:val="none"/>
                <w:lang w:eastAsia="zh-CN"/>
              </w:rPr>
              <w:t>；</w:t>
            </w:r>
          </w:p>
          <w:p w14:paraId="341C4A22">
            <w:pPr>
              <w:pStyle w:val="32"/>
              <w:keepNext w:val="0"/>
              <w:keepLines w:val="0"/>
              <w:pageBreakBefore w:val="0"/>
              <w:widowControl w:val="0"/>
              <w:kinsoku/>
              <w:wordWrap/>
              <w:overflowPunct/>
              <w:topLinePunct w:val="0"/>
              <w:autoSpaceDE/>
              <w:autoSpaceDN/>
              <w:bidi w:val="0"/>
              <w:adjustRightInd/>
              <w:snapToGrid/>
              <w:spacing w:before="0" w:after="0" w:line="480" w:lineRule="exact"/>
              <w:ind w:firstLine="960" w:firstLineChars="400"/>
              <w:textAlignment w:val="auto"/>
              <w:rPr>
                <w:rFonts w:hint="default" w:ascii="Times New Roman" w:hAnsi="Times New Roman" w:cs="Times New Roman"/>
                <w:color w:val="auto"/>
                <w:kern w:val="0"/>
                <w:highlight w:val="none"/>
                <w:lang w:val="en-US" w:eastAsia="zh-CN"/>
              </w:rPr>
            </w:pPr>
            <w:r>
              <w:rPr>
                <w:rFonts w:hint="default" w:ascii="Times New Roman" w:hAnsi="Times New Roman" w:cs="Times New Roman"/>
                <w:color w:val="auto"/>
                <w:kern w:val="0"/>
                <w:highlight w:val="none"/>
                <w:lang w:val="en-US" w:eastAsia="zh-CN"/>
              </w:rPr>
              <w:t>M</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等效室外声源个数；</w:t>
            </w:r>
          </w:p>
          <w:p w14:paraId="7396FE4F">
            <w:pPr>
              <w:pStyle w:val="32"/>
              <w:keepNext w:val="0"/>
              <w:keepLines w:val="0"/>
              <w:pageBreakBefore w:val="0"/>
              <w:widowControl w:val="0"/>
              <w:kinsoku/>
              <w:wordWrap/>
              <w:overflowPunct/>
              <w:topLinePunct w:val="0"/>
              <w:autoSpaceDE/>
              <w:autoSpaceDN/>
              <w:bidi w:val="0"/>
              <w:adjustRightInd/>
              <w:snapToGrid/>
              <w:spacing w:before="0" w:after="0" w:line="480" w:lineRule="exact"/>
              <w:ind w:firstLine="960" w:firstLineChars="400"/>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t</w:t>
            </w:r>
            <w:r>
              <w:rPr>
                <w:rFonts w:hint="default" w:ascii="Times New Roman" w:hAnsi="Times New Roman" w:cs="Times New Roman"/>
                <w:color w:val="auto"/>
                <w:kern w:val="0"/>
                <w:highlight w:val="none"/>
                <w:vertAlign w:val="subscript"/>
                <w:lang w:val="en-US" w:eastAsia="zh-CN"/>
              </w:rPr>
              <w:t>j</w:t>
            </w:r>
            <w:r>
              <w:rPr>
                <w:rFonts w:hint="default" w:ascii="Times New Roman" w:hAnsi="Times New Roman" w:cs="Times New Roman"/>
                <w:color w:val="auto"/>
                <w:kern w:val="0"/>
                <w:highlight w:val="none"/>
              </w:rPr>
              <w:t>—在T</w:t>
            </w:r>
            <w:r>
              <w:rPr>
                <w:rFonts w:hint="default" w:ascii="Times New Roman" w:hAnsi="Times New Roman" w:cs="Times New Roman"/>
                <w:color w:val="auto"/>
                <w:kern w:val="0"/>
                <w:highlight w:val="none"/>
                <w:lang w:val="en-US" w:eastAsia="zh-CN"/>
              </w:rPr>
              <w:t>时间内j声源工作</w:t>
            </w:r>
            <w:r>
              <w:rPr>
                <w:rFonts w:hint="default" w:ascii="Times New Roman" w:hAnsi="Times New Roman" w:cs="Times New Roman"/>
                <w:color w:val="auto"/>
                <w:kern w:val="0"/>
                <w:highlight w:val="none"/>
              </w:rPr>
              <w:t>时间，s。</w:t>
            </w:r>
          </w:p>
          <w:p w14:paraId="35DE079F">
            <w:pPr>
              <w:pStyle w:val="32"/>
              <w:spacing w:before="0" w:after="0" w:line="480" w:lineRule="exac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fldChar w:fldCharType="begin"/>
            </w:r>
            <w:r>
              <w:rPr>
                <w:rFonts w:hint="default" w:ascii="Times New Roman" w:hAnsi="Times New Roman" w:cs="Times New Roman"/>
                <w:color w:val="auto"/>
                <w:kern w:val="0"/>
                <w:highlight w:val="none"/>
              </w:rPr>
              <w:instrText xml:space="preserve"> = 4 \* GB3 \* MERGEFORMAT </w:instrText>
            </w:r>
            <w:r>
              <w:rPr>
                <w:rFonts w:hint="default" w:ascii="Times New Roman" w:hAnsi="Times New Roman" w:cs="Times New Roman"/>
                <w:color w:val="auto"/>
                <w:kern w:val="0"/>
                <w:highlight w:val="none"/>
              </w:rPr>
              <w:fldChar w:fldCharType="separate"/>
            </w:r>
            <w:r>
              <w:rPr>
                <w:rFonts w:hint="default" w:ascii="Times New Roman" w:hAnsi="Times New Roman" w:cs="Times New Roman"/>
                <w:color w:val="auto"/>
                <w:highlight w:val="none"/>
              </w:rPr>
              <w:t>④</w:t>
            </w:r>
            <w:r>
              <w:rPr>
                <w:rFonts w:hint="default" w:ascii="Times New Roman" w:hAnsi="Times New Roman" w:cs="Times New Roman"/>
                <w:color w:val="auto"/>
                <w:kern w:val="0"/>
                <w:highlight w:val="none"/>
              </w:rPr>
              <w:fldChar w:fldCharType="end"/>
            </w:r>
            <w:r>
              <w:rPr>
                <w:rFonts w:hint="default" w:ascii="Times New Roman" w:hAnsi="Times New Roman" w:cs="Times New Roman"/>
                <w:color w:val="auto"/>
                <w:kern w:val="0"/>
                <w:highlight w:val="none"/>
              </w:rPr>
              <w:t xml:space="preserve">噪声预测值 </w:t>
            </w:r>
          </w:p>
          <w:p w14:paraId="7BE05F0E">
            <w:pPr>
              <w:pStyle w:val="32"/>
              <w:spacing w:before="0" w:after="0" w:line="480" w:lineRule="exact"/>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预测点的噪声预测值（L</w:t>
            </w:r>
            <w:r>
              <w:rPr>
                <w:rFonts w:hint="default" w:ascii="Times New Roman" w:hAnsi="Times New Roman" w:cs="Times New Roman"/>
                <w:color w:val="auto"/>
                <w:kern w:val="0"/>
                <w:highlight w:val="none"/>
                <w:vertAlign w:val="subscript"/>
              </w:rPr>
              <w:t>eq</w:t>
            </w:r>
            <w:r>
              <w:rPr>
                <w:rFonts w:hint="default" w:ascii="Times New Roman" w:hAnsi="Times New Roman" w:cs="Times New Roman"/>
                <w:color w:val="auto"/>
                <w:kern w:val="0"/>
                <w:highlight w:val="none"/>
              </w:rPr>
              <w:t>）计算公式</w:t>
            </w:r>
            <w:r>
              <w:rPr>
                <w:rFonts w:hint="default" w:ascii="Times New Roman" w:hAnsi="Times New Roman" w:cs="Times New Roman"/>
                <w:color w:val="auto"/>
                <w:kern w:val="0"/>
                <w:highlight w:val="none"/>
                <w:lang w:eastAsia="zh-CN"/>
              </w:rPr>
              <w:t>：</w:t>
            </w:r>
          </w:p>
          <w:p w14:paraId="39E44272">
            <w:pPr>
              <w:pStyle w:val="32"/>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position w:val="-14"/>
                <w:highlight w:val="none"/>
                <w:lang w:eastAsia="zh-CN"/>
              </w:rPr>
              <w:object>
                <v:shape id="_x0000_i1036" o:spt="75" type="#_x0000_t75" style="height:23pt;width:136pt;" o:ole="t" filled="f" o:preferrelative="t" stroked="f" coordsize="21600,21600">
                  <v:path/>
                  <v:fill on="f" focussize="0,0"/>
                  <v:stroke on="f"/>
                  <v:imagedata r:id="rId43" o:title=""/>
                  <o:lock v:ext="edit" aspectratio="t"/>
                  <w10:wrap type="none"/>
                  <w10:anchorlock/>
                </v:shape>
                <o:OLEObject Type="Embed" ProgID="Equation.KSEE3" ShapeID="_x0000_i1036" DrawAspect="Content" ObjectID="_1468075736" r:id="rId42">
                  <o:LockedField>false</o:LockedField>
                </o:OLEObject>
              </w:object>
            </w:r>
          </w:p>
          <w:p w14:paraId="6A935A81">
            <w:pPr>
              <w:pStyle w:val="32"/>
              <w:spacing w:before="0" w:after="0" w:line="480" w:lineRule="exact"/>
              <w:ind w:firstLineChars="2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w:t>
            </w:r>
            <w:r>
              <w:rPr>
                <w:rFonts w:hint="default" w:ascii="Times New Roman" w:hAnsi="Times New Roman" w:cs="Times New Roman"/>
                <w:i/>
                <w:iCs/>
                <w:color w:val="auto"/>
                <w:kern w:val="0"/>
                <w:highlight w:val="none"/>
              </w:rPr>
              <w:t>L</w:t>
            </w:r>
            <w:r>
              <w:rPr>
                <w:rFonts w:hint="default" w:ascii="Times New Roman" w:hAnsi="Times New Roman" w:cs="Times New Roman"/>
                <w:i/>
                <w:iCs/>
                <w:color w:val="auto"/>
                <w:kern w:val="0"/>
                <w:highlight w:val="none"/>
                <w:vertAlign w:val="subscript"/>
              </w:rPr>
              <w:t>eq</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预测点的噪声预测值</w:t>
            </w:r>
            <w:r>
              <w:rPr>
                <w:rFonts w:hint="default" w:ascii="Times New Roman" w:hAnsi="Times New Roman" w:cs="Times New Roman"/>
                <w:color w:val="auto"/>
                <w:kern w:val="0"/>
                <w:highlight w:val="none"/>
              </w:rPr>
              <w:t>，dB；</w:t>
            </w:r>
          </w:p>
          <w:p w14:paraId="75847F3C">
            <w:pPr>
              <w:pStyle w:val="32"/>
              <w:spacing w:before="0" w:after="0" w:line="480" w:lineRule="exact"/>
              <w:ind w:firstLine="1200" w:firstLineChars="500"/>
              <w:rPr>
                <w:rFonts w:hint="default" w:ascii="Times New Roman" w:hAnsi="Times New Roman" w:cs="Times New Roman"/>
                <w:color w:val="auto"/>
                <w:kern w:val="0"/>
                <w:highlight w:val="none"/>
                <w:lang w:val="en-US" w:eastAsia="zh-CN"/>
              </w:rPr>
            </w:pPr>
            <w:r>
              <w:rPr>
                <w:rFonts w:hint="default" w:ascii="Times New Roman" w:hAnsi="Times New Roman" w:cs="Times New Roman"/>
                <w:i/>
                <w:iCs/>
                <w:color w:val="auto"/>
                <w:kern w:val="0"/>
                <w:highlight w:val="none"/>
                <w:lang w:val="en-US" w:eastAsia="zh-CN"/>
              </w:rPr>
              <w:t>L</w:t>
            </w:r>
            <w:r>
              <w:rPr>
                <w:rFonts w:hint="default" w:ascii="Times New Roman" w:hAnsi="Times New Roman" w:cs="Times New Roman"/>
                <w:i/>
                <w:iCs/>
                <w:color w:val="auto"/>
                <w:kern w:val="0"/>
                <w:highlight w:val="none"/>
                <w:vertAlign w:val="subscript"/>
                <w:lang w:val="en-US" w:eastAsia="zh-CN"/>
              </w:rPr>
              <w:t>eqg</w:t>
            </w:r>
            <w:r>
              <w:rPr>
                <w:rFonts w:hint="default" w:ascii="Times New Roman" w:hAnsi="Times New Roman" w:cs="Times New Roman"/>
                <w:color w:val="auto"/>
                <w:kern w:val="0"/>
                <w:highlight w:val="none"/>
                <w:lang w:val="en-US" w:eastAsia="zh-CN"/>
              </w:rPr>
              <w:t>—建设项目声源在预测点产生的噪声贡献值，dB；</w:t>
            </w:r>
          </w:p>
          <w:p w14:paraId="62353CA8">
            <w:pPr>
              <w:pStyle w:val="11"/>
              <w:keepNext w:val="0"/>
              <w:keepLines w:val="0"/>
              <w:pageBreakBefore w:val="0"/>
              <w:widowControl w:val="0"/>
              <w:kinsoku/>
              <w:wordWrap/>
              <w:overflowPunct/>
              <w:topLinePunct w:val="0"/>
              <w:autoSpaceDE/>
              <w:autoSpaceDN/>
              <w:bidi w:val="0"/>
              <w:adjustRightInd/>
              <w:snapToGrid/>
              <w:spacing w:after="0" w:line="480" w:lineRule="exact"/>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i/>
                <w:iCs/>
                <w:color w:val="auto"/>
                <w:kern w:val="0"/>
                <w:highlight w:val="none"/>
                <w:lang w:val="en-US" w:eastAsia="zh-CN"/>
              </w:rPr>
              <w:t>L</w:t>
            </w:r>
            <w:r>
              <w:rPr>
                <w:rFonts w:hint="default" w:ascii="Times New Roman" w:hAnsi="Times New Roman" w:cs="Times New Roman"/>
                <w:i/>
                <w:iCs/>
                <w:color w:val="auto"/>
                <w:kern w:val="0"/>
                <w:highlight w:val="none"/>
                <w:vertAlign w:val="subscript"/>
                <w:lang w:val="en-US" w:eastAsia="zh-CN"/>
              </w:rPr>
              <w:t>eqb</w:t>
            </w:r>
            <w:r>
              <w:rPr>
                <w:rFonts w:hint="default" w:ascii="Times New Roman" w:hAnsi="Times New Roman" w:cs="Times New Roman"/>
                <w:color w:val="auto"/>
                <w:kern w:val="0"/>
                <w:highlight w:val="none"/>
                <w:lang w:val="en-US" w:eastAsia="zh-CN"/>
              </w:rPr>
              <w:t>—预测点的背景噪声值，dB。</w:t>
            </w:r>
          </w:p>
          <w:p w14:paraId="252DC4B6">
            <w:pPr>
              <w:bidi w:val="0"/>
              <w:rPr>
                <w:rFonts w:hint="default"/>
                <w:color w:val="auto"/>
                <w:highlight w:val="none"/>
              </w:rPr>
            </w:pPr>
            <w:r>
              <w:rPr>
                <w:rFonts w:hint="eastAsia"/>
                <w:color w:val="auto"/>
                <w:highlight w:val="none"/>
              </w:rPr>
              <w:t>（2）</w:t>
            </w:r>
            <w:r>
              <w:rPr>
                <w:rFonts w:hint="default"/>
                <w:color w:val="auto"/>
                <w:highlight w:val="none"/>
              </w:rPr>
              <w:t>预测结果</w:t>
            </w:r>
          </w:p>
          <w:p w14:paraId="76331C19">
            <w:pPr>
              <w:bidi w:val="0"/>
              <w:rPr>
                <w:rFonts w:hint="default"/>
                <w:color w:val="auto"/>
                <w:highlight w:val="none"/>
              </w:rPr>
            </w:pPr>
            <w:r>
              <w:rPr>
                <w:rFonts w:hint="eastAsia"/>
                <w:color w:val="auto"/>
                <w:highlight w:val="none"/>
                <w:lang w:val="en-US" w:eastAsia="zh-CN"/>
              </w:rPr>
              <w:t>车间</w:t>
            </w:r>
            <w:r>
              <w:rPr>
                <w:rFonts w:hint="default"/>
                <w:color w:val="auto"/>
                <w:highlight w:val="none"/>
              </w:rPr>
              <w:t>到项目厂界的距离如下：</w:t>
            </w:r>
          </w:p>
          <w:p w14:paraId="6A6EAC30">
            <w:pPr>
              <w:pStyle w:val="33"/>
              <w:bidi w:val="0"/>
              <w:rPr>
                <w:rFonts w:hint="eastAsia" w:eastAsia="宋体"/>
                <w:color w:val="auto"/>
                <w:sz w:val="21"/>
                <w:szCs w:val="21"/>
                <w:highlight w:val="none"/>
                <w:lang w:val="en-US" w:eastAsia="zh-CN"/>
              </w:rPr>
            </w:pPr>
            <w:r>
              <w:rPr>
                <w:rFonts w:hint="default"/>
                <w:color w:val="auto"/>
                <w:sz w:val="21"/>
                <w:szCs w:val="21"/>
                <w:highlight w:val="none"/>
              </w:rPr>
              <w:t>表</w:t>
            </w:r>
            <w:r>
              <w:rPr>
                <w:rFonts w:hint="eastAsia"/>
                <w:color w:val="auto"/>
                <w:sz w:val="21"/>
                <w:szCs w:val="21"/>
                <w:highlight w:val="none"/>
                <w:lang w:val="en-US" w:eastAsia="zh-CN"/>
              </w:rPr>
              <w:t>55</w:t>
            </w:r>
            <w:r>
              <w:rPr>
                <w:rFonts w:hint="eastAsia"/>
                <w:color w:val="auto"/>
                <w:sz w:val="21"/>
                <w:szCs w:val="21"/>
                <w:highlight w:val="none"/>
              </w:rPr>
              <w:t xml:space="preserve">  </w:t>
            </w:r>
            <w:r>
              <w:rPr>
                <w:rFonts w:hint="default"/>
                <w:color w:val="auto"/>
                <w:sz w:val="21"/>
                <w:szCs w:val="21"/>
                <w:highlight w:val="none"/>
              </w:rPr>
              <w:t>本项目</w:t>
            </w:r>
            <w:r>
              <w:rPr>
                <w:rFonts w:hint="eastAsia"/>
                <w:color w:val="auto"/>
                <w:sz w:val="21"/>
                <w:szCs w:val="21"/>
                <w:highlight w:val="none"/>
                <w:lang w:val="en-US" w:eastAsia="zh-CN"/>
              </w:rPr>
              <w:t>车间距</w:t>
            </w:r>
            <w:r>
              <w:rPr>
                <w:rFonts w:hint="default"/>
                <w:color w:val="auto"/>
                <w:sz w:val="21"/>
                <w:szCs w:val="21"/>
                <w:highlight w:val="none"/>
              </w:rPr>
              <w:t>厂界距离</w:t>
            </w:r>
            <w:r>
              <w:rPr>
                <w:rFonts w:hint="eastAsia"/>
                <w:color w:val="auto"/>
                <w:sz w:val="21"/>
                <w:szCs w:val="21"/>
                <w:highlight w:val="none"/>
                <w:lang w:val="en-US" w:eastAsia="zh-CN"/>
              </w:rPr>
              <w:t>一览表</w:t>
            </w:r>
          </w:p>
          <w:tbl>
            <w:tblPr>
              <w:tblStyle w:val="25"/>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816"/>
              <w:gridCol w:w="1521"/>
              <w:gridCol w:w="1507"/>
              <w:gridCol w:w="1272"/>
              <w:gridCol w:w="1370"/>
            </w:tblGrid>
            <w:tr w14:paraId="220E2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98" w:type="dxa"/>
                  <w:tcBorders>
                    <w:tl2br w:val="nil"/>
                    <w:tr2bl w:val="nil"/>
                  </w:tcBorders>
                  <w:vAlign w:val="center"/>
                </w:tcPr>
                <w:p w14:paraId="3BCFD4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序号</w:t>
                  </w:r>
                </w:p>
              </w:tc>
              <w:tc>
                <w:tcPr>
                  <w:tcW w:w="1804" w:type="dxa"/>
                  <w:tcBorders>
                    <w:tl2br w:val="nil"/>
                    <w:tr2bl w:val="nil"/>
                  </w:tcBorders>
                  <w:vAlign w:val="center"/>
                </w:tcPr>
                <w:p w14:paraId="7FAE09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噪声源</w:t>
                  </w:r>
                </w:p>
              </w:tc>
              <w:tc>
                <w:tcPr>
                  <w:tcW w:w="1511" w:type="dxa"/>
                  <w:tcBorders>
                    <w:tl2br w:val="nil"/>
                    <w:tr2bl w:val="nil"/>
                  </w:tcBorders>
                  <w:vAlign w:val="center"/>
                </w:tcPr>
                <w:p w14:paraId="3852B1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东厂界（m）</w:t>
                  </w:r>
                </w:p>
              </w:tc>
              <w:tc>
                <w:tcPr>
                  <w:tcW w:w="1497" w:type="dxa"/>
                  <w:tcBorders>
                    <w:tl2br w:val="nil"/>
                    <w:tr2bl w:val="nil"/>
                  </w:tcBorders>
                  <w:vAlign w:val="center"/>
                </w:tcPr>
                <w:p w14:paraId="2CD54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南厂界（m）</w:t>
                  </w:r>
                </w:p>
              </w:tc>
              <w:tc>
                <w:tcPr>
                  <w:tcW w:w="1264" w:type="dxa"/>
                  <w:tcBorders>
                    <w:tl2br w:val="nil"/>
                    <w:tr2bl w:val="nil"/>
                  </w:tcBorders>
                  <w:vAlign w:val="center"/>
                </w:tcPr>
                <w:p w14:paraId="6D965C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西厂界（m）</w:t>
                  </w:r>
                </w:p>
              </w:tc>
              <w:tc>
                <w:tcPr>
                  <w:tcW w:w="1360" w:type="dxa"/>
                  <w:tcBorders>
                    <w:tl2br w:val="nil"/>
                    <w:tr2bl w:val="nil"/>
                  </w:tcBorders>
                  <w:vAlign w:val="center"/>
                </w:tcPr>
                <w:p w14:paraId="56C063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北厂界（m）</w:t>
                  </w:r>
                </w:p>
              </w:tc>
            </w:tr>
            <w:tr w14:paraId="04E60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98" w:type="dxa"/>
                  <w:tcBorders>
                    <w:tl2br w:val="nil"/>
                    <w:tr2bl w:val="nil"/>
                  </w:tcBorders>
                  <w:vAlign w:val="center"/>
                </w:tcPr>
                <w:p w14:paraId="1A144861">
                  <w:pPr>
                    <w:keepNext w:val="0"/>
                    <w:keepLines w:val="0"/>
                    <w:pageBreakBefore w:val="0"/>
                    <w:widowControl w:val="0"/>
                    <w:numPr>
                      <w:ilvl w:val="0"/>
                      <w:numId w:val="3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804" w:type="dxa"/>
                  <w:tcBorders>
                    <w:tl2br w:val="nil"/>
                    <w:tr2bl w:val="nil"/>
                  </w:tcBorders>
                  <w:vAlign w:val="center"/>
                </w:tcPr>
                <w:p w14:paraId="349A51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ahoma"/>
                      <w:color w:val="auto"/>
                      <w:sz w:val="21"/>
                      <w:szCs w:val="21"/>
                      <w:highlight w:val="none"/>
                      <w:lang w:val="en-US" w:eastAsia="zh-CN"/>
                    </w:rPr>
                    <w:t>1#厂房</w:t>
                  </w:r>
                </w:p>
              </w:tc>
              <w:tc>
                <w:tcPr>
                  <w:tcW w:w="1511" w:type="dxa"/>
                  <w:tcBorders>
                    <w:tl2br w:val="nil"/>
                    <w:tr2bl w:val="nil"/>
                  </w:tcBorders>
                  <w:vAlign w:val="center"/>
                </w:tcPr>
                <w:p w14:paraId="34CDAF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107</w:t>
                  </w:r>
                </w:p>
              </w:tc>
              <w:tc>
                <w:tcPr>
                  <w:tcW w:w="1497" w:type="dxa"/>
                  <w:tcBorders>
                    <w:tl2br w:val="nil"/>
                    <w:tr2bl w:val="nil"/>
                  </w:tcBorders>
                  <w:vAlign w:val="center"/>
                </w:tcPr>
                <w:p w14:paraId="1F358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147</w:t>
                  </w:r>
                </w:p>
              </w:tc>
              <w:tc>
                <w:tcPr>
                  <w:tcW w:w="1264" w:type="dxa"/>
                  <w:tcBorders>
                    <w:tl2br w:val="nil"/>
                    <w:tr2bl w:val="nil"/>
                  </w:tcBorders>
                  <w:vAlign w:val="center"/>
                </w:tcPr>
                <w:p w14:paraId="6AB232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1360" w:type="dxa"/>
                  <w:tcBorders>
                    <w:tl2br w:val="nil"/>
                    <w:tr2bl w:val="nil"/>
                  </w:tcBorders>
                  <w:vAlign w:val="center"/>
                </w:tcPr>
                <w:p w14:paraId="57403B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r>
            <w:tr w14:paraId="5E9B7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98" w:type="dxa"/>
                  <w:tcBorders>
                    <w:tl2br w:val="nil"/>
                    <w:tr2bl w:val="nil"/>
                  </w:tcBorders>
                  <w:vAlign w:val="center"/>
                </w:tcPr>
                <w:p w14:paraId="3B3331A2">
                  <w:pPr>
                    <w:keepNext w:val="0"/>
                    <w:keepLines w:val="0"/>
                    <w:pageBreakBefore w:val="0"/>
                    <w:widowControl w:val="0"/>
                    <w:numPr>
                      <w:ilvl w:val="0"/>
                      <w:numId w:val="3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804" w:type="dxa"/>
                  <w:tcBorders>
                    <w:tl2br w:val="nil"/>
                    <w:tr2bl w:val="nil"/>
                  </w:tcBorders>
                  <w:vAlign w:val="center"/>
                </w:tcPr>
                <w:p w14:paraId="174BF3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ahoma"/>
                      <w:color w:val="auto"/>
                      <w:sz w:val="21"/>
                      <w:szCs w:val="21"/>
                      <w:highlight w:val="none"/>
                      <w:lang w:val="en-US" w:eastAsia="zh-CN"/>
                    </w:rPr>
                  </w:pPr>
                  <w:r>
                    <w:rPr>
                      <w:rFonts w:hint="eastAsia" w:cs="Tahoma"/>
                      <w:color w:val="auto"/>
                      <w:sz w:val="21"/>
                      <w:szCs w:val="21"/>
                      <w:highlight w:val="none"/>
                      <w:lang w:val="en-US" w:eastAsia="zh-CN"/>
                    </w:rPr>
                    <w:t>2#厂房</w:t>
                  </w:r>
                </w:p>
              </w:tc>
              <w:tc>
                <w:tcPr>
                  <w:tcW w:w="1511" w:type="dxa"/>
                  <w:tcBorders>
                    <w:tl2br w:val="nil"/>
                    <w:tr2bl w:val="nil"/>
                  </w:tcBorders>
                  <w:vAlign w:val="center"/>
                </w:tcPr>
                <w:p w14:paraId="1757E3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107</w:t>
                  </w:r>
                </w:p>
              </w:tc>
              <w:tc>
                <w:tcPr>
                  <w:tcW w:w="1497" w:type="dxa"/>
                  <w:tcBorders>
                    <w:tl2br w:val="nil"/>
                    <w:tr2bl w:val="nil"/>
                  </w:tcBorders>
                  <w:vAlign w:val="center"/>
                </w:tcPr>
                <w:p w14:paraId="31B510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59</w:t>
                  </w:r>
                </w:p>
              </w:tc>
              <w:tc>
                <w:tcPr>
                  <w:tcW w:w="1264" w:type="dxa"/>
                  <w:tcBorders>
                    <w:tl2br w:val="nil"/>
                    <w:tr2bl w:val="nil"/>
                  </w:tcBorders>
                  <w:vAlign w:val="center"/>
                </w:tcPr>
                <w:p w14:paraId="293CE6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1360" w:type="dxa"/>
                  <w:tcBorders>
                    <w:tl2br w:val="nil"/>
                    <w:tr2bl w:val="nil"/>
                  </w:tcBorders>
                  <w:vAlign w:val="center"/>
                </w:tcPr>
                <w:p w14:paraId="30BDD1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r>
            <w:tr w14:paraId="30DE8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98" w:type="dxa"/>
                  <w:tcBorders>
                    <w:tl2br w:val="nil"/>
                    <w:tr2bl w:val="nil"/>
                  </w:tcBorders>
                  <w:vAlign w:val="center"/>
                </w:tcPr>
                <w:p w14:paraId="6C2BBDE2">
                  <w:pPr>
                    <w:keepNext w:val="0"/>
                    <w:keepLines w:val="0"/>
                    <w:pageBreakBefore w:val="0"/>
                    <w:widowControl w:val="0"/>
                    <w:numPr>
                      <w:ilvl w:val="0"/>
                      <w:numId w:val="3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804" w:type="dxa"/>
                  <w:tcBorders>
                    <w:tl2br w:val="nil"/>
                    <w:tr2bl w:val="nil"/>
                  </w:tcBorders>
                  <w:vAlign w:val="center"/>
                </w:tcPr>
                <w:p w14:paraId="0AF4CE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ahoma"/>
                      <w:color w:val="auto"/>
                      <w:sz w:val="21"/>
                      <w:szCs w:val="21"/>
                      <w:highlight w:val="none"/>
                      <w:lang w:val="en-US" w:eastAsia="zh-CN"/>
                    </w:rPr>
                  </w:pPr>
                  <w:r>
                    <w:rPr>
                      <w:rFonts w:hint="eastAsia" w:cs="Tahoma"/>
                      <w:color w:val="auto"/>
                      <w:sz w:val="21"/>
                      <w:szCs w:val="21"/>
                      <w:highlight w:val="none"/>
                      <w:lang w:val="en-US" w:eastAsia="zh-CN"/>
                    </w:rPr>
                    <w:t>综合楼</w:t>
                  </w:r>
                </w:p>
              </w:tc>
              <w:tc>
                <w:tcPr>
                  <w:tcW w:w="1511" w:type="dxa"/>
                  <w:tcBorders>
                    <w:tl2br w:val="nil"/>
                    <w:tr2bl w:val="nil"/>
                  </w:tcBorders>
                  <w:vAlign w:val="center"/>
                </w:tcPr>
                <w:p w14:paraId="6DA542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w:t>
                  </w:r>
                </w:p>
              </w:tc>
              <w:tc>
                <w:tcPr>
                  <w:tcW w:w="1497" w:type="dxa"/>
                  <w:tcBorders>
                    <w:tl2br w:val="nil"/>
                    <w:tr2bl w:val="nil"/>
                  </w:tcBorders>
                  <w:vAlign w:val="center"/>
                </w:tcPr>
                <w:p w14:paraId="7CFADC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1264" w:type="dxa"/>
                  <w:tcBorders>
                    <w:tl2br w:val="nil"/>
                    <w:tr2bl w:val="nil"/>
                  </w:tcBorders>
                  <w:vAlign w:val="center"/>
                </w:tcPr>
                <w:p w14:paraId="4BD83A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w:t>
                  </w:r>
                </w:p>
              </w:tc>
              <w:tc>
                <w:tcPr>
                  <w:tcW w:w="1360" w:type="dxa"/>
                  <w:tcBorders>
                    <w:tl2br w:val="nil"/>
                    <w:tr2bl w:val="nil"/>
                  </w:tcBorders>
                  <w:vAlign w:val="center"/>
                </w:tcPr>
                <w:p w14:paraId="6523C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200</w:t>
                  </w:r>
                </w:p>
              </w:tc>
            </w:tr>
          </w:tbl>
          <w:p w14:paraId="4CAC53A8">
            <w:pPr>
              <w:bidi w:val="0"/>
              <w:rPr>
                <w:rFonts w:hint="default"/>
                <w:color w:val="auto"/>
                <w:highlight w:val="none"/>
                <w:lang w:val="zh-CN"/>
              </w:rPr>
            </w:pPr>
            <w:r>
              <w:rPr>
                <w:rFonts w:hint="default"/>
                <w:color w:val="auto"/>
                <w:highlight w:val="none"/>
              </w:rPr>
              <w:t>按照噪声预测模式，</w:t>
            </w:r>
            <w:r>
              <w:rPr>
                <w:rFonts w:hint="eastAsia"/>
                <w:color w:val="auto"/>
                <w:highlight w:val="none"/>
                <w:lang w:val="en-US" w:eastAsia="zh-CN"/>
              </w:rPr>
              <w:t>采取</w:t>
            </w:r>
            <w:r>
              <w:rPr>
                <w:rFonts w:hint="default"/>
                <w:b w:val="0"/>
                <w:bCs w:val="0"/>
                <w:color w:val="auto"/>
                <w:highlight w:val="none"/>
              </w:rPr>
              <w:t>基础</w:t>
            </w:r>
            <w:r>
              <w:rPr>
                <w:rFonts w:hint="eastAsia"/>
                <w:b w:val="0"/>
                <w:bCs w:val="0"/>
                <w:color w:val="auto"/>
                <w:highlight w:val="none"/>
                <w:lang w:eastAsia="zh-CN"/>
              </w:rPr>
              <w:t>减振</w:t>
            </w:r>
            <w:r>
              <w:rPr>
                <w:rFonts w:hint="default"/>
                <w:b w:val="0"/>
                <w:bCs w:val="0"/>
                <w:color w:val="auto"/>
                <w:highlight w:val="none"/>
              </w:rPr>
              <w:t>、</w:t>
            </w:r>
            <w:r>
              <w:rPr>
                <w:rFonts w:hint="eastAsia"/>
                <w:b w:val="0"/>
                <w:bCs w:val="0"/>
                <w:color w:val="auto"/>
                <w:highlight w:val="none"/>
                <w:lang w:val="en-US" w:eastAsia="zh-CN"/>
              </w:rPr>
              <w:t>厂房隔声</w:t>
            </w:r>
            <w:r>
              <w:rPr>
                <w:rFonts w:hint="default"/>
                <w:b w:val="0"/>
                <w:bCs w:val="0"/>
                <w:color w:val="auto"/>
                <w:highlight w:val="none"/>
              </w:rPr>
              <w:t>等措施</w:t>
            </w:r>
            <w:r>
              <w:rPr>
                <w:rFonts w:hint="default"/>
                <w:color w:val="auto"/>
                <w:highlight w:val="none"/>
                <w:lang w:val="zh-CN"/>
              </w:rPr>
              <w:t>后，噪声源到各厂界</w:t>
            </w:r>
            <w:r>
              <w:rPr>
                <w:rFonts w:hint="eastAsia"/>
                <w:color w:val="auto"/>
                <w:highlight w:val="none"/>
                <w:lang w:val="en-US" w:eastAsia="zh-CN"/>
              </w:rPr>
              <w:t>噪声贡献</w:t>
            </w:r>
            <w:r>
              <w:rPr>
                <w:rFonts w:hint="default"/>
                <w:color w:val="auto"/>
                <w:highlight w:val="none"/>
                <w:lang w:val="zh-CN"/>
              </w:rPr>
              <w:t>值见下表。</w:t>
            </w:r>
          </w:p>
          <w:p w14:paraId="4458C13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zh-CN"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56</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r>
              <w:rPr>
                <w:rFonts w:hint="default" w:ascii="Times New Roman" w:hAnsi="Times New Roman" w:eastAsia="宋体" w:cs="Times New Roman"/>
                <w:b/>
                <w:bCs/>
                <w:color w:val="auto"/>
                <w:sz w:val="21"/>
                <w:szCs w:val="21"/>
                <w:highlight w:val="none"/>
                <w:shd w:val="clear" w:color="auto" w:fill="auto"/>
                <w:lang w:val="zh-CN" w:eastAsia="zh-CN"/>
              </w:rPr>
              <w:t>各厂界</w:t>
            </w:r>
            <w:r>
              <w:rPr>
                <w:rFonts w:hint="eastAsia" w:ascii="Times New Roman" w:hAnsi="Times New Roman" w:eastAsia="宋体" w:cs="Times New Roman"/>
                <w:b/>
                <w:bCs/>
                <w:color w:val="auto"/>
                <w:sz w:val="21"/>
                <w:szCs w:val="21"/>
                <w:highlight w:val="none"/>
                <w:shd w:val="clear" w:color="auto" w:fill="auto"/>
                <w:lang w:val="zh-CN" w:eastAsia="zh-CN"/>
              </w:rPr>
              <w:t>噪声</w:t>
            </w:r>
            <w:r>
              <w:rPr>
                <w:rFonts w:hint="eastAsia" w:cs="Times New Roman"/>
                <w:b/>
                <w:bCs/>
                <w:color w:val="auto"/>
                <w:sz w:val="21"/>
                <w:szCs w:val="21"/>
                <w:highlight w:val="none"/>
                <w:shd w:val="clear" w:color="auto" w:fill="auto"/>
                <w:lang w:val="en-US" w:eastAsia="zh-CN"/>
              </w:rPr>
              <w:t>贡献值、预测</w:t>
            </w:r>
            <w:r>
              <w:rPr>
                <w:rFonts w:hint="default" w:ascii="Times New Roman" w:hAnsi="Times New Roman" w:eastAsia="宋体" w:cs="Times New Roman"/>
                <w:b/>
                <w:bCs/>
                <w:color w:val="auto"/>
                <w:sz w:val="21"/>
                <w:szCs w:val="21"/>
                <w:highlight w:val="none"/>
                <w:shd w:val="clear" w:color="auto" w:fill="auto"/>
                <w:lang w:val="zh-CN" w:eastAsia="zh-CN"/>
              </w:rPr>
              <w:t>值</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42"/>
              <w:gridCol w:w="1311"/>
              <w:gridCol w:w="810"/>
              <w:gridCol w:w="735"/>
              <w:gridCol w:w="1125"/>
              <w:gridCol w:w="675"/>
              <w:gridCol w:w="930"/>
              <w:gridCol w:w="839"/>
              <w:gridCol w:w="1123"/>
            </w:tblGrid>
            <w:tr w14:paraId="53B11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831" w:type="dxa"/>
                  <w:vMerge w:val="restart"/>
                  <w:tcBorders>
                    <w:tl2br w:val="nil"/>
                    <w:tr2bl w:val="nil"/>
                  </w:tcBorders>
                  <w:noWrap w:val="0"/>
                  <w:tcMar>
                    <w:top w:w="15" w:type="dxa"/>
                    <w:left w:w="15" w:type="dxa"/>
                    <w:right w:w="15" w:type="dxa"/>
                  </w:tcMar>
                  <w:vAlign w:val="center"/>
                </w:tcPr>
                <w:p w14:paraId="49B838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厂界</w:t>
                  </w:r>
                </w:p>
              </w:tc>
              <w:tc>
                <w:tcPr>
                  <w:tcW w:w="1293" w:type="dxa"/>
                  <w:vMerge w:val="restart"/>
                  <w:tcBorders>
                    <w:tl2br w:val="nil"/>
                    <w:tr2bl w:val="nil"/>
                  </w:tcBorders>
                  <w:noWrap w:val="0"/>
                  <w:tcMar>
                    <w:top w:w="15" w:type="dxa"/>
                    <w:left w:w="15" w:type="dxa"/>
                    <w:right w:w="15" w:type="dxa"/>
                  </w:tcMar>
                  <w:vAlign w:val="center"/>
                </w:tcPr>
                <w:p w14:paraId="6D10F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w:t>
                  </w:r>
                  <w:r>
                    <w:rPr>
                      <w:rFonts w:hint="eastAsia" w:ascii="Times New Roman" w:hAnsi="Times New Roman" w:eastAsia="宋体" w:cs="Times New Roman"/>
                      <w:color w:val="auto"/>
                      <w:sz w:val="21"/>
                      <w:szCs w:val="21"/>
                      <w:highlight w:val="none"/>
                      <w:shd w:val="clear" w:color="auto" w:fill="auto"/>
                      <w:lang w:eastAsia="zh-CN"/>
                    </w:rPr>
                    <w:t>噪声贡献值</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1524" w:type="dxa"/>
                  <w:gridSpan w:val="2"/>
                  <w:tcBorders>
                    <w:tl2br w:val="nil"/>
                    <w:tr2bl w:val="nil"/>
                  </w:tcBorders>
                  <w:noWrap w:val="0"/>
                  <w:tcMar>
                    <w:top w:w="15" w:type="dxa"/>
                    <w:left w:w="15" w:type="dxa"/>
                    <w:right w:w="15" w:type="dxa"/>
                  </w:tcMar>
                  <w:vAlign w:val="center"/>
                </w:tcPr>
                <w:p w14:paraId="424215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现状值</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1776" w:type="dxa"/>
                  <w:gridSpan w:val="2"/>
                  <w:tcBorders>
                    <w:tl2br w:val="nil"/>
                    <w:tr2bl w:val="nil"/>
                  </w:tcBorders>
                  <w:noWrap w:val="0"/>
                  <w:tcMar>
                    <w:top w:w="15" w:type="dxa"/>
                    <w:left w:w="15" w:type="dxa"/>
                    <w:right w:w="15" w:type="dxa"/>
                  </w:tcMar>
                  <w:vAlign w:val="center"/>
                </w:tcPr>
                <w:p w14:paraId="32317D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预测值</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1745" w:type="dxa"/>
                  <w:gridSpan w:val="2"/>
                  <w:tcBorders>
                    <w:tl2br w:val="nil"/>
                    <w:tr2bl w:val="nil"/>
                  </w:tcBorders>
                  <w:noWrap w:val="0"/>
                  <w:tcMar>
                    <w:top w:w="15" w:type="dxa"/>
                    <w:left w:w="15" w:type="dxa"/>
                    <w:right w:w="15" w:type="dxa"/>
                  </w:tcMar>
                  <w:vAlign w:val="center"/>
                </w:tcPr>
                <w:p w14:paraId="13997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标准值/</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1108" w:type="dxa"/>
                  <w:vMerge w:val="restart"/>
                  <w:tcBorders>
                    <w:tl2br w:val="nil"/>
                    <w:tr2bl w:val="nil"/>
                  </w:tcBorders>
                  <w:noWrap w:val="0"/>
                  <w:tcMar>
                    <w:top w:w="15" w:type="dxa"/>
                    <w:left w:w="15" w:type="dxa"/>
                    <w:right w:w="15" w:type="dxa"/>
                  </w:tcMar>
                  <w:vAlign w:val="center"/>
                </w:tcPr>
                <w:p w14:paraId="164E3B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达标分析</w:t>
                  </w:r>
                </w:p>
              </w:tc>
            </w:tr>
            <w:tr w14:paraId="4B353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831" w:type="dxa"/>
                  <w:vMerge w:val="continue"/>
                  <w:tcBorders>
                    <w:tl2br w:val="nil"/>
                    <w:tr2bl w:val="nil"/>
                  </w:tcBorders>
                  <w:noWrap w:val="0"/>
                  <w:tcMar>
                    <w:top w:w="15" w:type="dxa"/>
                    <w:left w:w="15" w:type="dxa"/>
                    <w:right w:w="15" w:type="dxa"/>
                  </w:tcMar>
                  <w:vAlign w:val="center"/>
                </w:tcPr>
                <w:p w14:paraId="251F38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p>
              </w:tc>
              <w:tc>
                <w:tcPr>
                  <w:tcW w:w="1293" w:type="dxa"/>
                  <w:vMerge w:val="continue"/>
                  <w:tcBorders>
                    <w:tl2br w:val="nil"/>
                    <w:tr2bl w:val="nil"/>
                  </w:tcBorders>
                  <w:noWrap w:val="0"/>
                  <w:tcMar>
                    <w:top w:w="15" w:type="dxa"/>
                    <w:left w:w="15" w:type="dxa"/>
                    <w:right w:w="15" w:type="dxa"/>
                  </w:tcMar>
                  <w:vAlign w:val="center"/>
                </w:tcPr>
                <w:p w14:paraId="20513F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p>
              </w:tc>
              <w:tc>
                <w:tcPr>
                  <w:tcW w:w="799" w:type="dxa"/>
                  <w:tcBorders>
                    <w:tl2br w:val="nil"/>
                    <w:tr2bl w:val="nil"/>
                  </w:tcBorders>
                  <w:noWrap w:val="0"/>
                  <w:tcMar>
                    <w:top w:w="15" w:type="dxa"/>
                    <w:left w:w="15" w:type="dxa"/>
                    <w:right w:w="15" w:type="dxa"/>
                  </w:tcMar>
                  <w:vAlign w:val="center"/>
                </w:tcPr>
                <w:p w14:paraId="36966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color w:val="auto"/>
                      <w:sz w:val="21"/>
                      <w:szCs w:val="21"/>
                      <w:highlight w:val="none"/>
                      <w:shd w:val="clear" w:color="auto" w:fill="auto"/>
                      <w:lang w:eastAsia="zh-CN"/>
                    </w:rPr>
                    <w:t>昼间</w:t>
                  </w:r>
                </w:p>
              </w:tc>
              <w:tc>
                <w:tcPr>
                  <w:tcW w:w="725" w:type="dxa"/>
                  <w:tcBorders>
                    <w:tl2br w:val="nil"/>
                    <w:tr2bl w:val="nil"/>
                  </w:tcBorders>
                  <w:noWrap w:val="0"/>
                  <w:tcMar>
                    <w:top w:w="15" w:type="dxa"/>
                    <w:left w:w="15" w:type="dxa"/>
                    <w:right w:w="15" w:type="dxa"/>
                  </w:tcMar>
                  <w:vAlign w:val="center"/>
                </w:tcPr>
                <w:p w14:paraId="304421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shd w:val="clear" w:color="auto" w:fill="auto"/>
                      <w:lang w:eastAsia="zh-CN"/>
                    </w:rPr>
                  </w:pPr>
                  <w:r>
                    <w:rPr>
                      <w:rFonts w:hint="eastAsia"/>
                      <w:color w:val="auto"/>
                      <w:sz w:val="21"/>
                      <w:szCs w:val="21"/>
                      <w:highlight w:val="none"/>
                      <w:shd w:val="clear" w:color="auto" w:fill="auto"/>
                      <w:lang w:val="en-US" w:eastAsia="zh-CN"/>
                    </w:rPr>
                    <w:t>夜间</w:t>
                  </w:r>
                </w:p>
              </w:tc>
              <w:tc>
                <w:tcPr>
                  <w:tcW w:w="1110" w:type="dxa"/>
                  <w:tcBorders>
                    <w:tl2br w:val="nil"/>
                    <w:tr2bl w:val="nil"/>
                  </w:tcBorders>
                  <w:noWrap w:val="0"/>
                  <w:tcMar>
                    <w:top w:w="15" w:type="dxa"/>
                    <w:left w:w="15" w:type="dxa"/>
                    <w:right w:w="15" w:type="dxa"/>
                  </w:tcMar>
                  <w:vAlign w:val="center"/>
                </w:tcPr>
                <w:p w14:paraId="03174D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color w:val="auto"/>
                      <w:sz w:val="21"/>
                      <w:szCs w:val="21"/>
                      <w:highlight w:val="none"/>
                      <w:shd w:val="clear" w:color="auto" w:fill="auto"/>
                      <w:lang w:eastAsia="zh-CN"/>
                    </w:rPr>
                    <w:t>昼间</w:t>
                  </w:r>
                </w:p>
              </w:tc>
              <w:tc>
                <w:tcPr>
                  <w:tcW w:w="666" w:type="dxa"/>
                  <w:tcBorders>
                    <w:tl2br w:val="nil"/>
                    <w:tr2bl w:val="nil"/>
                  </w:tcBorders>
                  <w:noWrap w:val="0"/>
                  <w:tcMar>
                    <w:top w:w="15" w:type="dxa"/>
                    <w:left w:w="15" w:type="dxa"/>
                    <w:right w:w="15" w:type="dxa"/>
                  </w:tcMar>
                  <w:vAlign w:val="center"/>
                </w:tcPr>
                <w:p w14:paraId="68831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shd w:val="clear" w:color="auto" w:fill="auto"/>
                      <w:lang w:eastAsia="zh-CN"/>
                    </w:rPr>
                  </w:pPr>
                  <w:r>
                    <w:rPr>
                      <w:rFonts w:hint="eastAsia"/>
                      <w:color w:val="auto"/>
                      <w:sz w:val="21"/>
                      <w:szCs w:val="21"/>
                      <w:highlight w:val="none"/>
                      <w:shd w:val="clear" w:color="auto" w:fill="auto"/>
                      <w:lang w:val="en-US" w:eastAsia="zh-CN"/>
                    </w:rPr>
                    <w:t>夜间</w:t>
                  </w:r>
                </w:p>
              </w:tc>
              <w:tc>
                <w:tcPr>
                  <w:tcW w:w="917" w:type="dxa"/>
                  <w:tcBorders>
                    <w:tl2br w:val="nil"/>
                    <w:tr2bl w:val="nil"/>
                  </w:tcBorders>
                  <w:noWrap w:val="0"/>
                  <w:tcMar>
                    <w:top w:w="15" w:type="dxa"/>
                    <w:left w:w="15" w:type="dxa"/>
                    <w:right w:w="15" w:type="dxa"/>
                  </w:tcMar>
                  <w:vAlign w:val="center"/>
                </w:tcPr>
                <w:p w14:paraId="783F41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昼间</w:t>
                  </w:r>
                </w:p>
              </w:tc>
              <w:tc>
                <w:tcPr>
                  <w:tcW w:w="828" w:type="dxa"/>
                  <w:tcBorders>
                    <w:tl2br w:val="nil"/>
                    <w:tr2bl w:val="nil"/>
                  </w:tcBorders>
                  <w:noWrap w:val="0"/>
                  <w:tcMar>
                    <w:top w:w="15" w:type="dxa"/>
                    <w:left w:w="15" w:type="dxa"/>
                    <w:right w:w="15" w:type="dxa"/>
                  </w:tcMar>
                  <w:vAlign w:val="center"/>
                </w:tcPr>
                <w:p w14:paraId="4830C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夜间</w:t>
                  </w:r>
                </w:p>
              </w:tc>
              <w:tc>
                <w:tcPr>
                  <w:tcW w:w="1108" w:type="dxa"/>
                  <w:vMerge w:val="continue"/>
                  <w:tcBorders>
                    <w:tl2br w:val="nil"/>
                    <w:tr2bl w:val="nil"/>
                  </w:tcBorders>
                  <w:noWrap w:val="0"/>
                  <w:tcMar>
                    <w:top w:w="15" w:type="dxa"/>
                    <w:left w:w="15" w:type="dxa"/>
                    <w:right w:w="15" w:type="dxa"/>
                  </w:tcMar>
                  <w:vAlign w:val="center"/>
                </w:tcPr>
                <w:p w14:paraId="5916A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yellow"/>
                      <w:shd w:val="clear" w:color="auto" w:fill="auto"/>
                      <w:lang w:eastAsia="zh-CN"/>
                    </w:rPr>
                  </w:pPr>
                </w:p>
              </w:tc>
            </w:tr>
            <w:tr w14:paraId="69498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831" w:type="dxa"/>
                  <w:tcBorders>
                    <w:tl2br w:val="nil"/>
                    <w:tr2bl w:val="nil"/>
                  </w:tcBorders>
                  <w:noWrap w:val="0"/>
                  <w:tcMar>
                    <w:top w:w="15" w:type="dxa"/>
                    <w:left w:w="15" w:type="dxa"/>
                    <w:right w:w="15" w:type="dxa"/>
                  </w:tcMar>
                  <w:vAlign w:val="center"/>
                </w:tcPr>
                <w:p w14:paraId="0000E2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东厂界</w:t>
                  </w:r>
                </w:p>
              </w:tc>
              <w:tc>
                <w:tcPr>
                  <w:tcW w:w="1293" w:type="dxa"/>
                  <w:tcBorders>
                    <w:tl2br w:val="nil"/>
                    <w:tr2bl w:val="nil"/>
                  </w:tcBorders>
                  <w:noWrap w:val="0"/>
                  <w:tcMar>
                    <w:top w:w="15" w:type="dxa"/>
                    <w:left w:w="15" w:type="dxa"/>
                    <w:right w:w="15" w:type="dxa"/>
                  </w:tcMar>
                  <w:vAlign w:val="center"/>
                </w:tcPr>
                <w:p w14:paraId="09DFA3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35.5</w:t>
                  </w:r>
                </w:p>
              </w:tc>
              <w:tc>
                <w:tcPr>
                  <w:tcW w:w="799" w:type="dxa"/>
                  <w:tcBorders>
                    <w:tl2br w:val="nil"/>
                    <w:tr2bl w:val="nil"/>
                  </w:tcBorders>
                  <w:noWrap w:val="0"/>
                  <w:tcMar>
                    <w:top w:w="15" w:type="dxa"/>
                    <w:left w:w="15" w:type="dxa"/>
                    <w:right w:w="15" w:type="dxa"/>
                  </w:tcMar>
                  <w:vAlign w:val="center"/>
                </w:tcPr>
                <w:p w14:paraId="7B0DB9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color w:val="auto"/>
                      <w:kern w:val="0"/>
                      <w:sz w:val="21"/>
                      <w:szCs w:val="21"/>
                      <w:highlight w:val="none"/>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52</w:t>
                  </w:r>
                </w:p>
              </w:tc>
              <w:tc>
                <w:tcPr>
                  <w:tcW w:w="725" w:type="dxa"/>
                  <w:vMerge w:val="restart"/>
                  <w:tcBorders>
                    <w:tl2br w:val="nil"/>
                    <w:tr2bl w:val="nil"/>
                  </w:tcBorders>
                  <w:noWrap w:val="0"/>
                  <w:tcMar>
                    <w:top w:w="15" w:type="dxa"/>
                    <w:left w:w="15" w:type="dxa"/>
                    <w:right w:w="15" w:type="dxa"/>
                  </w:tcMar>
                  <w:vAlign w:val="center"/>
                </w:tcPr>
                <w:p w14:paraId="782C95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color w:val="auto"/>
                      <w:kern w:val="0"/>
                      <w:sz w:val="21"/>
                      <w:szCs w:val="21"/>
                      <w:highlight w:val="none"/>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不生产</w:t>
                  </w:r>
                </w:p>
              </w:tc>
              <w:tc>
                <w:tcPr>
                  <w:tcW w:w="1110" w:type="dxa"/>
                  <w:tcBorders>
                    <w:tl2br w:val="nil"/>
                    <w:tr2bl w:val="nil"/>
                  </w:tcBorders>
                  <w:noWrap w:val="0"/>
                  <w:tcMar>
                    <w:top w:w="15" w:type="dxa"/>
                    <w:left w:w="15" w:type="dxa"/>
                    <w:right w:w="15" w:type="dxa"/>
                  </w:tcMar>
                  <w:vAlign w:val="center"/>
                </w:tcPr>
                <w:p w14:paraId="3BBE08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52.1</w:t>
                  </w:r>
                </w:p>
              </w:tc>
              <w:tc>
                <w:tcPr>
                  <w:tcW w:w="666" w:type="dxa"/>
                  <w:vMerge w:val="restart"/>
                  <w:tcBorders>
                    <w:tl2br w:val="nil"/>
                    <w:tr2bl w:val="nil"/>
                  </w:tcBorders>
                  <w:noWrap w:val="0"/>
                  <w:tcMar>
                    <w:top w:w="15" w:type="dxa"/>
                    <w:left w:w="15" w:type="dxa"/>
                    <w:right w:w="15" w:type="dxa"/>
                  </w:tcMar>
                  <w:vAlign w:val="center"/>
                </w:tcPr>
                <w:p w14:paraId="10842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0"/>
                      <w:sz w:val="21"/>
                      <w:szCs w:val="21"/>
                      <w:highlight w:val="yellow"/>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不生产</w:t>
                  </w:r>
                </w:p>
              </w:tc>
              <w:tc>
                <w:tcPr>
                  <w:tcW w:w="917" w:type="dxa"/>
                  <w:tcBorders>
                    <w:tl2br w:val="nil"/>
                    <w:tr2bl w:val="nil"/>
                  </w:tcBorders>
                  <w:noWrap w:val="0"/>
                  <w:tcMar>
                    <w:top w:w="15" w:type="dxa"/>
                    <w:left w:w="15" w:type="dxa"/>
                    <w:right w:w="15" w:type="dxa"/>
                  </w:tcMar>
                  <w:vAlign w:val="center"/>
                </w:tcPr>
                <w:p w14:paraId="441E3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55</w:t>
                  </w:r>
                </w:p>
              </w:tc>
              <w:tc>
                <w:tcPr>
                  <w:tcW w:w="828" w:type="dxa"/>
                  <w:vMerge w:val="restart"/>
                  <w:tcBorders>
                    <w:tl2br w:val="nil"/>
                    <w:tr2bl w:val="nil"/>
                  </w:tcBorders>
                  <w:noWrap w:val="0"/>
                  <w:tcMar>
                    <w:top w:w="15" w:type="dxa"/>
                    <w:left w:w="15" w:type="dxa"/>
                    <w:right w:w="15" w:type="dxa"/>
                  </w:tcMar>
                  <w:vAlign w:val="center"/>
                </w:tcPr>
                <w:p w14:paraId="098BFF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i w:val="0"/>
                      <w:color w:val="auto"/>
                      <w:kern w:val="0"/>
                      <w:sz w:val="21"/>
                      <w:szCs w:val="21"/>
                      <w:highlight w:val="none"/>
                      <w:u w:val="none"/>
                      <w:shd w:val="clear" w:color="auto" w:fill="auto"/>
                      <w:lang w:val="en-US" w:eastAsia="zh-CN" w:bidi="ar"/>
                    </w:rPr>
                    <w:t>不生产</w:t>
                  </w:r>
                </w:p>
              </w:tc>
              <w:tc>
                <w:tcPr>
                  <w:tcW w:w="1108" w:type="dxa"/>
                  <w:tcBorders>
                    <w:tl2br w:val="nil"/>
                    <w:tr2bl w:val="nil"/>
                  </w:tcBorders>
                  <w:noWrap w:val="0"/>
                  <w:tcMar>
                    <w:top w:w="15" w:type="dxa"/>
                    <w:left w:w="15" w:type="dxa"/>
                    <w:right w:w="15" w:type="dxa"/>
                  </w:tcMar>
                  <w:vAlign w:val="center"/>
                </w:tcPr>
                <w:p w14:paraId="0A0E29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14:paraId="1A7C1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31" w:type="dxa"/>
                  <w:tcBorders>
                    <w:tl2br w:val="nil"/>
                    <w:tr2bl w:val="nil"/>
                  </w:tcBorders>
                  <w:noWrap w:val="0"/>
                  <w:tcMar>
                    <w:top w:w="15" w:type="dxa"/>
                    <w:left w:w="15" w:type="dxa"/>
                    <w:right w:w="15" w:type="dxa"/>
                  </w:tcMar>
                  <w:vAlign w:val="center"/>
                </w:tcPr>
                <w:p w14:paraId="11D398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南厂界</w:t>
                  </w:r>
                </w:p>
              </w:tc>
              <w:tc>
                <w:tcPr>
                  <w:tcW w:w="1293" w:type="dxa"/>
                  <w:tcBorders>
                    <w:tl2br w:val="nil"/>
                    <w:tr2bl w:val="nil"/>
                  </w:tcBorders>
                  <w:noWrap w:val="0"/>
                  <w:tcMar>
                    <w:top w:w="15" w:type="dxa"/>
                    <w:left w:w="15" w:type="dxa"/>
                    <w:right w:w="15" w:type="dxa"/>
                  </w:tcMar>
                  <w:vAlign w:val="center"/>
                </w:tcPr>
                <w:p w14:paraId="6E7008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40.7</w:t>
                  </w:r>
                </w:p>
              </w:tc>
              <w:tc>
                <w:tcPr>
                  <w:tcW w:w="799" w:type="dxa"/>
                  <w:tcBorders>
                    <w:tl2br w:val="nil"/>
                    <w:tr2bl w:val="nil"/>
                  </w:tcBorders>
                  <w:noWrap w:val="0"/>
                  <w:tcMar>
                    <w:top w:w="15" w:type="dxa"/>
                    <w:left w:w="15" w:type="dxa"/>
                    <w:right w:w="15" w:type="dxa"/>
                  </w:tcMar>
                  <w:vAlign w:val="center"/>
                </w:tcPr>
                <w:p w14:paraId="78249D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color w:val="auto"/>
                      <w:kern w:val="0"/>
                      <w:sz w:val="21"/>
                      <w:szCs w:val="21"/>
                      <w:highlight w:val="none"/>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52</w:t>
                  </w:r>
                </w:p>
              </w:tc>
              <w:tc>
                <w:tcPr>
                  <w:tcW w:w="725" w:type="dxa"/>
                  <w:vMerge w:val="continue"/>
                  <w:tcBorders>
                    <w:tl2br w:val="nil"/>
                    <w:tr2bl w:val="nil"/>
                  </w:tcBorders>
                  <w:noWrap w:val="0"/>
                  <w:tcMar>
                    <w:top w:w="15" w:type="dxa"/>
                    <w:left w:w="15" w:type="dxa"/>
                    <w:right w:w="15" w:type="dxa"/>
                  </w:tcMar>
                  <w:vAlign w:val="center"/>
                </w:tcPr>
                <w:p w14:paraId="4337D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color w:val="auto"/>
                      <w:kern w:val="0"/>
                      <w:sz w:val="21"/>
                      <w:szCs w:val="21"/>
                      <w:highlight w:val="none"/>
                      <w:u w:val="none"/>
                      <w:shd w:val="clear" w:color="auto" w:fill="auto"/>
                      <w:lang w:val="en-US" w:eastAsia="zh-CN" w:bidi="ar"/>
                    </w:rPr>
                  </w:pPr>
                </w:p>
              </w:tc>
              <w:tc>
                <w:tcPr>
                  <w:tcW w:w="1110" w:type="dxa"/>
                  <w:tcBorders>
                    <w:tl2br w:val="nil"/>
                    <w:tr2bl w:val="nil"/>
                  </w:tcBorders>
                  <w:noWrap w:val="0"/>
                  <w:tcMar>
                    <w:top w:w="15" w:type="dxa"/>
                    <w:left w:w="15" w:type="dxa"/>
                    <w:right w:w="15" w:type="dxa"/>
                  </w:tcMar>
                  <w:vAlign w:val="center"/>
                </w:tcPr>
                <w:p w14:paraId="7BB8F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52.3</w:t>
                  </w:r>
                </w:p>
              </w:tc>
              <w:tc>
                <w:tcPr>
                  <w:tcW w:w="666" w:type="dxa"/>
                  <w:vMerge w:val="continue"/>
                  <w:tcBorders>
                    <w:tl2br w:val="nil"/>
                    <w:tr2bl w:val="nil"/>
                  </w:tcBorders>
                  <w:noWrap w:val="0"/>
                  <w:tcMar>
                    <w:top w:w="15" w:type="dxa"/>
                    <w:left w:w="15" w:type="dxa"/>
                    <w:right w:w="15" w:type="dxa"/>
                  </w:tcMar>
                  <w:vAlign w:val="center"/>
                </w:tcPr>
                <w:p w14:paraId="2E906F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yellow"/>
                      <w:u w:val="none"/>
                      <w:shd w:val="clear" w:color="auto" w:fill="auto"/>
                      <w:lang w:val="en-US" w:eastAsia="zh-CN" w:bidi="ar"/>
                    </w:rPr>
                  </w:pPr>
                </w:p>
              </w:tc>
              <w:tc>
                <w:tcPr>
                  <w:tcW w:w="917" w:type="dxa"/>
                  <w:tcBorders>
                    <w:tl2br w:val="nil"/>
                    <w:tr2bl w:val="nil"/>
                  </w:tcBorders>
                  <w:noWrap w:val="0"/>
                  <w:tcMar>
                    <w:top w:w="15" w:type="dxa"/>
                    <w:left w:w="15" w:type="dxa"/>
                    <w:right w:w="15" w:type="dxa"/>
                  </w:tcMar>
                  <w:vAlign w:val="center"/>
                </w:tcPr>
                <w:p w14:paraId="3D8715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55</w:t>
                  </w:r>
                </w:p>
              </w:tc>
              <w:tc>
                <w:tcPr>
                  <w:tcW w:w="828" w:type="dxa"/>
                  <w:vMerge w:val="continue"/>
                  <w:tcBorders>
                    <w:tl2br w:val="nil"/>
                    <w:tr2bl w:val="nil"/>
                  </w:tcBorders>
                  <w:noWrap w:val="0"/>
                  <w:tcMar>
                    <w:top w:w="15" w:type="dxa"/>
                    <w:left w:w="15" w:type="dxa"/>
                    <w:right w:w="15" w:type="dxa"/>
                  </w:tcMar>
                  <w:vAlign w:val="center"/>
                </w:tcPr>
                <w:p w14:paraId="4DCDA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p>
              </w:tc>
              <w:tc>
                <w:tcPr>
                  <w:tcW w:w="1108" w:type="dxa"/>
                  <w:tcBorders>
                    <w:tl2br w:val="nil"/>
                    <w:tr2bl w:val="nil"/>
                  </w:tcBorders>
                  <w:noWrap w:val="0"/>
                  <w:tcMar>
                    <w:top w:w="15" w:type="dxa"/>
                    <w:left w:w="15" w:type="dxa"/>
                    <w:right w:w="15" w:type="dxa"/>
                  </w:tcMar>
                  <w:vAlign w:val="center"/>
                </w:tcPr>
                <w:p w14:paraId="51C805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14:paraId="1034B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831" w:type="dxa"/>
                  <w:tcBorders>
                    <w:tl2br w:val="nil"/>
                    <w:tr2bl w:val="nil"/>
                  </w:tcBorders>
                  <w:noWrap w:val="0"/>
                  <w:tcMar>
                    <w:top w:w="15" w:type="dxa"/>
                    <w:left w:w="15" w:type="dxa"/>
                    <w:right w:w="15" w:type="dxa"/>
                  </w:tcMar>
                  <w:vAlign w:val="center"/>
                </w:tcPr>
                <w:p w14:paraId="7FA290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西厂界</w:t>
                  </w:r>
                </w:p>
              </w:tc>
              <w:tc>
                <w:tcPr>
                  <w:tcW w:w="1293" w:type="dxa"/>
                  <w:tcBorders>
                    <w:tl2br w:val="nil"/>
                    <w:tr2bl w:val="nil"/>
                  </w:tcBorders>
                  <w:noWrap w:val="0"/>
                  <w:tcMar>
                    <w:top w:w="15" w:type="dxa"/>
                    <w:left w:w="15" w:type="dxa"/>
                    <w:right w:w="15" w:type="dxa"/>
                  </w:tcMar>
                  <w:vAlign w:val="center"/>
                </w:tcPr>
                <w:p w14:paraId="664BCE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42.0</w:t>
                  </w:r>
                </w:p>
              </w:tc>
              <w:tc>
                <w:tcPr>
                  <w:tcW w:w="799" w:type="dxa"/>
                  <w:tcBorders>
                    <w:tl2br w:val="nil"/>
                    <w:tr2bl w:val="nil"/>
                  </w:tcBorders>
                  <w:noWrap w:val="0"/>
                  <w:tcMar>
                    <w:top w:w="15" w:type="dxa"/>
                    <w:left w:w="15" w:type="dxa"/>
                    <w:right w:w="15" w:type="dxa"/>
                  </w:tcMar>
                  <w:vAlign w:val="center"/>
                </w:tcPr>
                <w:p w14:paraId="3FACE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color w:val="auto"/>
                      <w:kern w:val="0"/>
                      <w:sz w:val="21"/>
                      <w:szCs w:val="21"/>
                      <w:highlight w:val="none"/>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52</w:t>
                  </w:r>
                </w:p>
              </w:tc>
              <w:tc>
                <w:tcPr>
                  <w:tcW w:w="725" w:type="dxa"/>
                  <w:vMerge w:val="continue"/>
                  <w:tcBorders>
                    <w:tl2br w:val="nil"/>
                    <w:tr2bl w:val="nil"/>
                  </w:tcBorders>
                  <w:noWrap w:val="0"/>
                  <w:tcMar>
                    <w:top w:w="15" w:type="dxa"/>
                    <w:left w:w="15" w:type="dxa"/>
                    <w:right w:w="15" w:type="dxa"/>
                  </w:tcMar>
                  <w:vAlign w:val="center"/>
                </w:tcPr>
                <w:p w14:paraId="20B4E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color w:val="auto"/>
                      <w:kern w:val="0"/>
                      <w:sz w:val="21"/>
                      <w:szCs w:val="21"/>
                      <w:highlight w:val="none"/>
                      <w:u w:val="none"/>
                      <w:shd w:val="clear" w:color="auto" w:fill="auto"/>
                      <w:lang w:val="en-US" w:eastAsia="zh-CN" w:bidi="ar"/>
                    </w:rPr>
                  </w:pPr>
                </w:p>
              </w:tc>
              <w:tc>
                <w:tcPr>
                  <w:tcW w:w="1110" w:type="dxa"/>
                  <w:tcBorders>
                    <w:tl2br w:val="nil"/>
                    <w:tr2bl w:val="nil"/>
                  </w:tcBorders>
                  <w:noWrap w:val="0"/>
                  <w:tcMar>
                    <w:top w:w="15" w:type="dxa"/>
                    <w:left w:w="15" w:type="dxa"/>
                    <w:right w:w="15" w:type="dxa"/>
                  </w:tcMar>
                  <w:vAlign w:val="center"/>
                </w:tcPr>
                <w:p w14:paraId="1C4E85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52.3</w:t>
                  </w:r>
                </w:p>
              </w:tc>
              <w:tc>
                <w:tcPr>
                  <w:tcW w:w="666" w:type="dxa"/>
                  <w:vMerge w:val="continue"/>
                  <w:tcBorders>
                    <w:tl2br w:val="nil"/>
                    <w:tr2bl w:val="nil"/>
                  </w:tcBorders>
                  <w:noWrap w:val="0"/>
                  <w:tcMar>
                    <w:top w:w="15" w:type="dxa"/>
                    <w:left w:w="15" w:type="dxa"/>
                    <w:right w:w="15" w:type="dxa"/>
                  </w:tcMar>
                  <w:vAlign w:val="center"/>
                </w:tcPr>
                <w:p w14:paraId="294142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yellow"/>
                      <w:u w:val="none"/>
                      <w:shd w:val="clear" w:color="auto" w:fill="auto"/>
                      <w:lang w:val="en-US" w:eastAsia="zh-CN" w:bidi="ar"/>
                    </w:rPr>
                  </w:pPr>
                </w:p>
              </w:tc>
              <w:tc>
                <w:tcPr>
                  <w:tcW w:w="917" w:type="dxa"/>
                  <w:tcBorders>
                    <w:tl2br w:val="nil"/>
                    <w:tr2bl w:val="nil"/>
                  </w:tcBorders>
                  <w:noWrap w:val="0"/>
                  <w:tcMar>
                    <w:top w:w="15" w:type="dxa"/>
                    <w:left w:w="15" w:type="dxa"/>
                    <w:right w:w="15" w:type="dxa"/>
                  </w:tcMar>
                  <w:vAlign w:val="center"/>
                </w:tcPr>
                <w:p w14:paraId="6ED473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55</w:t>
                  </w:r>
                </w:p>
              </w:tc>
              <w:tc>
                <w:tcPr>
                  <w:tcW w:w="828" w:type="dxa"/>
                  <w:vMerge w:val="continue"/>
                  <w:tcBorders>
                    <w:tl2br w:val="nil"/>
                    <w:tr2bl w:val="nil"/>
                  </w:tcBorders>
                  <w:noWrap w:val="0"/>
                  <w:tcMar>
                    <w:top w:w="15" w:type="dxa"/>
                    <w:left w:w="15" w:type="dxa"/>
                    <w:right w:w="15" w:type="dxa"/>
                  </w:tcMar>
                  <w:vAlign w:val="center"/>
                </w:tcPr>
                <w:p w14:paraId="143F0F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p>
              </w:tc>
              <w:tc>
                <w:tcPr>
                  <w:tcW w:w="1108" w:type="dxa"/>
                  <w:tcBorders>
                    <w:tl2br w:val="nil"/>
                    <w:tr2bl w:val="nil"/>
                  </w:tcBorders>
                  <w:noWrap w:val="0"/>
                  <w:tcMar>
                    <w:top w:w="15" w:type="dxa"/>
                    <w:left w:w="15" w:type="dxa"/>
                    <w:right w:w="15" w:type="dxa"/>
                  </w:tcMar>
                  <w:vAlign w:val="center"/>
                </w:tcPr>
                <w:p w14:paraId="3EC88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14:paraId="109FF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831" w:type="dxa"/>
                  <w:tcBorders>
                    <w:tl2br w:val="nil"/>
                    <w:tr2bl w:val="nil"/>
                  </w:tcBorders>
                  <w:noWrap w:val="0"/>
                  <w:tcMar>
                    <w:top w:w="15" w:type="dxa"/>
                    <w:left w:w="15" w:type="dxa"/>
                    <w:right w:w="15" w:type="dxa"/>
                  </w:tcMar>
                  <w:vAlign w:val="center"/>
                </w:tcPr>
                <w:p w14:paraId="06507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北厂界</w:t>
                  </w:r>
                </w:p>
              </w:tc>
              <w:tc>
                <w:tcPr>
                  <w:tcW w:w="1293" w:type="dxa"/>
                  <w:tcBorders>
                    <w:tl2br w:val="nil"/>
                    <w:tr2bl w:val="nil"/>
                  </w:tcBorders>
                  <w:noWrap w:val="0"/>
                  <w:tcMar>
                    <w:top w:w="15" w:type="dxa"/>
                    <w:left w:w="15" w:type="dxa"/>
                    <w:right w:w="15" w:type="dxa"/>
                  </w:tcMar>
                  <w:vAlign w:val="center"/>
                </w:tcPr>
                <w:p w14:paraId="46762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39.1</w:t>
                  </w:r>
                </w:p>
              </w:tc>
              <w:tc>
                <w:tcPr>
                  <w:tcW w:w="799" w:type="dxa"/>
                  <w:tcBorders>
                    <w:tl2br w:val="nil"/>
                    <w:tr2bl w:val="nil"/>
                  </w:tcBorders>
                  <w:noWrap w:val="0"/>
                  <w:tcMar>
                    <w:top w:w="15" w:type="dxa"/>
                    <w:left w:w="15" w:type="dxa"/>
                    <w:right w:w="15" w:type="dxa"/>
                  </w:tcMar>
                  <w:vAlign w:val="center"/>
                </w:tcPr>
                <w:p w14:paraId="54D9A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color w:val="auto"/>
                      <w:kern w:val="0"/>
                      <w:sz w:val="21"/>
                      <w:szCs w:val="21"/>
                      <w:highlight w:val="none"/>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53</w:t>
                  </w:r>
                </w:p>
              </w:tc>
              <w:tc>
                <w:tcPr>
                  <w:tcW w:w="725" w:type="dxa"/>
                  <w:vMerge w:val="continue"/>
                  <w:tcBorders>
                    <w:tl2br w:val="nil"/>
                    <w:tr2bl w:val="nil"/>
                  </w:tcBorders>
                  <w:noWrap w:val="0"/>
                  <w:tcMar>
                    <w:top w:w="15" w:type="dxa"/>
                    <w:left w:w="15" w:type="dxa"/>
                    <w:right w:w="15" w:type="dxa"/>
                  </w:tcMar>
                  <w:vAlign w:val="center"/>
                </w:tcPr>
                <w:p w14:paraId="2770B4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color w:val="auto"/>
                      <w:kern w:val="0"/>
                      <w:sz w:val="21"/>
                      <w:szCs w:val="21"/>
                      <w:highlight w:val="none"/>
                      <w:u w:val="none"/>
                      <w:shd w:val="clear" w:color="auto" w:fill="auto"/>
                      <w:lang w:val="en-US" w:eastAsia="zh-CN" w:bidi="ar"/>
                    </w:rPr>
                  </w:pPr>
                </w:p>
              </w:tc>
              <w:tc>
                <w:tcPr>
                  <w:tcW w:w="1110" w:type="dxa"/>
                  <w:tcBorders>
                    <w:tl2br w:val="nil"/>
                    <w:tr2bl w:val="nil"/>
                  </w:tcBorders>
                  <w:noWrap w:val="0"/>
                  <w:tcMar>
                    <w:top w:w="15" w:type="dxa"/>
                    <w:left w:w="15" w:type="dxa"/>
                    <w:right w:w="15" w:type="dxa"/>
                  </w:tcMar>
                  <w:vAlign w:val="center"/>
                </w:tcPr>
                <w:p w14:paraId="7A744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shd w:val="clear" w:color="auto" w:fill="auto"/>
                      <w:lang w:val="en-US" w:eastAsia="zh-CN" w:bidi="ar"/>
                    </w:rPr>
                  </w:pPr>
                  <w:r>
                    <w:rPr>
                      <w:rFonts w:hint="eastAsia" w:cs="Times New Roman"/>
                      <w:i w:val="0"/>
                      <w:color w:val="auto"/>
                      <w:kern w:val="0"/>
                      <w:sz w:val="21"/>
                      <w:szCs w:val="21"/>
                      <w:highlight w:val="none"/>
                      <w:u w:val="none"/>
                      <w:shd w:val="clear" w:color="auto" w:fill="auto"/>
                      <w:lang w:val="en-US" w:eastAsia="zh-CN" w:bidi="ar"/>
                    </w:rPr>
                    <w:t>53.1</w:t>
                  </w:r>
                </w:p>
              </w:tc>
              <w:tc>
                <w:tcPr>
                  <w:tcW w:w="666" w:type="dxa"/>
                  <w:vMerge w:val="continue"/>
                  <w:tcBorders>
                    <w:tl2br w:val="nil"/>
                    <w:tr2bl w:val="nil"/>
                  </w:tcBorders>
                  <w:noWrap w:val="0"/>
                  <w:tcMar>
                    <w:top w:w="15" w:type="dxa"/>
                    <w:left w:w="15" w:type="dxa"/>
                    <w:right w:w="15" w:type="dxa"/>
                  </w:tcMar>
                  <w:vAlign w:val="center"/>
                </w:tcPr>
                <w:p w14:paraId="2661AF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yellow"/>
                      <w:u w:val="none"/>
                      <w:shd w:val="clear" w:color="auto" w:fill="auto"/>
                      <w:lang w:val="en-US" w:eastAsia="zh-CN" w:bidi="ar"/>
                    </w:rPr>
                  </w:pPr>
                </w:p>
              </w:tc>
              <w:tc>
                <w:tcPr>
                  <w:tcW w:w="917" w:type="dxa"/>
                  <w:tcBorders>
                    <w:tl2br w:val="nil"/>
                    <w:tr2bl w:val="nil"/>
                  </w:tcBorders>
                  <w:noWrap w:val="0"/>
                  <w:tcMar>
                    <w:top w:w="15" w:type="dxa"/>
                    <w:left w:w="15" w:type="dxa"/>
                    <w:right w:w="15" w:type="dxa"/>
                  </w:tcMar>
                  <w:vAlign w:val="center"/>
                </w:tcPr>
                <w:p w14:paraId="761E28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55</w:t>
                  </w:r>
                </w:p>
              </w:tc>
              <w:tc>
                <w:tcPr>
                  <w:tcW w:w="828" w:type="dxa"/>
                  <w:vMerge w:val="continue"/>
                  <w:tcBorders>
                    <w:tl2br w:val="nil"/>
                    <w:tr2bl w:val="nil"/>
                  </w:tcBorders>
                  <w:noWrap w:val="0"/>
                  <w:tcMar>
                    <w:top w:w="15" w:type="dxa"/>
                    <w:left w:w="15" w:type="dxa"/>
                    <w:right w:w="15" w:type="dxa"/>
                  </w:tcMar>
                  <w:vAlign w:val="center"/>
                </w:tcPr>
                <w:p w14:paraId="12009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1108" w:type="dxa"/>
                  <w:tcBorders>
                    <w:tl2br w:val="nil"/>
                    <w:tr2bl w:val="nil"/>
                  </w:tcBorders>
                  <w:noWrap w:val="0"/>
                  <w:tcMar>
                    <w:top w:w="15" w:type="dxa"/>
                    <w:left w:w="15" w:type="dxa"/>
                    <w:right w:w="15" w:type="dxa"/>
                  </w:tcMar>
                  <w:vAlign w:val="center"/>
                </w:tcPr>
                <w:p w14:paraId="05B9E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bl>
          <w:p w14:paraId="45D08BC0">
            <w:pPr>
              <w:bidi w:val="0"/>
              <w:rPr>
                <w:rFonts w:hint="default" w:eastAsia="宋体"/>
                <w:b/>
                <w:bCs/>
                <w:color w:val="auto"/>
                <w:highlight w:val="none"/>
                <w:lang w:val="en-US" w:eastAsia="zh-CN"/>
              </w:rPr>
            </w:pPr>
            <w:r>
              <w:rPr>
                <w:rFonts w:hint="eastAsia"/>
                <w:b/>
                <w:bCs/>
                <w:color w:val="auto"/>
                <w:highlight w:val="none"/>
                <w:lang w:val="en-US" w:eastAsia="zh-CN"/>
              </w:rPr>
              <w:t>3.2达标情况分析</w:t>
            </w:r>
          </w:p>
          <w:p w14:paraId="1B82DC7F">
            <w:pPr>
              <w:bidi w:val="0"/>
              <w:rPr>
                <w:rFonts w:hint="eastAsia" w:eastAsia="宋体"/>
                <w:color w:val="auto"/>
                <w:highlight w:val="none"/>
                <w:lang w:eastAsia="zh-CN"/>
              </w:rPr>
            </w:pPr>
            <w:r>
              <w:rPr>
                <w:rFonts w:hint="default"/>
                <w:b w:val="0"/>
                <w:bCs w:val="0"/>
                <w:color w:val="auto"/>
                <w:highlight w:val="none"/>
              </w:rPr>
              <w:t>本项目营运期主要噪声源为</w:t>
            </w:r>
            <w:r>
              <w:rPr>
                <w:rFonts w:hint="eastAsia"/>
                <w:b w:val="0"/>
                <w:bCs w:val="0"/>
                <w:color w:val="auto"/>
                <w:highlight w:val="none"/>
                <w:lang w:val="en-US" w:eastAsia="zh-CN"/>
              </w:rPr>
              <w:t>角磨机、风机、实验电机、电动机、空压机等</w:t>
            </w:r>
            <w:r>
              <w:rPr>
                <w:rFonts w:hint="default"/>
                <w:b w:val="0"/>
                <w:bCs w:val="0"/>
                <w:color w:val="auto"/>
                <w:highlight w:val="none"/>
              </w:rPr>
              <w:t>运行时产生的噪声</w:t>
            </w:r>
            <w:r>
              <w:rPr>
                <w:rFonts w:hint="eastAsia"/>
                <w:color w:val="auto"/>
                <w:highlight w:val="none"/>
                <w:lang w:val="en-US" w:eastAsia="zh-CN"/>
              </w:rPr>
              <w:t>，在对设备采取基础减振、厂房隔声等降噪措施后，</w:t>
            </w:r>
            <w:r>
              <w:rPr>
                <w:rFonts w:hint="eastAsia"/>
                <w:color w:val="auto"/>
                <w:highlight w:val="none"/>
              </w:rPr>
              <w:t>厂界</w:t>
            </w:r>
            <w:r>
              <w:rPr>
                <w:rFonts w:hint="default"/>
                <w:color w:val="auto"/>
                <w:highlight w:val="none"/>
              </w:rPr>
              <w:t>噪声</w:t>
            </w:r>
            <w:r>
              <w:rPr>
                <w:rFonts w:hint="eastAsia"/>
                <w:color w:val="auto"/>
                <w:highlight w:val="none"/>
                <w:lang w:val="en-US" w:eastAsia="zh-CN"/>
              </w:rPr>
              <w:t>贡献值、预测值</w:t>
            </w:r>
            <w:r>
              <w:rPr>
                <w:rFonts w:hint="eastAsia"/>
                <w:color w:val="auto"/>
                <w:highlight w:val="none"/>
              </w:rPr>
              <w:t>满足</w:t>
            </w:r>
            <w:r>
              <w:rPr>
                <w:rFonts w:hint="default"/>
                <w:color w:val="auto"/>
                <w:highlight w:val="none"/>
              </w:rPr>
              <w:t>《工业企业厂界环境噪声排放标准》（GB12348-2008）</w:t>
            </w:r>
            <w:r>
              <w:rPr>
                <w:rFonts w:hint="eastAsia"/>
                <w:color w:val="auto"/>
                <w:highlight w:val="none"/>
                <w:lang w:val="en-US" w:eastAsia="zh-CN"/>
              </w:rPr>
              <w:t>1</w:t>
            </w:r>
            <w:r>
              <w:rPr>
                <w:rFonts w:hint="default"/>
                <w:color w:val="auto"/>
                <w:highlight w:val="none"/>
              </w:rPr>
              <w:t>类标准</w:t>
            </w:r>
            <w:r>
              <w:rPr>
                <w:rFonts w:hint="eastAsia"/>
                <w:color w:val="auto"/>
                <w:highlight w:val="none"/>
                <w:lang w:eastAsia="zh-CN"/>
              </w:rPr>
              <w:t>，</w:t>
            </w:r>
            <w:r>
              <w:rPr>
                <w:rFonts w:hint="eastAsia"/>
                <w:color w:val="auto"/>
                <w:highlight w:val="none"/>
                <w:lang w:val="en-US" w:eastAsia="zh-CN"/>
              </w:rPr>
              <w:t>昼间</w:t>
            </w:r>
            <w:r>
              <w:rPr>
                <w:rFonts w:hint="eastAsia"/>
                <w:color w:val="auto"/>
                <w:sz w:val="24"/>
                <w:szCs w:val="24"/>
                <w:highlight w:val="none"/>
                <w:lang w:val="en-US" w:eastAsia="zh-CN"/>
              </w:rPr>
              <w:t>55</w:t>
            </w:r>
            <w:r>
              <w:rPr>
                <w:rFonts w:hint="default"/>
                <w:color w:val="auto"/>
                <w:sz w:val="24"/>
                <w:szCs w:val="24"/>
                <w:highlight w:val="none"/>
              </w:rPr>
              <w:t>dB（A）</w:t>
            </w:r>
            <w:r>
              <w:rPr>
                <w:rFonts w:hint="eastAsia"/>
                <w:color w:val="auto"/>
                <w:sz w:val="24"/>
                <w:szCs w:val="24"/>
                <w:highlight w:val="none"/>
                <w:lang w:val="en-US" w:eastAsia="zh-CN"/>
              </w:rPr>
              <w:t>的要求，夜间不生产</w:t>
            </w:r>
            <w:r>
              <w:rPr>
                <w:rFonts w:hint="eastAsia"/>
                <w:color w:val="auto"/>
                <w:highlight w:val="none"/>
                <w:lang w:eastAsia="zh-CN"/>
              </w:rPr>
              <w:t>。</w:t>
            </w:r>
          </w:p>
          <w:p w14:paraId="2DC0B764">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3.3监测计划</w:t>
            </w:r>
          </w:p>
          <w:p w14:paraId="48D2E922">
            <w:pPr>
              <w:bidi w:val="0"/>
              <w:rPr>
                <w:rFonts w:hint="eastAsia"/>
                <w:color w:val="auto"/>
                <w:kern w:val="1"/>
                <w:sz w:val="24"/>
                <w:szCs w:val="24"/>
                <w:highlight w:val="none"/>
                <w:lang w:val="en-US" w:eastAsia="zh-CN" w:bidi="ar"/>
              </w:rPr>
            </w:pPr>
            <w:r>
              <w:rPr>
                <w:rFonts w:ascii="Times New Roman" w:hAnsi="Times New Roman"/>
                <w:snapToGrid w:val="0"/>
                <w:color w:val="auto"/>
                <w:kern w:val="0"/>
                <w:sz w:val="24"/>
                <w:szCs w:val="24"/>
                <w:highlight w:val="none"/>
                <w:lang w:bidi="ar"/>
              </w:rPr>
              <w:t>根据本建设项目性质与实际情况，</w:t>
            </w:r>
            <w:r>
              <w:rPr>
                <w:rFonts w:ascii="Times New Roman" w:hAnsi="Times New Roman"/>
                <w:color w:val="auto"/>
                <w:sz w:val="24"/>
                <w:szCs w:val="24"/>
                <w:highlight w:val="none"/>
              </w:rPr>
              <w:t>按照《排污单位自行监测技术指南 总则》</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HJ819-2017</w:t>
            </w:r>
            <w:r>
              <w:rPr>
                <w:rFonts w:hint="eastAsia" w:ascii="Times New Roman" w:hAnsi="Times New Roman"/>
                <w:color w:val="auto"/>
                <w:sz w:val="24"/>
                <w:szCs w:val="24"/>
                <w:highlight w:val="none"/>
                <w:lang w:eastAsia="zh-CN"/>
              </w:rPr>
              <w:t>）</w:t>
            </w:r>
            <w:r>
              <w:rPr>
                <w:rFonts w:hint="eastAsia"/>
                <w:color w:val="auto"/>
                <w:kern w:val="1"/>
                <w:sz w:val="24"/>
                <w:szCs w:val="24"/>
                <w:highlight w:val="none"/>
                <w:lang w:val="en-US" w:eastAsia="zh-CN" w:bidi="ar"/>
              </w:rPr>
              <w:t>要求，企业投入运营后噪声监测情况见下表。</w:t>
            </w:r>
          </w:p>
          <w:p w14:paraId="426F4317">
            <w:pPr>
              <w:pStyle w:val="33"/>
              <w:bidi w:val="0"/>
              <w:rPr>
                <w:rFonts w:hint="default"/>
                <w:b/>
                <w:color w:val="auto"/>
                <w:sz w:val="24"/>
                <w:szCs w:val="24"/>
                <w:highlight w:val="none"/>
              </w:rPr>
            </w:pPr>
            <w:r>
              <w:rPr>
                <w:rFonts w:hint="default"/>
                <w:color w:val="auto"/>
                <w:sz w:val="21"/>
                <w:szCs w:val="21"/>
                <w:highlight w:val="none"/>
              </w:rPr>
              <w:t>表</w:t>
            </w:r>
            <w:r>
              <w:rPr>
                <w:rFonts w:hint="eastAsia"/>
                <w:color w:val="auto"/>
                <w:sz w:val="21"/>
                <w:szCs w:val="21"/>
                <w:highlight w:val="none"/>
                <w:lang w:val="en-US" w:eastAsia="zh-CN"/>
              </w:rPr>
              <w:t xml:space="preserve">57  </w:t>
            </w:r>
            <w:r>
              <w:rPr>
                <w:rFonts w:hint="default"/>
                <w:color w:val="auto"/>
                <w:sz w:val="21"/>
                <w:szCs w:val="21"/>
                <w:highlight w:val="none"/>
              </w:rPr>
              <w:t>项目厂界噪声监测计划</w:t>
            </w:r>
            <w:r>
              <w:rPr>
                <w:rFonts w:hint="eastAsia"/>
                <w:color w:val="auto"/>
                <w:sz w:val="21"/>
                <w:szCs w:val="21"/>
                <w:highlight w:val="none"/>
                <w:lang w:val="en-US" w:eastAsia="zh-CN"/>
              </w:rPr>
              <w:t>一览</w:t>
            </w:r>
            <w:r>
              <w:rPr>
                <w:rFonts w:hint="default"/>
                <w:color w:val="auto"/>
                <w:sz w:val="21"/>
                <w:szCs w:val="21"/>
                <w:highlight w:val="none"/>
              </w:rPr>
              <w:t>表</w:t>
            </w:r>
          </w:p>
          <w:tbl>
            <w:tblPr>
              <w:tblStyle w:val="24"/>
              <w:tblW w:w="83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99"/>
              <w:gridCol w:w="1778"/>
              <w:gridCol w:w="1205"/>
              <w:gridCol w:w="3908"/>
            </w:tblGrid>
            <w:tr w14:paraId="15929B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7" w:hRule="atLeast"/>
                <w:jc w:val="center"/>
              </w:trPr>
              <w:tc>
                <w:tcPr>
                  <w:tcW w:w="1499" w:type="dxa"/>
                  <w:tcBorders>
                    <w:tl2br w:val="nil"/>
                    <w:tr2bl w:val="nil"/>
                  </w:tcBorders>
                  <w:noWrap w:val="0"/>
                  <w:tcMar>
                    <w:top w:w="15" w:type="dxa"/>
                    <w:left w:w="15" w:type="dxa"/>
                    <w:bottom w:w="15" w:type="dxa"/>
                    <w:right w:w="15" w:type="dxa"/>
                  </w:tcMar>
                  <w:vAlign w:val="center"/>
                </w:tcPr>
                <w:p w14:paraId="4799BE5A">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监测点位</w:t>
                  </w:r>
                </w:p>
              </w:tc>
              <w:tc>
                <w:tcPr>
                  <w:tcW w:w="1778" w:type="dxa"/>
                  <w:tcBorders>
                    <w:tl2br w:val="nil"/>
                    <w:tr2bl w:val="nil"/>
                  </w:tcBorders>
                  <w:noWrap w:val="0"/>
                  <w:tcMar>
                    <w:top w:w="15" w:type="dxa"/>
                    <w:left w:w="15" w:type="dxa"/>
                    <w:bottom w:w="15" w:type="dxa"/>
                    <w:right w:w="15" w:type="dxa"/>
                  </w:tcMar>
                  <w:vAlign w:val="center"/>
                </w:tcPr>
                <w:p w14:paraId="3635E6F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监测指标</w:t>
                  </w:r>
                </w:p>
              </w:tc>
              <w:tc>
                <w:tcPr>
                  <w:tcW w:w="1205" w:type="dxa"/>
                  <w:tcBorders>
                    <w:tl2br w:val="nil"/>
                    <w:tr2bl w:val="nil"/>
                  </w:tcBorders>
                  <w:noWrap w:val="0"/>
                  <w:tcMar>
                    <w:top w:w="15" w:type="dxa"/>
                    <w:left w:w="15" w:type="dxa"/>
                    <w:bottom w:w="15" w:type="dxa"/>
                    <w:right w:w="15" w:type="dxa"/>
                  </w:tcMar>
                  <w:vAlign w:val="center"/>
                </w:tcPr>
                <w:p w14:paraId="6625324C">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监测频次</w:t>
                  </w:r>
                </w:p>
              </w:tc>
              <w:tc>
                <w:tcPr>
                  <w:tcW w:w="3908" w:type="dxa"/>
                  <w:tcBorders>
                    <w:tl2br w:val="nil"/>
                    <w:tr2bl w:val="nil"/>
                  </w:tcBorders>
                  <w:noWrap w:val="0"/>
                  <w:tcMar>
                    <w:top w:w="15" w:type="dxa"/>
                    <w:left w:w="15" w:type="dxa"/>
                    <w:bottom w:w="15" w:type="dxa"/>
                    <w:right w:w="15" w:type="dxa"/>
                  </w:tcMar>
                  <w:vAlign w:val="center"/>
                </w:tcPr>
                <w:p w14:paraId="76760C0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执行排放标准</w:t>
                  </w:r>
                </w:p>
              </w:tc>
            </w:tr>
            <w:tr w14:paraId="51D78E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499" w:type="dxa"/>
                  <w:tcBorders>
                    <w:tl2br w:val="nil"/>
                    <w:tr2bl w:val="nil"/>
                  </w:tcBorders>
                  <w:noWrap w:val="0"/>
                  <w:tcMar>
                    <w:top w:w="15" w:type="dxa"/>
                    <w:left w:w="15" w:type="dxa"/>
                    <w:bottom w:w="15" w:type="dxa"/>
                    <w:right w:w="15" w:type="dxa"/>
                  </w:tcMar>
                  <w:vAlign w:val="center"/>
                </w:tcPr>
                <w:p w14:paraId="683D542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eastAsia"/>
                      <w:color w:val="auto"/>
                      <w:sz w:val="21"/>
                      <w:szCs w:val="21"/>
                      <w:highlight w:val="none"/>
                      <w:lang w:val="en-US" w:eastAsia="zh-CN"/>
                    </w:rPr>
                    <w:t>厂</w:t>
                  </w:r>
                  <w:r>
                    <w:rPr>
                      <w:rFonts w:hint="default"/>
                      <w:color w:val="auto"/>
                      <w:sz w:val="21"/>
                      <w:szCs w:val="21"/>
                      <w:highlight w:val="none"/>
                    </w:rPr>
                    <w:t>界外1m处</w:t>
                  </w:r>
                </w:p>
              </w:tc>
              <w:tc>
                <w:tcPr>
                  <w:tcW w:w="1778" w:type="dxa"/>
                  <w:tcBorders>
                    <w:tl2br w:val="nil"/>
                    <w:tr2bl w:val="nil"/>
                  </w:tcBorders>
                  <w:noWrap w:val="0"/>
                  <w:tcMar>
                    <w:top w:w="15" w:type="dxa"/>
                    <w:left w:w="15" w:type="dxa"/>
                    <w:bottom w:w="15" w:type="dxa"/>
                    <w:right w:w="15" w:type="dxa"/>
                  </w:tcMar>
                  <w:vAlign w:val="center"/>
                </w:tcPr>
                <w:p w14:paraId="56E87400">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等效连续A声级</w:t>
                  </w:r>
                </w:p>
              </w:tc>
              <w:tc>
                <w:tcPr>
                  <w:tcW w:w="1205" w:type="dxa"/>
                  <w:tcBorders>
                    <w:tl2br w:val="nil"/>
                    <w:tr2bl w:val="nil"/>
                  </w:tcBorders>
                  <w:noWrap w:val="0"/>
                  <w:tcMar>
                    <w:top w:w="15" w:type="dxa"/>
                    <w:left w:w="15" w:type="dxa"/>
                    <w:bottom w:w="15" w:type="dxa"/>
                    <w:right w:w="15" w:type="dxa"/>
                  </w:tcMar>
                  <w:vAlign w:val="center"/>
                </w:tcPr>
                <w:p w14:paraId="1194494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default"/>
                      <w:color w:val="auto"/>
                      <w:sz w:val="21"/>
                      <w:szCs w:val="21"/>
                      <w:highlight w:val="none"/>
                    </w:rPr>
                    <w:t>1次</w:t>
                  </w:r>
                  <w:r>
                    <w:rPr>
                      <w:rFonts w:hint="eastAsia"/>
                      <w:color w:val="auto"/>
                      <w:sz w:val="21"/>
                      <w:szCs w:val="21"/>
                      <w:highlight w:val="none"/>
                      <w:lang w:val="en-US" w:eastAsia="zh-CN"/>
                    </w:rPr>
                    <w:t>/季度</w:t>
                  </w:r>
                </w:p>
              </w:tc>
              <w:tc>
                <w:tcPr>
                  <w:tcW w:w="3908" w:type="dxa"/>
                  <w:tcBorders>
                    <w:tl2br w:val="nil"/>
                    <w:tr2bl w:val="nil"/>
                  </w:tcBorders>
                  <w:noWrap w:val="0"/>
                  <w:tcMar>
                    <w:top w:w="15" w:type="dxa"/>
                    <w:left w:w="15" w:type="dxa"/>
                    <w:bottom w:w="15" w:type="dxa"/>
                    <w:right w:w="15" w:type="dxa"/>
                  </w:tcMar>
                  <w:vAlign w:val="center"/>
                </w:tcPr>
                <w:p w14:paraId="46B90211">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default"/>
                      <w:color w:val="auto"/>
                      <w:sz w:val="21"/>
                      <w:szCs w:val="21"/>
                      <w:highlight w:val="none"/>
                    </w:rPr>
                    <w:t>《工业企业厂界环境噪声排放标准》（GB12348-2008）中</w:t>
                  </w:r>
                  <w:r>
                    <w:rPr>
                      <w:rFonts w:hint="eastAsia"/>
                      <w:color w:val="auto"/>
                      <w:sz w:val="21"/>
                      <w:szCs w:val="21"/>
                      <w:highlight w:val="none"/>
                      <w:lang w:val="en-US" w:eastAsia="zh-CN"/>
                    </w:rPr>
                    <w:t>1</w:t>
                  </w:r>
                  <w:r>
                    <w:rPr>
                      <w:rFonts w:hint="default"/>
                      <w:color w:val="auto"/>
                      <w:sz w:val="21"/>
                      <w:szCs w:val="21"/>
                      <w:highlight w:val="none"/>
                    </w:rPr>
                    <w:t>类标准</w:t>
                  </w:r>
                </w:p>
              </w:tc>
            </w:tr>
          </w:tbl>
          <w:p w14:paraId="121CEDA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eastAsia"/>
                <w:b/>
                <w:bCs/>
                <w:color w:val="auto"/>
                <w:highlight w:val="none"/>
                <w:lang w:val="en-US" w:eastAsia="zh-CN"/>
              </w:rPr>
            </w:pPr>
            <w:r>
              <w:rPr>
                <w:rFonts w:hint="eastAsia"/>
                <w:b/>
                <w:bCs/>
                <w:color w:val="auto"/>
                <w:highlight w:val="none"/>
                <w:lang w:val="en-US" w:eastAsia="zh-CN"/>
              </w:rPr>
              <w:t>4、固体废物</w:t>
            </w:r>
          </w:p>
          <w:p w14:paraId="2CB72A17">
            <w:pPr>
              <w:bidi w:val="0"/>
              <w:rPr>
                <w:rFonts w:hint="eastAsia" w:eastAsia="宋体"/>
                <w:b w:val="0"/>
                <w:bCs w:val="0"/>
                <w:color w:val="auto"/>
                <w:highlight w:val="none"/>
                <w:lang w:val="en-US" w:eastAsia="zh-CN"/>
              </w:rPr>
            </w:pPr>
            <w:r>
              <w:rPr>
                <w:rFonts w:hint="eastAsia"/>
                <w:color w:val="auto"/>
                <w:sz w:val="24"/>
                <w:szCs w:val="24"/>
                <w:highlight w:val="none"/>
                <w:lang w:val="en-US" w:eastAsia="zh-CN"/>
              </w:rPr>
              <w:t>本项目固体废物主要为除尘器收集的除尘灰，定期更换的废布袋，腻子打磨过程产生的废砂纸；</w:t>
            </w:r>
            <w:r>
              <w:rPr>
                <w:rFonts w:hint="eastAsia"/>
                <w:color w:val="auto"/>
                <w:highlight w:val="none"/>
                <w:lang w:val="en-US" w:eastAsia="zh-CN"/>
              </w:rPr>
              <w:t>除油过程产生的废稀释剂、废漆桶；喷漆过程产生的漆渣、废漆桶、废遮蔽物；有机废气处理设施定期更换下来的废纸盒、废过滤棉、废沸石分子筛、废催化剂；职工生活产生的生活垃圾</w:t>
            </w:r>
            <w:r>
              <w:rPr>
                <w:rFonts w:hint="eastAsia" w:cs="Times New Roman"/>
                <w:b w:val="0"/>
                <w:bCs w:val="0"/>
                <w:snapToGrid w:val="0"/>
                <w:color w:val="auto"/>
                <w:kern w:val="0"/>
                <w:sz w:val="24"/>
                <w:szCs w:val="21"/>
                <w:highlight w:val="none"/>
                <w:shd w:val="clear" w:color="auto" w:fill="auto"/>
                <w:lang w:val="en-US" w:eastAsia="zh-CN" w:bidi="ar-SA"/>
              </w:rPr>
              <w:t>。</w:t>
            </w:r>
          </w:p>
          <w:p w14:paraId="6331CD24">
            <w:pPr>
              <w:bidi w:val="0"/>
              <w:rPr>
                <w:rFonts w:hint="eastAsia"/>
                <w:b/>
                <w:bCs/>
                <w:color w:val="auto"/>
                <w:highlight w:val="none"/>
                <w:lang w:val="en-US" w:eastAsia="zh-CN"/>
              </w:rPr>
            </w:pPr>
            <w:r>
              <w:rPr>
                <w:rFonts w:hint="eastAsia"/>
                <w:b/>
                <w:bCs/>
                <w:color w:val="auto"/>
                <w:highlight w:val="none"/>
                <w:lang w:val="en-US" w:eastAsia="zh-CN"/>
              </w:rPr>
              <w:t>4.1一般工业固体废物</w:t>
            </w:r>
          </w:p>
          <w:p w14:paraId="41C9B522">
            <w:pPr>
              <w:bidi w:val="0"/>
              <w:rPr>
                <w:rFonts w:hint="default" w:ascii="Times New Roman" w:eastAsia="宋体"/>
                <w:b/>
                <w:bCs/>
                <w:color w:val="auto"/>
                <w:highlight w:val="none"/>
                <w:lang w:val="en-US" w:eastAsia="zh-CN"/>
              </w:rPr>
            </w:pPr>
            <w:r>
              <w:rPr>
                <w:rFonts w:hint="eastAsia" w:ascii="Times New Roman" w:eastAsia="宋体"/>
                <w:b/>
                <w:bCs/>
                <w:color w:val="auto"/>
                <w:highlight w:val="none"/>
                <w:lang w:val="en-US" w:eastAsia="zh-CN"/>
              </w:rPr>
              <w:t>4.1.1 一般工业固体废物基本情况</w:t>
            </w:r>
          </w:p>
          <w:p w14:paraId="31237B63">
            <w:pPr>
              <w:bidi w:val="0"/>
              <w:rPr>
                <w:color w:val="auto"/>
                <w:highlight w:val="none"/>
              </w:rPr>
            </w:pPr>
            <w:r>
              <w:rPr>
                <w:rFonts w:hint="eastAsia"/>
                <w:color w:val="auto"/>
                <w:highlight w:val="none"/>
                <w:lang w:val="en-US" w:eastAsia="zh-CN"/>
              </w:rPr>
              <w:t>本项目产生的一般工业固体废物主要为</w:t>
            </w:r>
            <w:r>
              <w:rPr>
                <w:rFonts w:hint="eastAsia"/>
                <w:color w:val="auto"/>
                <w:sz w:val="24"/>
                <w:szCs w:val="24"/>
                <w:highlight w:val="none"/>
                <w:lang w:val="en-US" w:eastAsia="zh-CN"/>
              </w:rPr>
              <w:t>除尘器收集的除尘灰，定期更换的废布袋，腻子打磨过程产生的废砂纸</w:t>
            </w:r>
            <w:r>
              <w:rPr>
                <w:rFonts w:hint="eastAsia"/>
                <w:color w:val="auto"/>
                <w:highlight w:val="none"/>
                <w:lang w:val="en-US" w:eastAsia="zh-CN"/>
              </w:rPr>
              <w:t>。</w:t>
            </w:r>
          </w:p>
          <w:p w14:paraId="2CDB347F">
            <w:pPr>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除尘灰（一般固废代码：336-001-66）</w:t>
            </w:r>
          </w:p>
          <w:p w14:paraId="45C4BA8E">
            <w:pPr>
              <w:bidi w:val="0"/>
              <w:rPr>
                <w:rFonts w:hint="default" w:eastAsia="宋体"/>
                <w:color w:val="auto"/>
                <w:highlight w:val="none"/>
                <w:lang w:val="en-US" w:eastAsia="zh-CN"/>
              </w:rPr>
            </w:pPr>
            <w:r>
              <w:rPr>
                <w:rFonts w:hint="eastAsia"/>
                <w:color w:val="auto"/>
                <w:highlight w:val="none"/>
                <w:lang w:val="en-US" w:eastAsia="zh-CN"/>
              </w:rPr>
              <w:t>本项目除尘器会收集一定量的除尘灰，除尘灰产生量为0.749t/a，袋装收集，暂存于一般固废暂存区，定期外售钢铁企业。</w:t>
            </w:r>
          </w:p>
          <w:p w14:paraId="30DA5ED9">
            <w:pPr>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废布袋（一般固废代码：336-001-99）</w:t>
            </w:r>
          </w:p>
          <w:p w14:paraId="1B51CB21">
            <w:pPr>
              <w:bidi w:val="0"/>
              <w:rPr>
                <w:rFonts w:hint="eastAsia"/>
                <w:color w:val="auto"/>
                <w:lang w:val="en-US" w:eastAsia="zh-CN"/>
              </w:rPr>
            </w:pPr>
            <w:r>
              <w:rPr>
                <w:rFonts w:hint="eastAsia"/>
                <w:color w:val="auto"/>
                <w:lang w:val="en-US" w:eastAsia="zh-CN"/>
              </w:rPr>
              <w:t>本项目除尘器需定期更换布袋，更换下来的废布袋产生量为0.1t/a，暂存于一般固废暂存区，定期外售废品回收站。</w:t>
            </w:r>
          </w:p>
          <w:p w14:paraId="3A1F29C4">
            <w:pPr>
              <w:numPr>
                <w:ilvl w:val="0"/>
                <w:numId w:val="0"/>
              </w:numPr>
              <w:bidi w:val="0"/>
              <w:ind w:leftChars="200"/>
              <w:rPr>
                <w:rFonts w:hint="eastAsia"/>
                <w:color w:val="auto"/>
                <w:lang w:val="en-US" w:eastAsia="zh-CN"/>
              </w:rPr>
            </w:pPr>
            <w:r>
              <w:rPr>
                <w:rFonts w:hint="eastAsia"/>
                <w:color w:val="auto"/>
                <w:lang w:val="en-US" w:eastAsia="zh-CN"/>
              </w:rPr>
              <w:t>（3）废砂纸</w:t>
            </w:r>
            <w:r>
              <w:rPr>
                <w:rFonts w:hint="eastAsia"/>
                <w:color w:val="auto"/>
                <w:highlight w:val="none"/>
                <w:lang w:val="en-US" w:eastAsia="zh-CN"/>
              </w:rPr>
              <w:t>（一般固废代码：336-001-99）</w:t>
            </w:r>
          </w:p>
          <w:p w14:paraId="5CA34D45">
            <w:pPr>
              <w:bidi w:val="0"/>
              <w:rPr>
                <w:rFonts w:hint="eastAsia"/>
                <w:color w:val="auto"/>
                <w:lang w:val="en-US" w:eastAsia="zh-CN"/>
              </w:rPr>
            </w:pPr>
            <w:r>
              <w:rPr>
                <w:rFonts w:hint="eastAsia"/>
                <w:color w:val="auto"/>
                <w:lang w:val="en-US" w:eastAsia="zh-CN"/>
              </w:rPr>
              <w:t>本项目腻子打磨过程会产生一定量的废砂纸，废砂纸产生量为0.1t/a，暂存于一般固废暂存区，定期外售废品回收站。</w:t>
            </w:r>
          </w:p>
          <w:p w14:paraId="0E21FD1F">
            <w:pPr>
              <w:bidi w:val="0"/>
              <w:rPr>
                <w:rFonts w:hint="eastAsia"/>
                <w:color w:val="auto"/>
                <w:lang w:val="en-US" w:eastAsia="zh-CN"/>
              </w:rPr>
            </w:pPr>
          </w:p>
          <w:p w14:paraId="1EB866C5">
            <w:pPr>
              <w:bidi w:val="0"/>
              <w:rPr>
                <w:rFonts w:hint="eastAsia"/>
                <w:color w:val="auto"/>
                <w:lang w:val="en-US" w:eastAsia="zh-CN"/>
              </w:rPr>
            </w:pPr>
          </w:p>
          <w:p w14:paraId="1EDF9CB5">
            <w:pPr>
              <w:bidi w:val="0"/>
              <w:rPr>
                <w:rFonts w:hint="eastAsia"/>
                <w:color w:val="auto"/>
                <w:lang w:val="en-US" w:eastAsia="zh-CN"/>
              </w:rPr>
            </w:pPr>
          </w:p>
          <w:p w14:paraId="7D098843">
            <w:pPr>
              <w:bidi w:val="0"/>
              <w:ind w:left="0" w:leftChars="0" w:firstLine="0" w:firstLineChars="0"/>
              <w:rPr>
                <w:rFonts w:hint="default"/>
                <w:color w:val="auto"/>
                <w:lang w:val="en-US" w:eastAsia="zh-CN"/>
              </w:rPr>
            </w:pPr>
          </w:p>
        </w:tc>
      </w:tr>
    </w:tbl>
    <w:p w14:paraId="4EDAEEB0">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3285"/>
      </w:tblGrid>
      <w:tr w14:paraId="2FD8B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9" w:type="dxa"/>
            <w:tcBorders>
              <w:tl2br w:val="nil"/>
              <w:tr2bl w:val="nil"/>
            </w:tcBorders>
          </w:tcPr>
          <w:p w14:paraId="752645A0">
            <w:pPr>
              <w:rPr>
                <w:rFonts w:hint="eastAsia" w:ascii="黑体" w:hAnsi="黑体" w:eastAsia="黑体"/>
                <w:snapToGrid w:val="0"/>
                <w:color w:val="auto"/>
                <w:sz w:val="30"/>
                <w:szCs w:val="30"/>
                <w:highlight w:val="none"/>
                <w:vertAlign w:val="baseline"/>
              </w:rPr>
            </w:pPr>
            <w:bookmarkStart w:id="6" w:name="_Toc10289"/>
          </w:p>
        </w:tc>
        <w:tc>
          <w:tcPr>
            <w:tcW w:w="12995" w:type="dxa"/>
            <w:tcBorders>
              <w:tl2br w:val="nil"/>
              <w:tr2bl w:val="nil"/>
            </w:tcBorders>
            <w:vAlign w:val="top"/>
          </w:tcPr>
          <w:p w14:paraId="7C5B9DAE">
            <w:pPr>
              <w:bidi w:val="0"/>
              <w:rPr>
                <w:rFonts w:hint="default"/>
                <w:color w:val="auto"/>
                <w:highlight w:val="none"/>
                <w:lang w:val="zh-CN" w:eastAsia="zh-CN"/>
              </w:rPr>
            </w:pPr>
            <w:r>
              <w:rPr>
                <w:rFonts w:hint="eastAsia"/>
                <w:color w:val="auto"/>
                <w:highlight w:val="none"/>
                <w:lang w:val="en-US" w:eastAsia="zh-CN"/>
              </w:rPr>
              <w:t>本项目一般工业固体废物产生及处置情况见下表。</w:t>
            </w:r>
          </w:p>
          <w:p w14:paraId="5841B6F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58</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eastAsia" w:cs="Times New Roman"/>
                <w:b/>
                <w:bCs/>
                <w:color w:val="auto"/>
                <w:sz w:val="21"/>
                <w:szCs w:val="21"/>
                <w:highlight w:val="none"/>
                <w:shd w:val="clear" w:color="auto" w:fill="auto"/>
                <w:lang w:val="en-US" w:eastAsia="zh-CN"/>
              </w:rPr>
              <w:t>本项目一般工业</w:t>
            </w:r>
            <w:r>
              <w:rPr>
                <w:rFonts w:hint="eastAsia" w:ascii="Times New Roman" w:hAnsi="Times New Roman" w:eastAsia="宋体" w:cs="Times New Roman"/>
                <w:b/>
                <w:bCs/>
                <w:color w:val="auto"/>
                <w:sz w:val="21"/>
                <w:szCs w:val="21"/>
                <w:highlight w:val="none"/>
                <w:shd w:val="clear" w:color="auto" w:fill="auto"/>
                <w:lang w:val="en-US" w:eastAsia="zh-CN"/>
              </w:rPr>
              <w:t>固体废物污染源及治理措施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28"/>
              <w:gridCol w:w="1067"/>
              <w:gridCol w:w="733"/>
              <w:gridCol w:w="1189"/>
              <w:gridCol w:w="644"/>
              <w:gridCol w:w="823"/>
              <w:gridCol w:w="800"/>
              <w:gridCol w:w="1289"/>
              <w:gridCol w:w="1233"/>
              <w:gridCol w:w="890"/>
              <w:gridCol w:w="3343"/>
            </w:tblGrid>
            <w:tr w14:paraId="6CDD3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028" w:type="dxa"/>
                  <w:tcBorders>
                    <w:tl2br w:val="nil"/>
                    <w:tr2bl w:val="nil"/>
                  </w:tcBorders>
                  <w:noWrap w:val="0"/>
                  <w:tcMar>
                    <w:top w:w="15" w:type="dxa"/>
                    <w:left w:w="15" w:type="dxa"/>
                    <w:right w:w="15" w:type="dxa"/>
                  </w:tcMar>
                  <w:vAlign w:val="center"/>
                </w:tcPr>
                <w:p w14:paraId="2B0FB1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1067" w:type="dxa"/>
                  <w:tcBorders>
                    <w:tl2br w:val="nil"/>
                    <w:tr2bl w:val="nil"/>
                  </w:tcBorders>
                  <w:noWrap w:val="0"/>
                  <w:tcMar>
                    <w:top w:w="15" w:type="dxa"/>
                    <w:left w:w="15" w:type="dxa"/>
                    <w:right w:w="15" w:type="dxa"/>
                  </w:tcMar>
                  <w:vAlign w:val="center"/>
                </w:tcPr>
                <w:p w14:paraId="1350B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733" w:type="dxa"/>
                  <w:tcBorders>
                    <w:tl2br w:val="nil"/>
                    <w:tr2bl w:val="nil"/>
                  </w:tcBorders>
                  <w:noWrap w:val="0"/>
                  <w:tcMar>
                    <w:top w:w="15" w:type="dxa"/>
                    <w:left w:w="15" w:type="dxa"/>
                    <w:right w:w="15" w:type="dxa"/>
                  </w:tcMar>
                  <w:vAlign w:val="center"/>
                </w:tcPr>
                <w:p w14:paraId="75FE50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89" w:type="dxa"/>
                  <w:tcBorders>
                    <w:tl2br w:val="nil"/>
                    <w:tr2bl w:val="nil"/>
                  </w:tcBorders>
                  <w:noWrap w:val="0"/>
                  <w:tcMar>
                    <w:top w:w="15" w:type="dxa"/>
                    <w:left w:w="15" w:type="dxa"/>
                    <w:right w:w="15" w:type="dxa"/>
                  </w:tcMar>
                  <w:vAlign w:val="center"/>
                </w:tcPr>
                <w:p w14:paraId="2BBEF2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44" w:type="dxa"/>
                  <w:tcBorders>
                    <w:tl2br w:val="nil"/>
                    <w:tr2bl w:val="nil"/>
                  </w:tcBorders>
                  <w:noWrap w:val="0"/>
                  <w:tcMar>
                    <w:top w:w="15" w:type="dxa"/>
                    <w:left w:w="15" w:type="dxa"/>
                    <w:right w:w="15" w:type="dxa"/>
                  </w:tcMar>
                  <w:vAlign w:val="center"/>
                </w:tcPr>
                <w:p w14:paraId="7D1E37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823" w:type="dxa"/>
                  <w:tcBorders>
                    <w:tl2br w:val="nil"/>
                    <w:tr2bl w:val="nil"/>
                  </w:tcBorders>
                  <w:noWrap w:val="0"/>
                  <w:tcMar>
                    <w:top w:w="15" w:type="dxa"/>
                    <w:left w:w="15" w:type="dxa"/>
                    <w:right w:w="15" w:type="dxa"/>
                  </w:tcMar>
                  <w:vAlign w:val="center"/>
                </w:tcPr>
                <w:p w14:paraId="146AA7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00" w:type="dxa"/>
                  <w:tcBorders>
                    <w:tl2br w:val="nil"/>
                    <w:tr2bl w:val="nil"/>
                  </w:tcBorders>
                  <w:noWrap w:val="0"/>
                  <w:tcMar>
                    <w:top w:w="15" w:type="dxa"/>
                    <w:left w:w="15" w:type="dxa"/>
                    <w:right w:w="15" w:type="dxa"/>
                  </w:tcMar>
                  <w:vAlign w:val="center"/>
                </w:tcPr>
                <w:p w14:paraId="4FF12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1289" w:type="dxa"/>
                  <w:tcBorders>
                    <w:tl2br w:val="nil"/>
                    <w:tr2bl w:val="nil"/>
                  </w:tcBorders>
                  <w:noWrap w:val="0"/>
                  <w:tcMar>
                    <w:top w:w="15" w:type="dxa"/>
                    <w:left w:w="15" w:type="dxa"/>
                    <w:right w:w="15" w:type="dxa"/>
                  </w:tcMar>
                  <w:vAlign w:val="center"/>
                </w:tcPr>
                <w:p w14:paraId="147D38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233" w:type="dxa"/>
                  <w:tcBorders>
                    <w:tl2br w:val="nil"/>
                    <w:tr2bl w:val="nil"/>
                  </w:tcBorders>
                  <w:noWrap w:val="0"/>
                  <w:tcMar>
                    <w:top w:w="15" w:type="dxa"/>
                    <w:left w:w="15" w:type="dxa"/>
                    <w:right w:w="15" w:type="dxa"/>
                  </w:tcMar>
                  <w:vAlign w:val="center"/>
                </w:tcPr>
                <w:p w14:paraId="636C5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890" w:type="dxa"/>
                  <w:tcBorders>
                    <w:tl2br w:val="nil"/>
                    <w:tr2bl w:val="nil"/>
                  </w:tcBorders>
                  <w:noWrap w:val="0"/>
                  <w:tcMar>
                    <w:top w:w="15" w:type="dxa"/>
                    <w:left w:w="15" w:type="dxa"/>
                    <w:right w:w="15" w:type="dxa"/>
                  </w:tcMar>
                  <w:vAlign w:val="center"/>
                </w:tcPr>
                <w:p w14:paraId="056DA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3343" w:type="dxa"/>
                  <w:tcBorders>
                    <w:tl2br w:val="nil"/>
                    <w:tr2bl w:val="nil"/>
                  </w:tcBorders>
                  <w:noWrap w:val="0"/>
                  <w:tcMar>
                    <w:top w:w="15" w:type="dxa"/>
                    <w:left w:w="15" w:type="dxa"/>
                    <w:right w:w="15" w:type="dxa"/>
                  </w:tcMar>
                  <w:vAlign w:val="center"/>
                </w:tcPr>
                <w:p w14:paraId="1EDAF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3BF9F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028" w:type="dxa"/>
                  <w:vMerge w:val="restart"/>
                  <w:tcBorders>
                    <w:tl2br w:val="nil"/>
                    <w:tr2bl w:val="nil"/>
                  </w:tcBorders>
                  <w:noWrap w:val="0"/>
                  <w:tcMar>
                    <w:top w:w="15" w:type="dxa"/>
                    <w:left w:w="15" w:type="dxa"/>
                    <w:right w:w="15" w:type="dxa"/>
                  </w:tcMar>
                  <w:vAlign w:val="center"/>
                </w:tcPr>
                <w:p w14:paraId="68E37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除尘器</w:t>
                  </w:r>
                </w:p>
              </w:tc>
              <w:tc>
                <w:tcPr>
                  <w:tcW w:w="1067" w:type="dxa"/>
                  <w:tcBorders>
                    <w:tl2br w:val="nil"/>
                    <w:tr2bl w:val="nil"/>
                  </w:tcBorders>
                  <w:noWrap w:val="0"/>
                  <w:tcMar>
                    <w:top w:w="15" w:type="dxa"/>
                    <w:left w:w="15" w:type="dxa"/>
                    <w:right w:w="15" w:type="dxa"/>
                  </w:tcMar>
                  <w:vAlign w:val="center"/>
                </w:tcPr>
                <w:p w14:paraId="71282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除尘灰</w:t>
                  </w:r>
                </w:p>
              </w:tc>
              <w:tc>
                <w:tcPr>
                  <w:tcW w:w="733" w:type="dxa"/>
                  <w:vMerge w:val="restart"/>
                  <w:tcBorders>
                    <w:tl2br w:val="nil"/>
                    <w:tr2bl w:val="nil"/>
                  </w:tcBorders>
                  <w:noWrap w:val="0"/>
                  <w:tcMar>
                    <w:top w:w="15" w:type="dxa"/>
                    <w:left w:w="15" w:type="dxa"/>
                    <w:right w:w="15" w:type="dxa"/>
                  </w:tcMar>
                  <w:vAlign w:val="center"/>
                </w:tcPr>
                <w:p w14:paraId="429C4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一般工业固体废物</w:t>
                  </w:r>
                </w:p>
              </w:tc>
              <w:tc>
                <w:tcPr>
                  <w:tcW w:w="1189" w:type="dxa"/>
                  <w:tcBorders>
                    <w:tl2br w:val="nil"/>
                    <w:tr2bl w:val="nil"/>
                  </w:tcBorders>
                  <w:noWrap w:val="0"/>
                  <w:tcMar>
                    <w:top w:w="15" w:type="dxa"/>
                    <w:left w:w="15" w:type="dxa"/>
                    <w:right w:w="15" w:type="dxa"/>
                  </w:tcMar>
                  <w:vAlign w:val="center"/>
                </w:tcPr>
                <w:p w14:paraId="52A2AA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44" w:type="dxa"/>
                  <w:tcBorders>
                    <w:tl2br w:val="nil"/>
                    <w:tr2bl w:val="nil"/>
                  </w:tcBorders>
                  <w:noWrap w:val="0"/>
                  <w:tcMar>
                    <w:top w:w="15" w:type="dxa"/>
                    <w:left w:w="15" w:type="dxa"/>
                    <w:right w:w="15" w:type="dxa"/>
                  </w:tcMar>
                  <w:vAlign w:val="center"/>
                </w:tcPr>
                <w:p w14:paraId="36C59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23" w:type="dxa"/>
                  <w:tcBorders>
                    <w:tl2br w:val="nil"/>
                    <w:tr2bl w:val="nil"/>
                  </w:tcBorders>
                  <w:noWrap w:val="0"/>
                  <w:tcMar>
                    <w:top w:w="15" w:type="dxa"/>
                    <w:left w:w="15" w:type="dxa"/>
                    <w:right w:w="15" w:type="dxa"/>
                  </w:tcMar>
                  <w:vAlign w:val="center"/>
                </w:tcPr>
                <w:p w14:paraId="019B9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00" w:type="dxa"/>
                  <w:tcBorders>
                    <w:tl2br w:val="nil"/>
                    <w:tr2bl w:val="nil"/>
                  </w:tcBorders>
                  <w:noWrap w:val="0"/>
                  <w:tcMar>
                    <w:top w:w="15" w:type="dxa"/>
                    <w:left w:w="15" w:type="dxa"/>
                    <w:right w:w="15" w:type="dxa"/>
                  </w:tcMar>
                  <w:vAlign w:val="center"/>
                </w:tcPr>
                <w:p w14:paraId="774BA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0.749t/a</w:t>
                  </w:r>
                </w:p>
              </w:tc>
              <w:tc>
                <w:tcPr>
                  <w:tcW w:w="1289" w:type="dxa"/>
                  <w:tcBorders>
                    <w:tl2br w:val="nil"/>
                    <w:tr2bl w:val="nil"/>
                  </w:tcBorders>
                  <w:noWrap w:val="0"/>
                  <w:tcMar>
                    <w:top w:w="15" w:type="dxa"/>
                    <w:left w:w="15" w:type="dxa"/>
                    <w:right w:w="15" w:type="dxa"/>
                  </w:tcMar>
                  <w:vAlign w:val="center"/>
                </w:tcPr>
                <w:p w14:paraId="526B5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袋装收集，</w:t>
                  </w: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一般固废储存区</w:t>
                  </w:r>
                </w:p>
              </w:tc>
              <w:tc>
                <w:tcPr>
                  <w:tcW w:w="1233" w:type="dxa"/>
                  <w:tcBorders>
                    <w:tl2br w:val="nil"/>
                    <w:tr2bl w:val="nil"/>
                  </w:tcBorders>
                  <w:noWrap w:val="0"/>
                  <w:tcMar>
                    <w:top w:w="15" w:type="dxa"/>
                    <w:left w:w="15" w:type="dxa"/>
                    <w:right w:w="15" w:type="dxa"/>
                  </w:tcMar>
                  <w:vAlign w:val="center"/>
                </w:tcPr>
                <w:p w14:paraId="594CBC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外售钢铁企业</w:t>
                  </w:r>
                </w:p>
              </w:tc>
              <w:tc>
                <w:tcPr>
                  <w:tcW w:w="890" w:type="dxa"/>
                  <w:tcBorders>
                    <w:tl2br w:val="nil"/>
                    <w:tr2bl w:val="nil"/>
                  </w:tcBorders>
                  <w:noWrap w:val="0"/>
                  <w:tcMar>
                    <w:top w:w="15" w:type="dxa"/>
                    <w:left w:w="15" w:type="dxa"/>
                    <w:right w:w="15" w:type="dxa"/>
                  </w:tcMar>
                  <w:vAlign w:val="center"/>
                </w:tcPr>
                <w:p w14:paraId="6D9A43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0.749t/a</w:t>
                  </w:r>
                </w:p>
              </w:tc>
              <w:tc>
                <w:tcPr>
                  <w:tcW w:w="3343" w:type="dxa"/>
                  <w:vMerge w:val="restart"/>
                  <w:tcBorders>
                    <w:tl2br w:val="nil"/>
                    <w:tr2bl w:val="nil"/>
                  </w:tcBorders>
                  <w:noWrap w:val="0"/>
                  <w:tcMar>
                    <w:top w:w="15" w:type="dxa"/>
                    <w:left w:w="15" w:type="dxa"/>
                    <w:right w:w="15" w:type="dxa"/>
                  </w:tcMar>
                  <w:vAlign w:val="center"/>
                </w:tcPr>
                <w:p w14:paraId="7A982F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一般固体废物临时存放应严格执行《中华人民共和国固体废物污染环境防治法》中第二十条第一款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w:t>
                  </w:r>
                  <w:r>
                    <w:rPr>
                      <w:rFonts w:hint="eastAsia"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照《环境保护图形标志》（GB15562-1995）的要求对一般固体废物的临时存放场所设置环境保护图形标志牌</w:t>
                  </w:r>
                </w:p>
              </w:tc>
            </w:tr>
            <w:tr w14:paraId="06E55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028" w:type="dxa"/>
                  <w:vMerge w:val="continue"/>
                  <w:tcBorders>
                    <w:tl2br w:val="nil"/>
                    <w:tr2bl w:val="nil"/>
                  </w:tcBorders>
                  <w:noWrap w:val="0"/>
                  <w:tcMar>
                    <w:top w:w="15" w:type="dxa"/>
                    <w:left w:w="15" w:type="dxa"/>
                    <w:right w:w="15" w:type="dxa"/>
                  </w:tcMar>
                  <w:vAlign w:val="center"/>
                </w:tcPr>
                <w:p w14:paraId="366BF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067" w:type="dxa"/>
                  <w:tcBorders>
                    <w:tl2br w:val="nil"/>
                    <w:tr2bl w:val="nil"/>
                  </w:tcBorders>
                  <w:noWrap w:val="0"/>
                  <w:tcMar>
                    <w:top w:w="15" w:type="dxa"/>
                    <w:left w:w="15" w:type="dxa"/>
                    <w:right w:w="15" w:type="dxa"/>
                  </w:tcMar>
                  <w:vAlign w:val="center"/>
                </w:tcPr>
                <w:p w14:paraId="730D24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废布袋</w:t>
                  </w:r>
                </w:p>
              </w:tc>
              <w:tc>
                <w:tcPr>
                  <w:tcW w:w="733" w:type="dxa"/>
                  <w:vMerge w:val="continue"/>
                  <w:tcBorders>
                    <w:tl2br w:val="nil"/>
                    <w:tr2bl w:val="nil"/>
                  </w:tcBorders>
                  <w:noWrap w:val="0"/>
                  <w:tcMar>
                    <w:top w:w="15" w:type="dxa"/>
                    <w:left w:w="15" w:type="dxa"/>
                    <w:right w:w="15" w:type="dxa"/>
                  </w:tcMar>
                  <w:vAlign w:val="center"/>
                </w:tcPr>
                <w:p w14:paraId="3A64FF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189" w:type="dxa"/>
                  <w:tcBorders>
                    <w:tl2br w:val="nil"/>
                    <w:tr2bl w:val="nil"/>
                  </w:tcBorders>
                  <w:noWrap w:val="0"/>
                  <w:tcMar>
                    <w:top w:w="15" w:type="dxa"/>
                    <w:left w:w="15" w:type="dxa"/>
                    <w:right w:w="15" w:type="dxa"/>
                  </w:tcMar>
                  <w:vAlign w:val="center"/>
                </w:tcPr>
                <w:p w14:paraId="4D914B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44" w:type="dxa"/>
                  <w:tcBorders>
                    <w:tl2br w:val="nil"/>
                    <w:tr2bl w:val="nil"/>
                  </w:tcBorders>
                  <w:noWrap w:val="0"/>
                  <w:tcMar>
                    <w:top w:w="15" w:type="dxa"/>
                    <w:left w:w="15" w:type="dxa"/>
                    <w:right w:w="15" w:type="dxa"/>
                  </w:tcMar>
                  <w:vAlign w:val="center"/>
                </w:tcPr>
                <w:p w14:paraId="2E8811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23" w:type="dxa"/>
                  <w:tcBorders>
                    <w:tl2br w:val="nil"/>
                    <w:tr2bl w:val="nil"/>
                  </w:tcBorders>
                  <w:noWrap w:val="0"/>
                  <w:tcMar>
                    <w:top w:w="15" w:type="dxa"/>
                    <w:left w:w="15" w:type="dxa"/>
                    <w:right w:w="15" w:type="dxa"/>
                  </w:tcMar>
                  <w:vAlign w:val="center"/>
                </w:tcPr>
                <w:p w14:paraId="1400A1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00" w:type="dxa"/>
                  <w:tcBorders>
                    <w:tl2br w:val="nil"/>
                    <w:tr2bl w:val="nil"/>
                  </w:tcBorders>
                  <w:noWrap w:val="0"/>
                  <w:tcMar>
                    <w:top w:w="15" w:type="dxa"/>
                    <w:left w:w="15" w:type="dxa"/>
                    <w:right w:w="15" w:type="dxa"/>
                  </w:tcMar>
                  <w:vAlign w:val="center"/>
                </w:tcPr>
                <w:p w14:paraId="406B05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1289" w:type="dxa"/>
                  <w:tcBorders>
                    <w:tl2br w:val="nil"/>
                    <w:tr2bl w:val="nil"/>
                  </w:tcBorders>
                  <w:noWrap w:val="0"/>
                  <w:tcMar>
                    <w:top w:w="15" w:type="dxa"/>
                    <w:left w:w="15" w:type="dxa"/>
                    <w:right w:w="15" w:type="dxa"/>
                  </w:tcMar>
                  <w:vAlign w:val="center"/>
                </w:tcPr>
                <w:p w14:paraId="559138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一般固废储存区</w:t>
                  </w:r>
                </w:p>
              </w:tc>
              <w:tc>
                <w:tcPr>
                  <w:tcW w:w="1233" w:type="dxa"/>
                  <w:tcBorders>
                    <w:tl2br w:val="nil"/>
                    <w:tr2bl w:val="nil"/>
                  </w:tcBorders>
                  <w:noWrap w:val="0"/>
                  <w:tcMar>
                    <w:top w:w="15" w:type="dxa"/>
                    <w:left w:w="15" w:type="dxa"/>
                    <w:right w:w="15" w:type="dxa"/>
                  </w:tcMar>
                  <w:vAlign w:val="center"/>
                </w:tcPr>
                <w:p w14:paraId="44C4E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外售废品回收站</w:t>
                  </w:r>
                </w:p>
              </w:tc>
              <w:tc>
                <w:tcPr>
                  <w:tcW w:w="890" w:type="dxa"/>
                  <w:tcBorders>
                    <w:tl2br w:val="nil"/>
                    <w:tr2bl w:val="nil"/>
                  </w:tcBorders>
                  <w:noWrap w:val="0"/>
                  <w:tcMar>
                    <w:top w:w="15" w:type="dxa"/>
                    <w:left w:w="15" w:type="dxa"/>
                    <w:right w:w="15" w:type="dxa"/>
                  </w:tcMar>
                  <w:vAlign w:val="center"/>
                </w:tcPr>
                <w:p w14:paraId="46279A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3343" w:type="dxa"/>
                  <w:vMerge w:val="continue"/>
                  <w:tcBorders>
                    <w:tl2br w:val="nil"/>
                    <w:tr2bl w:val="nil"/>
                  </w:tcBorders>
                  <w:noWrap w:val="0"/>
                  <w:tcMar>
                    <w:top w:w="15" w:type="dxa"/>
                    <w:left w:w="15" w:type="dxa"/>
                    <w:right w:w="15" w:type="dxa"/>
                  </w:tcMar>
                  <w:vAlign w:val="center"/>
                </w:tcPr>
                <w:p w14:paraId="6F3419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03D24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028" w:type="dxa"/>
                  <w:tcBorders>
                    <w:tl2br w:val="nil"/>
                    <w:tr2bl w:val="nil"/>
                  </w:tcBorders>
                  <w:noWrap w:val="0"/>
                  <w:tcMar>
                    <w:top w:w="15" w:type="dxa"/>
                    <w:left w:w="15" w:type="dxa"/>
                    <w:right w:w="15" w:type="dxa"/>
                  </w:tcMar>
                  <w:vAlign w:val="center"/>
                </w:tcPr>
                <w:p w14:paraId="5A9D31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腻子打磨</w:t>
                  </w:r>
                </w:p>
              </w:tc>
              <w:tc>
                <w:tcPr>
                  <w:tcW w:w="1067" w:type="dxa"/>
                  <w:tcBorders>
                    <w:tl2br w:val="nil"/>
                    <w:tr2bl w:val="nil"/>
                  </w:tcBorders>
                  <w:noWrap w:val="0"/>
                  <w:tcMar>
                    <w:top w:w="15" w:type="dxa"/>
                    <w:left w:w="15" w:type="dxa"/>
                    <w:right w:w="15" w:type="dxa"/>
                  </w:tcMar>
                  <w:vAlign w:val="center"/>
                </w:tcPr>
                <w:p w14:paraId="6A439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废砂纸</w:t>
                  </w:r>
                </w:p>
              </w:tc>
              <w:tc>
                <w:tcPr>
                  <w:tcW w:w="733" w:type="dxa"/>
                  <w:vMerge w:val="continue"/>
                  <w:tcBorders>
                    <w:tl2br w:val="nil"/>
                    <w:tr2bl w:val="nil"/>
                  </w:tcBorders>
                  <w:noWrap w:val="0"/>
                  <w:tcMar>
                    <w:top w:w="15" w:type="dxa"/>
                    <w:left w:w="15" w:type="dxa"/>
                    <w:right w:w="15" w:type="dxa"/>
                  </w:tcMar>
                  <w:vAlign w:val="center"/>
                </w:tcPr>
                <w:p w14:paraId="29095F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89" w:type="dxa"/>
                  <w:tcBorders>
                    <w:tl2br w:val="nil"/>
                    <w:tr2bl w:val="nil"/>
                  </w:tcBorders>
                  <w:noWrap w:val="0"/>
                  <w:tcMar>
                    <w:top w:w="15" w:type="dxa"/>
                    <w:left w:w="15" w:type="dxa"/>
                    <w:right w:w="15" w:type="dxa"/>
                  </w:tcMar>
                  <w:vAlign w:val="center"/>
                </w:tcPr>
                <w:p w14:paraId="44D606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44" w:type="dxa"/>
                  <w:tcBorders>
                    <w:tl2br w:val="nil"/>
                    <w:tr2bl w:val="nil"/>
                  </w:tcBorders>
                  <w:noWrap w:val="0"/>
                  <w:tcMar>
                    <w:top w:w="15" w:type="dxa"/>
                    <w:left w:w="15" w:type="dxa"/>
                    <w:right w:w="15" w:type="dxa"/>
                  </w:tcMar>
                  <w:vAlign w:val="center"/>
                </w:tcPr>
                <w:p w14:paraId="607E41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23" w:type="dxa"/>
                  <w:tcBorders>
                    <w:tl2br w:val="nil"/>
                    <w:tr2bl w:val="nil"/>
                  </w:tcBorders>
                  <w:noWrap w:val="0"/>
                  <w:tcMar>
                    <w:top w:w="15" w:type="dxa"/>
                    <w:left w:w="15" w:type="dxa"/>
                    <w:right w:w="15" w:type="dxa"/>
                  </w:tcMar>
                  <w:vAlign w:val="center"/>
                </w:tcPr>
                <w:p w14:paraId="0FA749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00" w:type="dxa"/>
                  <w:tcBorders>
                    <w:tl2br w:val="nil"/>
                    <w:tr2bl w:val="nil"/>
                  </w:tcBorders>
                  <w:noWrap w:val="0"/>
                  <w:tcMar>
                    <w:top w:w="15" w:type="dxa"/>
                    <w:left w:w="15" w:type="dxa"/>
                    <w:right w:w="15" w:type="dxa"/>
                  </w:tcMar>
                  <w:vAlign w:val="center"/>
                </w:tcPr>
                <w:p w14:paraId="2DFC04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1289" w:type="dxa"/>
                  <w:tcBorders>
                    <w:tl2br w:val="nil"/>
                    <w:tr2bl w:val="nil"/>
                  </w:tcBorders>
                  <w:noWrap w:val="0"/>
                  <w:tcMar>
                    <w:top w:w="15" w:type="dxa"/>
                    <w:left w:w="15" w:type="dxa"/>
                    <w:right w:w="15" w:type="dxa"/>
                  </w:tcMar>
                  <w:vAlign w:val="center"/>
                </w:tcPr>
                <w:p w14:paraId="0CD7D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一般固废储存区</w:t>
                  </w:r>
                </w:p>
              </w:tc>
              <w:tc>
                <w:tcPr>
                  <w:tcW w:w="1233" w:type="dxa"/>
                  <w:tcBorders>
                    <w:tl2br w:val="nil"/>
                    <w:tr2bl w:val="nil"/>
                  </w:tcBorders>
                  <w:noWrap w:val="0"/>
                  <w:tcMar>
                    <w:top w:w="15" w:type="dxa"/>
                    <w:left w:w="15" w:type="dxa"/>
                    <w:right w:w="15" w:type="dxa"/>
                  </w:tcMar>
                  <w:vAlign w:val="center"/>
                </w:tcPr>
                <w:p w14:paraId="2B8C5F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外售废品回收站</w:t>
                  </w:r>
                </w:p>
              </w:tc>
              <w:tc>
                <w:tcPr>
                  <w:tcW w:w="890" w:type="dxa"/>
                  <w:tcBorders>
                    <w:tl2br w:val="nil"/>
                    <w:tr2bl w:val="nil"/>
                  </w:tcBorders>
                  <w:noWrap w:val="0"/>
                  <w:tcMar>
                    <w:top w:w="15" w:type="dxa"/>
                    <w:left w:w="15" w:type="dxa"/>
                    <w:right w:w="15" w:type="dxa"/>
                  </w:tcMar>
                  <w:vAlign w:val="center"/>
                </w:tcPr>
                <w:p w14:paraId="0646B0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3343" w:type="dxa"/>
                  <w:vMerge w:val="continue"/>
                  <w:tcBorders>
                    <w:tl2br w:val="nil"/>
                    <w:tr2bl w:val="nil"/>
                  </w:tcBorders>
                  <w:noWrap w:val="0"/>
                  <w:tcMar>
                    <w:top w:w="15" w:type="dxa"/>
                    <w:left w:w="15" w:type="dxa"/>
                    <w:right w:w="15" w:type="dxa"/>
                  </w:tcMar>
                  <w:vAlign w:val="center"/>
                </w:tcPr>
                <w:p w14:paraId="48132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bl>
          <w:p w14:paraId="70A0305A">
            <w:pPr>
              <w:bidi w:val="0"/>
              <w:rPr>
                <w:rFonts w:hint="default"/>
                <w:color w:val="auto"/>
                <w:highlight w:val="none"/>
                <w:lang w:val="en-US" w:eastAsia="zh-CN"/>
              </w:rPr>
            </w:pPr>
            <w:r>
              <w:rPr>
                <w:rFonts w:hint="eastAsia"/>
                <w:color w:val="auto"/>
                <w:highlight w:val="none"/>
                <w:lang w:val="en-US" w:eastAsia="zh-CN"/>
              </w:rPr>
              <w:t>本项目建成后全厂一般工业固体废物产生及处置情况见下表。</w:t>
            </w:r>
          </w:p>
          <w:p w14:paraId="2338005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59</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eastAsia" w:cs="Times New Roman"/>
                <w:b/>
                <w:bCs/>
                <w:color w:val="auto"/>
                <w:sz w:val="21"/>
                <w:szCs w:val="21"/>
                <w:highlight w:val="none"/>
                <w:shd w:val="clear" w:color="auto" w:fill="auto"/>
                <w:lang w:val="en-US" w:eastAsia="zh-CN"/>
              </w:rPr>
              <w:t>本项目建成后全厂一般工业</w:t>
            </w:r>
            <w:r>
              <w:rPr>
                <w:rFonts w:hint="eastAsia" w:ascii="Times New Roman" w:hAnsi="Times New Roman" w:eastAsia="宋体" w:cs="Times New Roman"/>
                <w:b/>
                <w:bCs/>
                <w:color w:val="auto"/>
                <w:sz w:val="21"/>
                <w:szCs w:val="21"/>
                <w:highlight w:val="none"/>
                <w:shd w:val="clear" w:color="auto" w:fill="auto"/>
                <w:lang w:val="en-US" w:eastAsia="zh-CN"/>
              </w:rPr>
              <w:t>固体废物污染源及治理措施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4"/>
              <w:gridCol w:w="1089"/>
              <w:gridCol w:w="744"/>
              <w:gridCol w:w="1211"/>
              <w:gridCol w:w="611"/>
              <w:gridCol w:w="845"/>
              <w:gridCol w:w="811"/>
              <w:gridCol w:w="1652"/>
              <w:gridCol w:w="1275"/>
              <w:gridCol w:w="1365"/>
              <w:gridCol w:w="2452"/>
            </w:tblGrid>
            <w:tr w14:paraId="2D808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984" w:type="dxa"/>
                  <w:tcBorders>
                    <w:tl2br w:val="nil"/>
                    <w:tr2bl w:val="nil"/>
                  </w:tcBorders>
                  <w:noWrap w:val="0"/>
                  <w:tcMar>
                    <w:top w:w="15" w:type="dxa"/>
                    <w:left w:w="15" w:type="dxa"/>
                    <w:right w:w="15" w:type="dxa"/>
                  </w:tcMar>
                  <w:vAlign w:val="center"/>
                </w:tcPr>
                <w:p w14:paraId="429900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1089" w:type="dxa"/>
                  <w:tcBorders>
                    <w:tl2br w:val="nil"/>
                    <w:tr2bl w:val="nil"/>
                  </w:tcBorders>
                  <w:noWrap w:val="0"/>
                  <w:tcMar>
                    <w:top w:w="15" w:type="dxa"/>
                    <w:left w:w="15" w:type="dxa"/>
                    <w:right w:w="15" w:type="dxa"/>
                  </w:tcMar>
                  <w:vAlign w:val="center"/>
                </w:tcPr>
                <w:p w14:paraId="7BF446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744" w:type="dxa"/>
                  <w:tcBorders>
                    <w:tl2br w:val="nil"/>
                    <w:tr2bl w:val="nil"/>
                  </w:tcBorders>
                  <w:noWrap w:val="0"/>
                  <w:tcMar>
                    <w:top w:w="15" w:type="dxa"/>
                    <w:left w:w="15" w:type="dxa"/>
                    <w:right w:w="15" w:type="dxa"/>
                  </w:tcMar>
                  <w:vAlign w:val="center"/>
                </w:tcPr>
                <w:p w14:paraId="297F8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211" w:type="dxa"/>
                  <w:tcBorders>
                    <w:tl2br w:val="nil"/>
                    <w:tr2bl w:val="nil"/>
                  </w:tcBorders>
                  <w:noWrap w:val="0"/>
                  <w:tcMar>
                    <w:top w:w="15" w:type="dxa"/>
                    <w:left w:w="15" w:type="dxa"/>
                    <w:right w:w="15" w:type="dxa"/>
                  </w:tcMar>
                  <w:vAlign w:val="center"/>
                </w:tcPr>
                <w:p w14:paraId="07B57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11" w:type="dxa"/>
                  <w:tcBorders>
                    <w:tl2br w:val="nil"/>
                    <w:tr2bl w:val="nil"/>
                  </w:tcBorders>
                  <w:noWrap w:val="0"/>
                  <w:tcMar>
                    <w:top w:w="15" w:type="dxa"/>
                    <w:left w:w="15" w:type="dxa"/>
                    <w:right w:w="15" w:type="dxa"/>
                  </w:tcMar>
                  <w:vAlign w:val="center"/>
                </w:tcPr>
                <w:p w14:paraId="65E3B0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845" w:type="dxa"/>
                  <w:tcBorders>
                    <w:tl2br w:val="nil"/>
                    <w:tr2bl w:val="nil"/>
                  </w:tcBorders>
                  <w:noWrap w:val="0"/>
                  <w:tcMar>
                    <w:top w:w="15" w:type="dxa"/>
                    <w:left w:w="15" w:type="dxa"/>
                    <w:right w:w="15" w:type="dxa"/>
                  </w:tcMar>
                  <w:vAlign w:val="center"/>
                </w:tcPr>
                <w:p w14:paraId="702E11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11" w:type="dxa"/>
                  <w:tcBorders>
                    <w:tl2br w:val="nil"/>
                    <w:tr2bl w:val="nil"/>
                  </w:tcBorders>
                  <w:noWrap w:val="0"/>
                  <w:tcMar>
                    <w:top w:w="15" w:type="dxa"/>
                    <w:left w:w="15" w:type="dxa"/>
                    <w:right w:w="15" w:type="dxa"/>
                  </w:tcMar>
                  <w:vAlign w:val="center"/>
                </w:tcPr>
                <w:p w14:paraId="6FB0A8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1652" w:type="dxa"/>
                  <w:tcBorders>
                    <w:tl2br w:val="nil"/>
                    <w:tr2bl w:val="nil"/>
                  </w:tcBorders>
                  <w:noWrap w:val="0"/>
                  <w:tcMar>
                    <w:top w:w="15" w:type="dxa"/>
                    <w:left w:w="15" w:type="dxa"/>
                    <w:right w:w="15" w:type="dxa"/>
                  </w:tcMar>
                  <w:vAlign w:val="center"/>
                </w:tcPr>
                <w:p w14:paraId="77432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275" w:type="dxa"/>
                  <w:tcBorders>
                    <w:tl2br w:val="nil"/>
                    <w:tr2bl w:val="nil"/>
                  </w:tcBorders>
                  <w:noWrap w:val="0"/>
                  <w:tcMar>
                    <w:top w:w="15" w:type="dxa"/>
                    <w:left w:w="15" w:type="dxa"/>
                    <w:right w:w="15" w:type="dxa"/>
                  </w:tcMar>
                  <w:vAlign w:val="center"/>
                </w:tcPr>
                <w:p w14:paraId="2757C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1365" w:type="dxa"/>
                  <w:tcBorders>
                    <w:tl2br w:val="nil"/>
                    <w:tr2bl w:val="nil"/>
                  </w:tcBorders>
                  <w:noWrap w:val="0"/>
                  <w:tcMar>
                    <w:top w:w="15" w:type="dxa"/>
                    <w:left w:w="15" w:type="dxa"/>
                    <w:right w:w="15" w:type="dxa"/>
                  </w:tcMar>
                  <w:vAlign w:val="center"/>
                </w:tcPr>
                <w:p w14:paraId="3850F2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2452" w:type="dxa"/>
                  <w:tcBorders>
                    <w:tl2br w:val="nil"/>
                    <w:tr2bl w:val="nil"/>
                  </w:tcBorders>
                  <w:noWrap w:val="0"/>
                  <w:tcMar>
                    <w:top w:w="15" w:type="dxa"/>
                    <w:left w:w="15" w:type="dxa"/>
                    <w:right w:w="15" w:type="dxa"/>
                  </w:tcMar>
                  <w:vAlign w:val="center"/>
                </w:tcPr>
                <w:p w14:paraId="78B91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33EAE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984" w:type="dxa"/>
                  <w:vMerge w:val="restart"/>
                  <w:tcBorders>
                    <w:tl2br w:val="nil"/>
                    <w:tr2bl w:val="nil"/>
                  </w:tcBorders>
                  <w:noWrap w:val="0"/>
                  <w:tcMar>
                    <w:top w:w="15" w:type="dxa"/>
                    <w:left w:w="15" w:type="dxa"/>
                    <w:right w:w="15" w:type="dxa"/>
                  </w:tcMar>
                  <w:vAlign w:val="center"/>
                </w:tcPr>
                <w:p w14:paraId="61D013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除尘器</w:t>
                  </w:r>
                </w:p>
              </w:tc>
              <w:tc>
                <w:tcPr>
                  <w:tcW w:w="1089" w:type="dxa"/>
                  <w:tcBorders>
                    <w:tl2br w:val="nil"/>
                    <w:tr2bl w:val="nil"/>
                  </w:tcBorders>
                  <w:noWrap w:val="0"/>
                  <w:tcMar>
                    <w:top w:w="15" w:type="dxa"/>
                    <w:left w:w="15" w:type="dxa"/>
                    <w:right w:w="15" w:type="dxa"/>
                  </w:tcMar>
                  <w:vAlign w:val="center"/>
                </w:tcPr>
                <w:p w14:paraId="35EAAB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除尘灰</w:t>
                  </w:r>
                </w:p>
              </w:tc>
              <w:tc>
                <w:tcPr>
                  <w:tcW w:w="744" w:type="dxa"/>
                  <w:vMerge w:val="restart"/>
                  <w:tcBorders>
                    <w:tl2br w:val="nil"/>
                    <w:tr2bl w:val="nil"/>
                  </w:tcBorders>
                  <w:noWrap w:val="0"/>
                  <w:tcMar>
                    <w:top w:w="15" w:type="dxa"/>
                    <w:left w:w="15" w:type="dxa"/>
                    <w:right w:w="15" w:type="dxa"/>
                  </w:tcMar>
                  <w:vAlign w:val="center"/>
                </w:tcPr>
                <w:p w14:paraId="11B220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一般工业固体废物</w:t>
                  </w:r>
                </w:p>
              </w:tc>
              <w:tc>
                <w:tcPr>
                  <w:tcW w:w="1211" w:type="dxa"/>
                  <w:tcBorders>
                    <w:tl2br w:val="nil"/>
                    <w:tr2bl w:val="nil"/>
                  </w:tcBorders>
                  <w:noWrap w:val="0"/>
                  <w:tcMar>
                    <w:top w:w="15" w:type="dxa"/>
                    <w:left w:w="15" w:type="dxa"/>
                    <w:right w:w="15" w:type="dxa"/>
                  </w:tcMar>
                  <w:vAlign w:val="center"/>
                </w:tcPr>
                <w:p w14:paraId="492167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11" w:type="dxa"/>
                  <w:tcBorders>
                    <w:tl2br w:val="nil"/>
                    <w:tr2bl w:val="nil"/>
                  </w:tcBorders>
                  <w:noWrap w:val="0"/>
                  <w:tcMar>
                    <w:top w:w="15" w:type="dxa"/>
                    <w:left w:w="15" w:type="dxa"/>
                    <w:right w:w="15" w:type="dxa"/>
                  </w:tcMar>
                  <w:vAlign w:val="center"/>
                </w:tcPr>
                <w:p w14:paraId="362F8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14:paraId="5CD9BA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11" w:type="dxa"/>
                  <w:tcBorders>
                    <w:tl2br w:val="nil"/>
                    <w:tr2bl w:val="nil"/>
                  </w:tcBorders>
                  <w:noWrap w:val="0"/>
                  <w:tcMar>
                    <w:top w:w="15" w:type="dxa"/>
                    <w:left w:w="15" w:type="dxa"/>
                    <w:right w:w="15" w:type="dxa"/>
                  </w:tcMar>
                  <w:vAlign w:val="center"/>
                </w:tcPr>
                <w:p w14:paraId="27E5A4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0.749t/a</w:t>
                  </w:r>
                </w:p>
              </w:tc>
              <w:tc>
                <w:tcPr>
                  <w:tcW w:w="1652" w:type="dxa"/>
                  <w:tcBorders>
                    <w:tl2br w:val="nil"/>
                    <w:tr2bl w:val="nil"/>
                  </w:tcBorders>
                  <w:noWrap w:val="0"/>
                  <w:tcMar>
                    <w:top w:w="15" w:type="dxa"/>
                    <w:left w:w="15" w:type="dxa"/>
                    <w:right w:w="15" w:type="dxa"/>
                  </w:tcMar>
                  <w:vAlign w:val="center"/>
                </w:tcPr>
                <w:p w14:paraId="27E59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袋装收集，</w:t>
                  </w: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一般固废储存区</w:t>
                  </w:r>
                </w:p>
              </w:tc>
              <w:tc>
                <w:tcPr>
                  <w:tcW w:w="1275" w:type="dxa"/>
                  <w:tcBorders>
                    <w:tl2br w:val="nil"/>
                    <w:tr2bl w:val="nil"/>
                  </w:tcBorders>
                  <w:noWrap w:val="0"/>
                  <w:tcMar>
                    <w:top w:w="15" w:type="dxa"/>
                    <w:left w:w="15" w:type="dxa"/>
                    <w:right w:w="15" w:type="dxa"/>
                  </w:tcMar>
                  <w:vAlign w:val="center"/>
                </w:tcPr>
                <w:p w14:paraId="25C91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外售钢铁企业</w:t>
                  </w:r>
                </w:p>
              </w:tc>
              <w:tc>
                <w:tcPr>
                  <w:tcW w:w="1365" w:type="dxa"/>
                  <w:tcBorders>
                    <w:tl2br w:val="nil"/>
                    <w:tr2bl w:val="nil"/>
                  </w:tcBorders>
                  <w:noWrap w:val="0"/>
                  <w:tcMar>
                    <w:top w:w="15" w:type="dxa"/>
                    <w:left w:w="15" w:type="dxa"/>
                    <w:right w:w="15" w:type="dxa"/>
                  </w:tcMar>
                  <w:vAlign w:val="center"/>
                </w:tcPr>
                <w:p w14:paraId="318B32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0.749t/a</w:t>
                  </w:r>
                </w:p>
              </w:tc>
              <w:tc>
                <w:tcPr>
                  <w:tcW w:w="2452" w:type="dxa"/>
                  <w:vMerge w:val="restart"/>
                  <w:tcBorders>
                    <w:tl2br w:val="nil"/>
                    <w:tr2bl w:val="nil"/>
                  </w:tcBorders>
                  <w:noWrap w:val="0"/>
                  <w:tcMar>
                    <w:top w:w="15" w:type="dxa"/>
                    <w:left w:w="15" w:type="dxa"/>
                    <w:right w:w="15" w:type="dxa"/>
                  </w:tcMar>
                  <w:vAlign w:val="center"/>
                </w:tcPr>
                <w:p w14:paraId="6CE459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一般固体废物临时存放应严格执行《中华人民共和国固体废物污染环境防治法》中第二十条第一款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w:t>
                  </w:r>
                  <w:r>
                    <w:rPr>
                      <w:rFonts w:hint="eastAsia"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照《环境保护图形标志》（GB15562-1995）的要求对一般固体废物的临时存放场所设置环境保护图形标志牌</w:t>
                  </w:r>
                </w:p>
              </w:tc>
            </w:tr>
            <w:tr w14:paraId="38695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984" w:type="dxa"/>
                  <w:vMerge w:val="continue"/>
                  <w:tcBorders>
                    <w:tl2br w:val="nil"/>
                    <w:tr2bl w:val="nil"/>
                  </w:tcBorders>
                  <w:noWrap w:val="0"/>
                  <w:tcMar>
                    <w:top w:w="15" w:type="dxa"/>
                    <w:left w:w="15" w:type="dxa"/>
                    <w:right w:w="15" w:type="dxa"/>
                  </w:tcMar>
                  <w:vAlign w:val="center"/>
                </w:tcPr>
                <w:p w14:paraId="2FEC8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089" w:type="dxa"/>
                  <w:tcBorders>
                    <w:tl2br w:val="nil"/>
                    <w:tr2bl w:val="nil"/>
                  </w:tcBorders>
                  <w:noWrap w:val="0"/>
                  <w:tcMar>
                    <w:top w:w="15" w:type="dxa"/>
                    <w:left w:w="15" w:type="dxa"/>
                    <w:right w:w="15" w:type="dxa"/>
                  </w:tcMar>
                  <w:vAlign w:val="center"/>
                </w:tcPr>
                <w:p w14:paraId="7CB43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废布袋</w:t>
                  </w:r>
                </w:p>
              </w:tc>
              <w:tc>
                <w:tcPr>
                  <w:tcW w:w="744" w:type="dxa"/>
                  <w:vMerge w:val="continue"/>
                  <w:tcBorders>
                    <w:tl2br w:val="nil"/>
                    <w:tr2bl w:val="nil"/>
                  </w:tcBorders>
                  <w:noWrap w:val="0"/>
                  <w:tcMar>
                    <w:top w:w="15" w:type="dxa"/>
                    <w:left w:w="15" w:type="dxa"/>
                    <w:right w:w="15" w:type="dxa"/>
                  </w:tcMar>
                  <w:vAlign w:val="center"/>
                </w:tcPr>
                <w:p w14:paraId="19051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211" w:type="dxa"/>
                  <w:tcBorders>
                    <w:tl2br w:val="nil"/>
                    <w:tr2bl w:val="nil"/>
                  </w:tcBorders>
                  <w:noWrap w:val="0"/>
                  <w:tcMar>
                    <w:top w:w="15" w:type="dxa"/>
                    <w:left w:w="15" w:type="dxa"/>
                    <w:right w:w="15" w:type="dxa"/>
                  </w:tcMar>
                  <w:vAlign w:val="center"/>
                </w:tcPr>
                <w:p w14:paraId="74B8D2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11" w:type="dxa"/>
                  <w:tcBorders>
                    <w:tl2br w:val="nil"/>
                    <w:tr2bl w:val="nil"/>
                  </w:tcBorders>
                  <w:noWrap w:val="0"/>
                  <w:tcMar>
                    <w:top w:w="15" w:type="dxa"/>
                    <w:left w:w="15" w:type="dxa"/>
                    <w:right w:w="15" w:type="dxa"/>
                  </w:tcMar>
                  <w:vAlign w:val="center"/>
                </w:tcPr>
                <w:p w14:paraId="2D1E62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14:paraId="5B3AEE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11" w:type="dxa"/>
                  <w:tcBorders>
                    <w:tl2br w:val="nil"/>
                    <w:tr2bl w:val="nil"/>
                  </w:tcBorders>
                  <w:noWrap w:val="0"/>
                  <w:tcMar>
                    <w:top w:w="15" w:type="dxa"/>
                    <w:left w:w="15" w:type="dxa"/>
                    <w:right w:w="15" w:type="dxa"/>
                  </w:tcMar>
                  <w:vAlign w:val="center"/>
                </w:tcPr>
                <w:p w14:paraId="069A91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1652" w:type="dxa"/>
                  <w:tcBorders>
                    <w:tl2br w:val="nil"/>
                    <w:tr2bl w:val="nil"/>
                  </w:tcBorders>
                  <w:noWrap w:val="0"/>
                  <w:tcMar>
                    <w:top w:w="15" w:type="dxa"/>
                    <w:left w:w="15" w:type="dxa"/>
                    <w:right w:w="15" w:type="dxa"/>
                  </w:tcMar>
                  <w:vAlign w:val="center"/>
                </w:tcPr>
                <w:p w14:paraId="0562BD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一般固废储存区</w:t>
                  </w:r>
                </w:p>
              </w:tc>
              <w:tc>
                <w:tcPr>
                  <w:tcW w:w="1275" w:type="dxa"/>
                  <w:tcBorders>
                    <w:tl2br w:val="nil"/>
                    <w:tr2bl w:val="nil"/>
                  </w:tcBorders>
                  <w:noWrap w:val="0"/>
                  <w:tcMar>
                    <w:top w:w="15" w:type="dxa"/>
                    <w:left w:w="15" w:type="dxa"/>
                    <w:right w:w="15" w:type="dxa"/>
                  </w:tcMar>
                  <w:vAlign w:val="center"/>
                </w:tcPr>
                <w:p w14:paraId="504BF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外售废品回收站</w:t>
                  </w:r>
                </w:p>
              </w:tc>
              <w:tc>
                <w:tcPr>
                  <w:tcW w:w="1365" w:type="dxa"/>
                  <w:tcBorders>
                    <w:tl2br w:val="nil"/>
                    <w:tr2bl w:val="nil"/>
                  </w:tcBorders>
                  <w:noWrap w:val="0"/>
                  <w:tcMar>
                    <w:top w:w="15" w:type="dxa"/>
                    <w:left w:w="15" w:type="dxa"/>
                    <w:right w:w="15" w:type="dxa"/>
                  </w:tcMar>
                  <w:vAlign w:val="center"/>
                </w:tcPr>
                <w:p w14:paraId="31CCB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2452" w:type="dxa"/>
                  <w:vMerge w:val="continue"/>
                  <w:tcBorders>
                    <w:tl2br w:val="nil"/>
                    <w:tr2bl w:val="nil"/>
                  </w:tcBorders>
                  <w:noWrap w:val="0"/>
                  <w:tcMar>
                    <w:top w:w="15" w:type="dxa"/>
                    <w:left w:w="15" w:type="dxa"/>
                    <w:right w:w="15" w:type="dxa"/>
                  </w:tcMar>
                  <w:vAlign w:val="center"/>
                </w:tcPr>
                <w:p w14:paraId="696C7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681F4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984" w:type="dxa"/>
                  <w:tcBorders>
                    <w:tl2br w:val="nil"/>
                    <w:tr2bl w:val="nil"/>
                  </w:tcBorders>
                  <w:noWrap w:val="0"/>
                  <w:tcMar>
                    <w:top w:w="15" w:type="dxa"/>
                    <w:left w:w="15" w:type="dxa"/>
                    <w:right w:w="15" w:type="dxa"/>
                  </w:tcMar>
                  <w:vAlign w:val="center"/>
                </w:tcPr>
                <w:p w14:paraId="559CC8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腻子打磨</w:t>
                  </w:r>
                </w:p>
              </w:tc>
              <w:tc>
                <w:tcPr>
                  <w:tcW w:w="1089" w:type="dxa"/>
                  <w:tcBorders>
                    <w:tl2br w:val="nil"/>
                    <w:tr2bl w:val="nil"/>
                  </w:tcBorders>
                  <w:noWrap w:val="0"/>
                  <w:tcMar>
                    <w:top w:w="15" w:type="dxa"/>
                    <w:left w:w="15" w:type="dxa"/>
                    <w:right w:w="15" w:type="dxa"/>
                  </w:tcMar>
                  <w:vAlign w:val="center"/>
                </w:tcPr>
                <w:p w14:paraId="120532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废砂纸</w:t>
                  </w:r>
                </w:p>
              </w:tc>
              <w:tc>
                <w:tcPr>
                  <w:tcW w:w="744" w:type="dxa"/>
                  <w:vMerge w:val="continue"/>
                  <w:tcBorders>
                    <w:tl2br w:val="nil"/>
                    <w:tr2bl w:val="nil"/>
                  </w:tcBorders>
                  <w:noWrap w:val="0"/>
                  <w:tcMar>
                    <w:top w:w="15" w:type="dxa"/>
                    <w:left w:w="15" w:type="dxa"/>
                    <w:right w:w="15" w:type="dxa"/>
                  </w:tcMar>
                  <w:vAlign w:val="center"/>
                </w:tcPr>
                <w:p w14:paraId="0A9708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211" w:type="dxa"/>
                  <w:tcBorders>
                    <w:tl2br w:val="nil"/>
                    <w:tr2bl w:val="nil"/>
                  </w:tcBorders>
                  <w:noWrap w:val="0"/>
                  <w:tcMar>
                    <w:top w:w="15" w:type="dxa"/>
                    <w:left w:w="15" w:type="dxa"/>
                    <w:right w:w="15" w:type="dxa"/>
                  </w:tcMar>
                  <w:vAlign w:val="center"/>
                </w:tcPr>
                <w:p w14:paraId="46036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11" w:type="dxa"/>
                  <w:tcBorders>
                    <w:tl2br w:val="nil"/>
                    <w:tr2bl w:val="nil"/>
                  </w:tcBorders>
                  <w:noWrap w:val="0"/>
                  <w:tcMar>
                    <w:top w:w="15" w:type="dxa"/>
                    <w:left w:w="15" w:type="dxa"/>
                    <w:right w:w="15" w:type="dxa"/>
                  </w:tcMar>
                  <w:vAlign w:val="center"/>
                </w:tcPr>
                <w:p w14:paraId="63A38C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14:paraId="40A9EF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11" w:type="dxa"/>
                  <w:tcBorders>
                    <w:tl2br w:val="nil"/>
                    <w:tr2bl w:val="nil"/>
                  </w:tcBorders>
                  <w:noWrap w:val="0"/>
                  <w:tcMar>
                    <w:top w:w="15" w:type="dxa"/>
                    <w:left w:w="15" w:type="dxa"/>
                    <w:right w:w="15" w:type="dxa"/>
                  </w:tcMar>
                  <w:vAlign w:val="center"/>
                </w:tcPr>
                <w:p w14:paraId="47E59A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1652" w:type="dxa"/>
                  <w:tcBorders>
                    <w:tl2br w:val="nil"/>
                    <w:tr2bl w:val="nil"/>
                  </w:tcBorders>
                  <w:noWrap w:val="0"/>
                  <w:tcMar>
                    <w:top w:w="15" w:type="dxa"/>
                    <w:left w:w="15" w:type="dxa"/>
                    <w:right w:w="15" w:type="dxa"/>
                  </w:tcMar>
                  <w:vAlign w:val="center"/>
                </w:tcPr>
                <w:p w14:paraId="113532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一般固废储存区</w:t>
                  </w:r>
                </w:p>
              </w:tc>
              <w:tc>
                <w:tcPr>
                  <w:tcW w:w="1275" w:type="dxa"/>
                  <w:tcBorders>
                    <w:tl2br w:val="nil"/>
                    <w:tr2bl w:val="nil"/>
                  </w:tcBorders>
                  <w:noWrap w:val="0"/>
                  <w:tcMar>
                    <w:top w:w="15" w:type="dxa"/>
                    <w:left w:w="15" w:type="dxa"/>
                    <w:right w:w="15" w:type="dxa"/>
                  </w:tcMar>
                  <w:vAlign w:val="center"/>
                </w:tcPr>
                <w:p w14:paraId="0DE7B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外售废品回收站</w:t>
                  </w:r>
                </w:p>
              </w:tc>
              <w:tc>
                <w:tcPr>
                  <w:tcW w:w="1365" w:type="dxa"/>
                  <w:tcBorders>
                    <w:tl2br w:val="nil"/>
                    <w:tr2bl w:val="nil"/>
                  </w:tcBorders>
                  <w:noWrap w:val="0"/>
                  <w:tcMar>
                    <w:top w:w="15" w:type="dxa"/>
                    <w:left w:w="15" w:type="dxa"/>
                    <w:right w:w="15" w:type="dxa"/>
                  </w:tcMar>
                  <w:vAlign w:val="center"/>
                </w:tcPr>
                <w:p w14:paraId="356CE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2452" w:type="dxa"/>
                  <w:vMerge w:val="continue"/>
                  <w:tcBorders>
                    <w:tl2br w:val="nil"/>
                    <w:tr2bl w:val="nil"/>
                  </w:tcBorders>
                  <w:noWrap w:val="0"/>
                  <w:tcMar>
                    <w:top w:w="15" w:type="dxa"/>
                    <w:left w:w="15" w:type="dxa"/>
                    <w:right w:w="15" w:type="dxa"/>
                  </w:tcMar>
                  <w:vAlign w:val="center"/>
                </w:tcPr>
                <w:p w14:paraId="6B27E6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10A81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4" w:type="dxa"/>
                  <w:tcBorders>
                    <w:tl2br w:val="nil"/>
                    <w:tr2bl w:val="nil"/>
                  </w:tcBorders>
                  <w:noWrap w:val="0"/>
                  <w:tcMar>
                    <w:top w:w="15" w:type="dxa"/>
                    <w:left w:w="15" w:type="dxa"/>
                    <w:right w:w="15" w:type="dxa"/>
                  </w:tcMar>
                  <w:vAlign w:val="center"/>
                </w:tcPr>
                <w:p w14:paraId="29743E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生产过程</w:t>
                  </w:r>
                </w:p>
              </w:tc>
              <w:tc>
                <w:tcPr>
                  <w:tcW w:w="1089" w:type="dxa"/>
                  <w:tcBorders>
                    <w:tl2br w:val="nil"/>
                    <w:tr2bl w:val="nil"/>
                  </w:tcBorders>
                  <w:noWrap w:val="0"/>
                  <w:tcMar>
                    <w:top w:w="15" w:type="dxa"/>
                    <w:left w:w="15" w:type="dxa"/>
                    <w:right w:w="15" w:type="dxa"/>
                  </w:tcMar>
                  <w:vAlign w:val="center"/>
                </w:tcPr>
                <w:p w14:paraId="085D1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废包装物</w:t>
                  </w:r>
                </w:p>
              </w:tc>
              <w:tc>
                <w:tcPr>
                  <w:tcW w:w="744" w:type="dxa"/>
                  <w:vMerge w:val="continue"/>
                  <w:tcBorders>
                    <w:tl2br w:val="nil"/>
                    <w:tr2bl w:val="nil"/>
                  </w:tcBorders>
                  <w:noWrap w:val="0"/>
                  <w:tcMar>
                    <w:top w:w="15" w:type="dxa"/>
                    <w:left w:w="15" w:type="dxa"/>
                    <w:right w:w="15" w:type="dxa"/>
                  </w:tcMar>
                  <w:vAlign w:val="center"/>
                </w:tcPr>
                <w:p w14:paraId="792B6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211" w:type="dxa"/>
                  <w:tcBorders>
                    <w:tl2br w:val="nil"/>
                    <w:tr2bl w:val="nil"/>
                  </w:tcBorders>
                  <w:noWrap w:val="0"/>
                  <w:tcMar>
                    <w:top w:w="15" w:type="dxa"/>
                    <w:left w:w="15" w:type="dxa"/>
                    <w:right w:w="15" w:type="dxa"/>
                  </w:tcMar>
                  <w:vAlign w:val="center"/>
                </w:tcPr>
                <w:p w14:paraId="0D084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11" w:type="dxa"/>
                  <w:tcBorders>
                    <w:tl2br w:val="nil"/>
                    <w:tr2bl w:val="nil"/>
                  </w:tcBorders>
                  <w:noWrap w:val="0"/>
                  <w:tcMar>
                    <w:top w:w="15" w:type="dxa"/>
                    <w:left w:w="15" w:type="dxa"/>
                    <w:right w:w="15" w:type="dxa"/>
                  </w:tcMar>
                  <w:vAlign w:val="center"/>
                </w:tcPr>
                <w:p w14:paraId="254B3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14:paraId="29BBB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11" w:type="dxa"/>
                  <w:tcBorders>
                    <w:tl2br w:val="nil"/>
                    <w:tr2bl w:val="nil"/>
                  </w:tcBorders>
                  <w:noWrap w:val="0"/>
                  <w:tcMar>
                    <w:top w:w="15" w:type="dxa"/>
                    <w:left w:w="15" w:type="dxa"/>
                    <w:right w:w="15" w:type="dxa"/>
                  </w:tcMar>
                  <w:vAlign w:val="center"/>
                </w:tcPr>
                <w:p w14:paraId="751A16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1652" w:type="dxa"/>
                  <w:tcBorders>
                    <w:tl2br w:val="nil"/>
                    <w:tr2bl w:val="nil"/>
                  </w:tcBorders>
                  <w:noWrap w:val="0"/>
                  <w:tcMar>
                    <w:top w:w="15" w:type="dxa"/>
                    <w:left w:w="15" w:type="dxa"/>
                    <w:right w:w="15" w:type="dxa"/>
                  </w:tcMar>
                  <w:vAlign w:val="center"/>
                </w:tcPr>
                <w:p w14:paraId="327990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w:t>
                  </w:r>
                  <w:r>
                    <w:rPr>
                      <w:rFonts w:hint="eastAsia" w:cs="Times New Roman"/>
                      <w:color w:val="auto"/>
                      <w:sz w:val="21"/>
                      <w:szCs w:val="21"/>
                      <w:highlight w:val="none"/>
                      <w:shd w:val="clear" w:color="auto" w:fill="auto"/>
                      <w:lang w:val="en-US" w:eastAsia="zh-CN"/>
                    </w:rPr>
                    <w:t>一般固废储存区</w:t>
                  </w:r>
                </w:p>
              </w:tc>
              <w:tc>
                <w:tcPr>
                  <w:tcW w:w="1275" w:type="dxa"/>
                  <w:tcBorders>
                    <w:tl2br w:val="nil"/>
                    <w:tr2bl w:val="nil"/>
                  </w:tcBorders>
                  <w:noWrap w:val="0"/>
                  <w:tcMar>
                    <w:top w:w="15" w:type="dxa"/>
                    <w:left w:w="15" w:type="dxa"/>
                    <w:right w:w="15" w:type="dxa"/>
                  </w:tcMar>
                  <w:vAlign w:val="center"/>
                </w:tcPr>
                <w:p w14:paraId="56C7FA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外售废品回收站</w:t>
                  </w:r>
                </w:p>
              </w:tc>
              <w:tc>
                <w:tcPr>
                  <w:tcW w:w="1365" w:type="dxa"/>
                  <w:tcBorders>
                    <w:tl2br w:val="nil"/>
                    <w:tr2bl w:val="nil"/>
                  </w:tcBorders>
                  <w:noWrap w:val="0"/>
                  <w:tcMar>
                    <w:top w:w="15" w:type="dxa"/>
                    <w:left w:w="15" w:type="dxa"/>
                    <w:right w:w="15" w:type="dxa"/>
                  </w:tcMar>
                  <w:vAlign w:val="center"/>
                </w:tcPr>
                <w:p w14:paraId="127A7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2452" w:type="dxa"/>
                  <w:vMerge w:val="continue"/>
                  <w:tcBorders>
                    <w:tl2br w:val="nil"/>
                    <w:tr2bl w:val="nil"/>
                  </w:tcBorders>
                  <w:noWrap w:val="0"/>
                  <w:tcMar>
                    <w:top w:w="15" w:type="dxa"/>
                    <w:left w:w="15" w:type="dxa"/>
                    <w:right w:w="15" w:type="dxa"/>
                  </w:tcMar>
                  <w:vAlign w:val="center"/>
                </w:tcPr>
                <w:p w14:paraId="1F4457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1FD1E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984" w:type="dxa"/>
                  <w:tcBorders>
                    <w:tl2br w:val="nil"/>
                    <w:tr2bl w:val="nil"/>
                  </w:tcBorders>
                  <w:noWrap w:val="0"/>
                  <w:tcMar>
                    <w:top w:w="15" w:type="dxa"/>
                    <w:left w:w="15" w:type="dxa"/>
                    <w:right w:w="15" w:type="dxa"/>
                  </w:tcMar>
                  <w:vAlign w:val="center"/>
                </w:tcPr>
                <w:p w14:paraId="1153B5A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检测过程</w:t>
                  </w:r>
                </w:p>
              </w:tc>
              <w:tc>
                <w:tcPr>
                  <w:tcW w:w="1089" w:type="dxa"/>
                  <w:tcBorders>
                    <w:tl2br w:val="nil"/>
                    <w:tr2bl w:val="nil"/>
                  </w:tcBorders>
                  <w:noWrap w:val="0"/>
                  <w:tcMar>
                    <w:top w:w="15" w:type="dxa"/>
                    <w:left w:w="15" w:type="dxa"/>
                    <w:right w:w="15" w:type="dxa"/>
                  </w:tcMar>
                  <w:vAlign w:val="center"/>
                </w:tcPr>
                <w:p w14:paraId="2F2457B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不合格零件</w:t>
                  </w:r>
                </w:p>
              </w:tc>
              <w:tc>
                <w:tcPr>
                  <w:tcW w:w="744" w:type="dxa"/>
                  <w:vMerge w:val="continue"/>
                  <w:tcBorders>
                    <w:tl2br w:val="nil"/>
                    <w:tr2bl w:val="nil"/>
                  </w:tcBorders>
                  <w:noWrap w:val="0"/>
                  <w:tcMar>
                    <w:top w:w="15" w:type="dxa"/>
                    <w:left w:w="15" w:type="dxa"/>
                    <w:right w:w="15" w:type="dxa"/>
                  </w:tcMar>
                  <w:vAlign w:val="center"/>
                </w:tcPr>
                <w:p w14:paraId="126574A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1211" w:type="dxa"/>
                  <w:tcBorders>
                    <w:tl2br w:val="nil"/>
                    <w:tr2bl w:val="nil"/>
                  </w:tcBorders>
                  <w:noWrap w:val="0"/>
                  <w:tcMar>
                    <w:top w:w="15" w:type="dxa"/>
                    <w:left w:w="15" w:type="dxa"/>
                    <w:right w:w="15" w:type="dxa"/>
                  </w:tcMar>
                  <w:vAlign w:val="center"/>
                </w:tcPr>
                <w:p w14:paraId="0A3D00C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611" w:type="dxa"/>
                  <w:tcBorders>
                    <w:tl2br w:val="nil"/>
                    <w:tr2bl w:val="nil"/>
                  </w:tcBorders>
                  <w:noWrap w:val="0"/>
                  <w:tcMar>
                    <w:top w:w="15" w:type="dxa"/>
                    <w:left w:w="15" w:type="dxa"/>
                    <w:right w:w="15" w:type="dxa"/>
                  </w:tcMar>
                  <w:vAlign w:val="center"/>
                </w:tcPr>
                <w:p w14:paraId="1AE8F12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14:paraId="2A68133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811" w:type="dxa"/>
                  <w:tcBorders>
                    <w:tl2br w:val="nil"/>
                    <w:tr2bl w:val="nil"/>
                  </w:tcBorders>
                  <w:noWrap w:val="0"/>
                  <w:tcMar>
                    <w:top w:w="15" w:type="dxa"/>
                    <w:left w:w="15" w:type="dxa"/>
                    <w:right w:w="15" w:type="dxa"/>
                  </w:tcMar>
                  <w:vAlign w:val="center"/>
                </w:tcPr>
                <w:p w14:paraId="40BC8AD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1t/a</w:t>
                  </w:r>
                </w:p>
              </w:tc>
              <w:tc>
                <w:tcPr>
                  <w:tcW w:w="2927" w:type="dxa"/>
                  <w:gridSpan w:val="2"/>
                  <w:tcBorders>
                    <w:tl2br w:val="nil"/>
                    <w:tr2bl w:val="nil"/>
                  </w:tcBorders>
                  <w:noWrap w:val="0"/>
                  <w:tcMar>
                    <w:top w:w="15" w:type="dxa"/>
                    <w:left w:w="15" w:type="dxa"/>
                    <w:right w:w="15" w:type="dxa"/>
                  </w:tcMar>
                  <w:vAlign w:val="center"/>
                </w:tcPr>
                <w:p w14:paraId="0AF48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临时存放于检测区域，原厂返回</w:t>
                  </w:r>
                </w:p>
              </w:tc>
              <w:tc>
                <w:tcPr>
                  <w:tcW w:w="1365" w:type="dxa"/>
                  <w:tcBorders>
                    <w:tl2br w:val="nil"/>
                    <w:tr2bl w:val="nil"/>
                  </w:tcBorders>
                  <w:noWrap w:val="0"/>
                  <w:tcMar>
                    <w:top w:w="15" w:type="dxa"/>
                    <w:left w:w="15" w:type="dxa"/>
                    <w:right w:w="15" w:type="dxa"/>
                  </w:tcMar>
                  <w:vAlign w:val="center"/>
                </w:tcPr>
                <w:p w14:paraId="399E7B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1t/a</w:t>
                  </w:r>
                </w:p>
              </w:tc>
              <w:tc>
                <w:tcPr>
                  <w:tcW w:w="2452" w:type="dxa"/>
                  <w:vMerge w:val="continue"/>
                  <w:tcBorders>
                    <w:tl2br w:val="nil"/>
                    <w:tr2bl w:val="nil"/>
                  </w:tcBorders>
                  <w:noWrap w:val="0"/>
                  <w:tcMar>
                    <w:top w:w="15" w:type="dxa"/>
                    <w:left w:w="15" w:type="dxa"/>
                    <w:right w:w="15" w:type="dxa"/>
                  </w:tcMar>
                  <w:vAlign w:val="center"/>
                </w:tcPr>
                <w:p w14:paraId="415CB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14:paraId="5068BAE3">
            <w:pPr>
              <w:ind w:left="0" w:leftChars="0" w:firstLine="0" w:firstLineChars="0"/>
              <w:rPr>
                <w:rFonts w:hint="eastAsia" w:ascii="黑体" w:hAnsi="黑体" w:eastAsia="黑体"/>
                <w:snapToGrid w:val="0"/>
                <w:color w:val="auto"/>
                <w:sz w:val="30"/>
                <w:szCs w:val="30"/>
                <w:highlight w:val="none"/>
                <w:vertAlign w:val="baseline"/>
              </w:rPr>
            </w:pPr>
          </w:p>
        </w:tc>
      </w:tr>
    </w:tbl>
    <w:p w14:paraId="4829A5A1">
      <w:pPr>
        <w:ind w:left="0" w:leftChars="0" w:firstLine="0" w:firstLineChars="0"/>
        <w:rPr>
          <w:rFonts w:hint="eastAsia" w:ascii="黑体" w:hAnsi="黑体" w:eastAsia="黑体"/>
          <w:snapToGrid w:val="0"/>
          <w:color w:val="auto"/>
          <w:sz w:val="30"/>
          <w:szCs w:val="30"/>
          <w:highlight w:val="none"/>
          <w:vertAlign w:val="baseline"/>
        </w:rPr>
      </w:pPr>
      <w:r>
        <w:rPr>
          <w:rFonts w:hint="eastAsia" w:ascii="黑体" w:hAnsi="黑体" w:eastAsia="黑体"/>
          <w:snapToGrid w:val="0"/>
          <w:color w:val="auto"/>
          <w:sz w:val="30"/>
          <w:szCs w:val="30"/>
          <w:highlight w:val="none"/>
        </w:rPr>
        <w:br w:type="page"/>
      </w:r>
    </w:p>
    <w:p w14:paraId="5394941D">
      <w:pPr>
        <w:rPr>
          <w:rFonts w:hint="eastAsia" w:ascii="黑体" w:hAnsi="黑体" w:eastAsia="黑体"/>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708"/>
      </w:tblGrid>
      <w:tr w14:paraId="646EA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750" w:type="dxa"/>
            <w:tcBorders>
              <w:tl2br w:val="nil"/>
              <w:tr2bl w:val="nil"/>
            </w:tcBorders>
          </w:tcPr>
          <w:p w14:paraId="2D4C9031">
            <w:pPr>
              <w:rPr>
                <w:rFonts w:hint="eastAsia" w:ascii="黑体" w:hAnsi="黑体" w:eastAsia="黑体"/>
                <w:snapToGrid w:val="0"/>
                <w:color w:val="auto"/>
                <w:sz w:val="30"/>
                <w:szCs w:val="30"/>
                <w:highlight w:val="none"/>
                <w:vertAlign w:val="baseline"/>
              </w:rPr>
            </w:pPr>
          </w:p>
        </w:tc>
        <w:tc>
          <w:tcPr>
            <w:tcW w:w="8708" w:type="dxa"/>
            <w:tcBorders>
              <w:tl2br w:val="nil"/>
              <w:tr2bl w:val="nil"/>
            </w:tcBorders>
          </w:tcPr>
          <w:p w14:paraId="03712BC4">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4.1.2一般工业固体废物管理措施</w:t>
            </w:r>
          </w:p>
          <w:p w14:paraId="69BF079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1"/>
                <w:highlight w:val="none"/>
                <w:shd w:val="clear" w:color="auto" w:fill="auto"/>
              </w:rPr>
            </w:pPr>
            <w:r>
              <w:rPr>
                <w:rFonts w:hint="eastAsia" w:ascii="Times New Roman" w:hAnsi="Times New Roman" w:cs="Times New Roman"/>
                <w:color w:val="auto"/>
                <w:sz w:val="24"/>
                <w:szCs w:val="21"/>
                <w:highlight w:val="none"/>
                <w:shd w:val="clear" w:color="auto" w:fill="auto"/>
                <w:lang w:eastAsia="zh-CN"/>
              </w:rPr>
              <w:t>（</w:t>
            </w:r>
            <w:r>
              <w:rPr>
                <w:rFonts w:hint="eastAsia" w:ascii="Times New Roman" w:hAnsi="Times New Roman" w:cs="Times New Roman"/>
                <w:color w:val="auto"/>
                <w:sz w:val="24"/>
                <w:szCs w:val="21"/>
                <w:highlight w:val="none"/>
                <w:shd w:val="clear" w:color="auto" w:fill="auto"/>
                <w:lang w:val="en-US" w:eastAsia="zh-CN"/>
              </w:rPr>
              <w:t>1</w:t>
            </w:r>
            <w:r>
              <w:rPr>
                <w:rFonts w:hint="eastAsia" w:ascii="Times New Roman" w:hAnsi="Times New Roman" w:cs="Times New Roman"/>
                <w:color w:val="auto"/>
                <w:sz w:val="24"/>
                <w:szCs w:val="21"/>
                <w:highlight w:val="none"/>
                <w:shd w:val="clear" w:color="auto" w:fill="auto"/>
                <w:lang w:eastAsia="zh-CN"/>
              </w:rPr>
              <w:t>）</w:t>
            </w:r>
            <w:r>
              <w:rPr>
                <w:rFonts w:hint="default" w:ascii="Times New Roman" w:hAnsi="Times New Roman" w:eastAsia="宋体" w:cs="Times New Roman"/>
                <w:color w:val="auto"/>
                <w:sz w:val="24"/>
                <w:szCs w:val="21"/>
                <w:highlight w:val="none"/>
                <w:shd w:val="clear" w:color="auto" w:fill="auto"/>
              </w:rPr>
              <w:t>贮存、处置场的建设类型，必须与将要堆放的一般工业</w:t>
            </w:r>
            <w:r>
              <w:rPr>
                <w:rFonts w:hint="default" w:ascii="Times New Roman" w:hAnsi="Times New Roman" w:eastAsia="宋体" w:cs="Times New Roman"/>
                <w:color w:val="auto"/>
                <w:sz w:val="24"/>
                <w:szCs w:val="21"/>
                <w:highlight w:val="none"/>
                <w:shd w:val="clear" w:color="auto" w:fill="auto"/>
                <w:lang w:eastAsia="zh-CN"/>
              </w:rPr>
              <w:t>固</w:t>
            </w:r>
            <w:r>
              <w:rPr>
                <w:rFonts w:hint="default" w:ascii="Times New Roman" w:hAnsi="Times New Roman" w:eastAsia="宋体" w:cs="Times New Roman"/>
                <w:color w:val="auto"/>
                <w:sz w:val="24"/>
                <w:szCs w:val="21"/>
                <w:highlight w:val="none"/>
                <w:shd w:val="clear" w:color="auto" w:fill="auto"/>
              </w:rPr>
              <w:t>体废物的类别相一致。</w:t>
            </w:r>
          </w:p>
          <w:p w14:paraId="342F9B3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1"/>
                <w:highlight w:val="none"/>
                <w:shd w:val="clear" w:color="auto" w:fill="auto"/>
              </w:rPr>
            </w:pPr>
            <w:r>
              <w:rPr>
                <w:rFonts w:hint="eastAsia" w:ascii="Times New Roman" w:hAnsi="Times New Roman" w:cs="Times New Roman"/>
                <w:color w:val="auto"/>
                <w:sz w:val="24"/>
                <w:szCs w:val="21"/>
                <w:highlight w:val="none"/>
                <w:shd w:val="clear" w:color="auto" w:fill="auto"/>
                <w:lang w:eastAsia="zh-CN"/>
              </w:rPr>
              <w:t>（</w:t>
            </w:r>
            <w:r>
              <w:rPr>
                <w:rFonts w:hint="eastAsia" w:ascii="Times New Roman" w:hAnsi="Times New Roman" w:cs="Times New Roman"/>
                <w:color w:val="auto"/>
                <w:sz w:val="24"/>
                <w:szCs w:val="21"/>
                <w:highlight w:val="none"/>
                <w:shd w:val="clear" w:color="auto" w:fill="auto"/>
                <w:lang w:val="en-US" w:eastAsia="zh-CN"/>
              </w:rPr>
              <w:t>2</w:t>
            </w:r>
            <w:r>
              <w:rPr>
                <w:rFonts w:hint="eastAsia" w:ascii="Times New Roman" w:hAnsi="Times New Roman" w:cs="Times New Roman"/>
                <w:color w:val="auto"/>
                <w:sz w:val="24"/>
                <w:szCs w:val="21"/>
                <w:highlight w:val="none"/>
                <w:shd w:val="clear" w:color="auto" w:fill="auto"/>
                <w:lang w:eastAsia="zh-CN"/>
              </w:rPr>
              <w:t>）</w:t>
            </w:r>
            <w:r>
              <w:rPr>
                <w:rFonts w:hint="default" w:ascii="Times New Roman" w:hAnsi="Times New Roman" w:eastAsia="宋体" w:cs="Times New Roman"/>
                <w:color w:val="auto"/>
                <w:sz w:val="24"/>
                <w:szCs w:val="21"/>
                <w:highlight w:val="none"/>
                <w:shd w:val="clear" w:color="auto" w:fill="auto"/>
              </w:rPr>
              <w:t>贮存、处置场应采取防止粉尘污染的措施。</w:t>
            </w:r>
          </w:p>
          <w:p w14:paraId="5B183965">
            <w:pPr>
              <w:numPr>
                <w:ilvl w:val="0"/>
                <w:numId w:val="0"/>
              </w:numPr>
              <w:bidi w:val="0"/>
              <w:ind w:leftChars="200"/>
              <w:rPr>
                <w:rFonts w:hint="eastAsia"/>
                <w:color w:val="auto"/>
                <w:sz w:val="24"/>
                <w:szCs w:val="24"/>
                <w:highlight w:val="none"/>
                <w:lang w:val="en-US" w:eastAsia="zh-CN"/>
              </w:rPr>
            </w:pPr>
            <w:r>
              <w:rPr>
                <w:rFonts w:hint="eastAsia" w:ascii="Times New Roman" w:hAnsi="Times New Roman" w:cs="Times New Roman"/>
                <w:color w:val="auto"/>
                <w:sz w:val="24"/>
                <w:szCs w:val="21"/>
                <w:highlight w:val="none"/>
                <w:shd w:val="clear" w:color="auto" w:fill="auto"/>
                <w:lang w:eastAsia="zh-CN"/>
              </w:rPr>
              <w:t>（</w:t>
            </w:r>
            <w:r>
              <w:rPr>
                <w:rFonts w:hint="eastAsia" w:ascii="Times New Roman" w:hAnsi="Times New Roman" w:cs="Times New Roman"/>
                <w:color w:val="auto"/>
                <w:sz w:val="24"/>
                <w:szCs w:val="21"/>
                <w:highlight w:val="none"/>
                <w:shd w:val="clear" w:color="auto" w:fill="auto"/>
                <w:lang w:val="en-US" w:eastAsia="zh-CN"/>
              </w:rPr>
              <w:t>3</w:t>
            </w:r>
            <w:r>
              <w:rPr>
                <w:rFonts w:hint="eastAsia" w:ascii="Times New Roman" w:hAnsi="Times New Roman" w:cs="Times New Roman"/>
                <w:color w:val="auto"/>
                <w:sz w:val="24"/>
                <w:szCs w:val="21"/>
                <w:highlight w:val="none"/>
                <w:shd w:val="clear" w:color="auto" w:fill="auto"/>
                <w:lang w:eastAsia="zh-CN"/>
              </w:rPr>
              <w:t>）</w:t>
            </w:r>
            <w:r>
              <w:rPr>
                <w:rFonts w:hint="default" w:ascii="Times New Roman" w:hAnsi="Times New Roman" w:eastAsia="宋体" w:cs="Times New Roman"/>
                <w:color w:val="auto"/>
                <w:sz w:val="24"/>
                <w:szCs w:val="21"/>
                <w:highlight w:val="none"/>
                <w:shd w:val="clear" w:color="auto" w:fill="auto"/>
              </w:rPr>
              <w:t>为加强监督管理，贮存、处置场应设置环境保护图形标志。</w:t>
            </w:r>
          </w:p>
          <w:p w14:paraId="7E2B4747">
            <w:pPr>
              <w:bidi w:val="0"/>
              <w:rPr>
                <w:rFonts w:hint="eastAsia"/>
                <w:color w:val="auto"/>
                <w:highlight w:val="none"/>
                <w:lang w:val="en-US" w:eastAsia="zh-CN"/>
              </w:rPr>
            </w:pPr>
            <w:r>
              <w:rPr>
                <w:rFonts w:hint="eastAsia"/>
                <w:color w:val="auto"/>
                <w:highlight w:val="none"/>
                <w:lang w:val="en-US" w:eastAsia="zh-CN"/>
              </w:rPr>
              <w:t>本项目产生的一般工业固态废物均暂存于一般固废储存区，定期外售废品回收站。</w:t>
            </w:r>
          </w:p>
          <w:p w14:paraId="42F1DCA3">
            <w:pPr>
              <w:bidi w:val="0"/>
              <w:rPr>
                <w:rFonts w:hint="eastAsia"/>
                <w:b/>
                <w:bCs/>
                <w:color w:val="auto"/>
                <w:highlight w:val="none"/>
                <w:lang w:val="en-US" w:eastAsia="zh-CN"/>
              </w:rPr>
            </w:pPr>
            <w:r>
              <w:rPr>
                <w:rFonts w:hint="eastAsia"/>
                <w:b/>
                <w:bCs/>
                <w:color w:val="auto"/>
                <w:highlight w:val="none"/>
                <w:lang w:val="en-US" w:eastAsia="zh-CN"/>
              </w:rPr>
              <w:t>4.2职工生活</w:t>
            </w:r>
          </w:p>
          <w:p w14:paraId="3A57760E">
            <w:pPr>
              <w:bidi w:val="0"/>
              <w:rPr>
                <w:rFonts w:hint="eastAsia"/>
                <w:b w:val="0"/>
                <w:bCs w:val="0"/>
                <w:color w:val="auto"/>
                <w:highlight w:val="none"/>
                <w:lang w:val="en-US" w:eastAsia="zh-CN"/>
              </w:rPr>
            </w:pPr>
            <w:r>
              <w:rPr>
                <w:rFonts w:hint="eastAsia"/>
                <w:color w:val="auto"/>
                <w:highlight w:val="none"/>
                <w:lang w:val="en-US" w:eastAsia="zh-CN"/>
              </w:rPr>
              <w:t>本项目新增食堂，新增部分生活垃圾，生活垃圾产生量为15.3t/a，其中，</w:t>
            </w:r>
            <w:r>
              <w:rPr>
                <w:rFonts w:hint="eastAsia"/>
                <w:b w:val="0"/>
                <w:bCs w:val="0"/>
                <w:color w:val="auto"/>
                <w:highlight w:val="none"/>
                <w:lang w:val="en-US" w:eastAsia="zh-CN"/>
              </w:rPr>
              <w:t>食用废油产生量为0.3t/a，委托有特许经营许可的餐厨废弃物收集、运输、处置服务企业收集、运输、处置。其他生活垃圾（主要为厨余垃圾）</w:t>
            </w:r>
            <w:r>
              <w:rPr>
                <w:rFonts w:hint="eastAsia"/>
                <w:color w:val="auto"/>
                <w:highlight w:val="none"/>
                <w:lang w:val="en-US" w:eastAsia="zh-CN"/>
              </w:rPr>
              <w:t>产生量为</w:t>
            </w:r>
            <w:r>
              <w:rPr>
                <w:rFonts w:hint="eastAsia"/>
                <w:b w:val="0"/>
                <w:bCs w:val="0"/>
                <w:color w:val="auto"/>
                <w:highlight w:val="none"/>
                <w:lang w:val="en-US" w:eastAsia="zh-CN"/>
              </w:rPr>
              <w:t>15t/a，袋装化收集，送环卫部门指定地点统一处理。</w:t>
            </w:r>
          </w:p>
          <w:p w14:paraId="42E8CC99">
            <w:pPr>
              <w:bidi w:val="0"/>
              <w:rPr>
                <w:rFonts w:hint="default"/>
                <w:b w:val="0"/>
                <w:bCs w:val="0"/>
                <w:color w:val="auto"/>
                <w:highlight w:val="none"/>
                <w:lang w:val="en-US" w:eastAsia="zh-CN"/>
              </w:rPr>
            </w:pPr>
            <w:r>
              <w:rPr>
                <w:rFonts w:hint="eastAsia"/>
                <w:b w:val="0"/>
                <w:bCs w:val="0"/>
                <w:color w:val="auto"/>
                <w:highlight w:val="none"/>
                <w:lang w:val="en-US" w:eastAsia="zh-CN"/>
              </w:rPr>
              <w:t>本项目建成后全厂生活垃圾（不含食用废油）产生量为37.5t/a，袋装化收集，送环卫部门指定地点统一处理，食用废油产生量为0.3t/a，委托有特许经营许可的餐厨废弃物收集、运输、处置服务企业收集、运输、处置。</w:t>
            </w:r>
          </w:p>
          <w:p w14:paraId="6CBEB9CF">
            <w:pPr>
              <w:bidi w:val="0"/>
              <w:rPr>
                <w:rFonts w:hint="eastAsia"/>
                <w:b/>
                <w:bCs/>
                <w:color w:val="auto"/>
                <w:sz w:val="24"/>
                <w:szCs w:val="24"/>
                <w:highlight w:val="none"/>
                <w:lang w:val="en-US" w:eastAsia="zh-CN"/>
              </w:rPr>
            </w:pPr>
            <w:r>
              <w:rPr>
                <w:rFonts w:hint="eastAsia"/>
                <w:b/>
                <w:bCs/>
                <w:color w:val="auto"/>
                <w:sz w:val="24"/>
                <w:szCs w:val="24"/>
                <w:highlight w:val="none"/>
                <w:lang w:val="en-US" w:eastAsia="zh-CN"/>
              </w:rPr>
              <w:t>4.2危险废物</w:t>
            </w:r>
          </w:p>
          <w:p w14:paraId="789A18A7">
            <w:pPr>
              <w:bidi w:val="0"/>
              <w:rPr>
                <w:rFonts w:hint="eastAsia"/>
                <w:b/>
                <w:bCs/>
                <w:color w:val="auto"/>
                <w:sz w:val="24"/>
                <w:szCs w:val="24"/>
                <w:highlight w:val="none"/>
                <w:lang w:val="en-US" w:eastAsia="zh-CN"/>
              </w:rPr>
            </w:pPr>
            <w:r>
              <w:rPr>
                <w:rFonts w:hint="eastAsia" w:cs="Times New Roman"/>
                <w:b/>
                <w:bCs/>
                <w:color w:val="auto"/>
                <w:sz w:val="24"/>
                <w:szCs w:val="24"/>
                <w:highlight w:val="none"/>
                <w:lang w:val="en-US" w:eastAsia="zh-CN"/>
              </w:rPr>
              <w:t>4.2.1</w:t>
            </w:r>
            <w:r>
              <w:rPr>
                <w:rFonts w:hint="default"/>
                <w:b/>
                <w:bCs/>
                <w:color w:val="auto"/>
                <w:sz w:val="24"/>
                <w:szCs w:val="24"/>
                <w:highlight w:val="none"/>
              </w:rPr>
              <w:t>危险废物基本情况</w:t>
            </w:r>
          </w:p>
          <w:p w14:paraId="0E6D501B">
            <w:pPr>
              <w:bidi w:val="0"/>
              <w:rPr>
                <w:rFonts w:hint="eastAsia" w:eastAsia="宋体"/>
                <w:b w:val="0"/>
                <w:bCs w:val="0"/>
                <w:color w:val="auto"/>
                <w:highlight w:val="none"/>
                <w:lang w:val="en-US" w:eastAsia="zh-CN"/>
              </w:rPr>
            </w:pPr>
            <w:r>
              <w:rPr>
                <w:rFonts w:hint="eastAsia"/>
                <w:color w:val="auto"/>
                <w:sz w:val="24"/>
                <w:szCs w:val="24"/>
                <w:highlight w:val="none"/>
                <w:lang w:val="en-US" w:eastAsia="zh-CN"/>
              </w:rPr>
              <w:t>本项目产生的危险废物主要为</w:t>
            </w:r>
            <w:r>
              <w:rPr>
                <w:rFonts w:hint="eastAsia"/>
                <w:color w:val="auto"/>
                <w:highlight w:val="none"/>
                <w:lang w:val="en-US" w:eastAsia="zh-CN"/>
              </w:rPr>
              <w:t>除油过程产生的废稀释剂、废漆桶；喷漆过程产生的漆渣、废漆桶、废遮蔽物；有机废气处理设施定期更换下来的废纸盒、废过滤棉、废沸石分子筛、废催化剂</w:t>
            </w:r>
            <w:r>
              <w:rPr>
                <w:rFonts w:hint="eastAsia" w:cs="Times New Roman"/>
                <w:b w:val="0"/>
                <w:bCs w:val="0"/>
                <w:snapToGrid w:val="0"/>
                <w:color w:val="auto"/>
                <w:kern w:val="0"/>
                <w:sz w:val="24"/>
                <w:szCs w:val="21"/>
                <w:highlight w:val="none"/>
                <w:shd w:val="clear" w:color="auto" w:fill="auto"/>
                <w:lang w:val="en-US" w:eastAsia="zh-CN" w:bidi="ar-SA"/>
              </w:rPr>
              <w:t>。</w:t>
            </w:r>
          </w:p>
          <w:p w14:paraId="69A08805">
            <w:pPr>
              <w:bidi w:val="0"/>
              <w:rPr>
                <w:rFonts w:hint="eastAsia"/>
                <w:color w:val="auto"/>
                <w:highlight w:val="none"/>
                <w:lang w:val="en-US" w:eastAsia="zh-CN"/>
              </w:rPr>
            </w:pPr>
            <w:r>
              <w:rPr>
                <w:rFonts w:hint="default"/>
                <w:color w:val="auto"/>
                <w:sz w:val="24"/>
                <w:szCs w:val="24"/>
                <w:highlight w:val="none"/>
              </w:rPr>
              <w:t>根据《国家危险废物名录</w:t>
            </w:r>
            <w:r>
              <w:rPr>
                <w:rFonts w:hint="eastAsia"/>
                <w:color w:val="auto"/>
                <w:sz w:val="24"/>
                <w:szCs w:val="24"/>
                <w:highlight w:val="none"/>
              </w:rPr>
              <w:t>（2021年版）</w:t>
            </w:r>
            <w:r>
              <w:rPr>
                <w:rFonts w:hint="default"/>
                <w:color w:val="auto"/>
                <w:sz w:val="24"/>
                <w:szCs w:val="24"/>
                <w:highlight w:val="none"/>
              </w:rPr>
              <w:t>》中的规定</w:t>
            </w:r>
            <w:r>
              <w:rPr>
                <w:rFonts w:hint="eastAsia" w:eastAsia="宋体"/>
                <w:color w:val="auto"/>
                <w:sz w:val="24"/>
                <w:szCs w:val="24"/>
                <w:highlight w:val="none"/>
                <w:lang w:eastAsia="zh-CN"/>
              </w:rPr>
              <w:t>，</w:t>
            </w:r>
            <w:r>
              <w:rPr>
                <w:rFonts w:hint="eastAsia" w:ascii="Times New Roman" w:eastAsia="宋体"/>
                <w:color w:val="auto"/>
                <w:sz w:val="24"/>
                <w:szCs w:val="24"/>
                <w:highlight w:val="none"/>
                <w:lang w:val="en-US" w:eastAsia="zh-CN"/>
              </w:rPr>
              <w:t>本项目</w:t>
            </w:r>
            <w:r>
              <w:rPr>
                <w:rFonts w:hint="eastAsia" w:eastAsia="宋体"/>
                <w:color w:val="auto"/>
                <w:sz w:val="24"/>
                <w:szCs w:val="24"/>
                <w:highlight w:val="none"/>
                <w:lang w:eastAsia="zh-CN"/>
              </w:rPr>
              <w:t>危险废物类别、代码、产生量及收集、处置方式见</w:t>
            </w:r>
            <w:r>
              <w:rPr>
                <w:rFonts w:hint="eastAsia" w:ascii="Times New Roman" w:eastAsia="宋体"/>
                <w:color w:val="auto"/>
                <w:sz w:val="24"/>
                <w:szCs w:val="24"/>
                <w:highlight w:val="none"/>
                <w:lang w:val="en-US" w:eastAsia="zh-CN"/>
              </w:rPr>
              <w:t>下表</w:t>
            </w:r>
            <w:r>
              <w:rPr>
                <w:rFonts w:hint="eastAsia" w:eastAsia="宋体"/>
                <w:color w:val="auto"/>
                <w:sz w:val="24"/>
                <w:szCs w:val="24"/>
                <w:highlight w:val="none"/>
                <w:lang w:eastAsia="zh-CN"/>
              </w:rPr>
              <w:t>。</w:t>
            </w:r>
          </w:p>
          <w:p w14:paraId="0F9A5D49">
            <w:pPr>
              <w:bidi w:val="0"/>
              <w:rPr>
                <w:rFonts w:hint="default"/>
                <w:color w:val="auto"/>
                <w:highlight w:val="none"/>
                <w:lang w:val="en-US" w:eastAsia="zh-CN"/>
              </w:rPr>
            </w:pPr>
          </w:p>
          <w:p w14:paraId="3E0DA8C2">
            <w:pPr>
              <w:bidi w:val="0"/>
              <w:rPr>
                <w:rFonts w:hint="default"/>
                <w:color w:val="auto"/>
                <w:highlight w:val="none"/>
                <w:lang w:val="en-US" w:eastAsia="zh-CN"/>
              </w:rPr>
            </w:pPr>
          </w:p>
          <w:p w14:paraId="7963EC3C">
            <w:pPr>
              <w:bidi w:val="0"/>
              <w:rPr>
                <w:rFonts w:hint="default"/>
                <w:color w:val="auto"/>
                <w:highlight w:val="none"/>
                <w:lang w:val="en-US" w:eastAsia="zh-CN"/>
              </w:rPr>
            </w:pPr>
          </w:p>
          <w:p w14:paraId="7124A5E0">
            <w:pPr>
              <w:bidi w:val="0"/>
              <w:rPr>
                <w:rFonts w:hint="default"/>
                <w:color w:val="auto"/>
                <w:highlight w:val="none"/>
                <w:lang w:val="en-US" w:eastAsia="zh-CN"/>
              </w:rPr>
            </w:pPr>
          </w:p>
          <w:p w14:paraId="6F06E870">
            <w:pPr>
              <w:bidi w:val="0"/>
              <w:rPr>
                <w:rFonts w:hint="default"/>
                <w:color w:val="auto"/>
                <w:highlight w:val="none"/>
                <w:lang w:val="en-US" w:eastAsia="zh-CN"/>
              </w:rPr>
            </w:pPr>
          </w:p>
          <w:p w14:paraId="0F475907">
            <w:pPr>
              <w:bidi w:val="0"/>
              <w:ind w:left="0" w:leftChars="0" w:firstLine="0" w:firstLineChars="0"/>
              <w:rPr>
                <w:rFonts w:hint="default"/>
                <w:color w:val="auto"/>
                <w:highlight w:val="none"/>
                <w:lang w:val="en-US" w:eastAsia="zh-CN"/>
              </w:rPr>
            </w:pPr>
          </w:p>
        </w:tc>
      </w:tr>
    </w:tbl>
    <w:p w14:paraId="7F34C486">
      <w:pPr>
        <w:rPr>
          <w:rFonts w:hint="eastAsia" w:ascii="黑体" w:hAnsi="黑体" w:eastAsia="黑体"/>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黑体" w:hAnsi="黑体" w:eastAsia="黑体"/>
          <w:snapToGrid w:val="0"/>
          <w:color w:val="auto"/>
          <w:sz w:val="30"/>
          <w:szCs w:val="30"/>
          <w:highlight w:val="none"/>
        </w:rPr>
        <w:br w:type="page"/>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3189"/>
      </w:tblGrid>
      <w:tr w14:paraId="3792C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5" w:type="dxa"/>
            <w:tcBorders>
              <w:tl2br w:val="nil"/>
              <w:tr2bl w:val="nil"/>
            </w:tcBorders>
            <w:vAlign w:val="top"/>
          </w:tcPr>
          <w:p w14:paraId="498737D0">
            <w:pPr>
              <w:rPr>
                <w:rFonts w:hint="eastAsia" w:ascii="黑体" w:hAnsi="黑体" w:eastAsia="黑体"/>
                <w:snapToGrid w:val="0"/>
                <w:color w:val="auto"/>
                <w:sz w:val="30"/>
                <w:szCs w:val="30"/>
                <w:highlight w:val="none"/>
                <w:vertAlign w:val="baseline"/>
              </w:rPr>
            </w:pPr>
          </w:p>
        </w:tc>
        <w:tc>
          <w:tcPr>
            <w:tcW w:w="13189" w:type="dxa"/>
            <w:tcBorders>
              <w:tl2br w:val="nil"/>
              <w:tr2bl w:val="nil"/>
            </w:tcBorders>
            <w:vAlign w:val="top"/>
          </w:tcPr>
          <w:p w14:paraId="200D94A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60</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eastAsia" w:cs="Times New Roman"/>
                <w:b/>
                <w:bCs/>
                <w:color w:val="auto"/>
                <w:sz w:val="21"/>
                <w:szCs w:val="21"/>
                <w:highlight w:val="none"/>
                <w:shd w:val="clear" w:color="auto" w:fill="auto"/>
                <w:lang w:val="en-US" w:eastAsia="zh-CN"/>
              </w:rPr>
              <w:t>本项目危险废物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4"/>
              <w:tblW w:w="12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92"/>
              <w:gridCol w:w="2170"/>
              <w:gridCol w:w="849"/>
              <w:gridCol w:w="1155"/>
              <w:gridCol w:w="696"/>
              <w:gridCol w:w="732"/>
              <w:gridCol w:w="919"/>
              <w:gridCol w:w="1267"/>
              <w:gridCol w:w="1585"/>
              <w:gridCol w:w="971"/>
              <w:gridCol w:w="1690"/>
            </w:tblGrid>
            <w:tr w14:paraId="6E284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tcBorders>
                    <w:tl2br w:val="nil"/>
                    <w:tr2bl w:val="nil"/>
                  </w:tcBorders>
                  <w:noWrap w:val="0"/>
                  <w:tcMar>
                    <w:top w:w="15" w:type="dxa"/>
                    <w:left w:w="15" w:type="dxa"/>
                    <w:right w:w="15" w:type="dxa"/>
                  </w:tcMar>
                  <w:vAlign w:val="center"/>
                </w:tcPr>
                <w:p w14:paraId="588A517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2170" w:type="dxa"/>
                  <w:tcBorders>
                    <w:tl2br w:val="nil"/>
                    <w:tr2bl w:val="nil"/>
                  </w:tcBorders>
                  <w:noWrap w:val="0"/>
                  <w:tcMar>
                    <w:top w:w="15" w:type="dxa"/>
                    <w:left w:w="15" w:type="dxa"/>
                    <w:right w:w="15" w:type="dxa"/>
                  </w:tcMar>
                  <w:vAlign w:val="center"/>
                </w:tcPr>
                <w:p w14:paraId="609FC91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849" w:type="dxa"/>
                  <w:tcBorders>
                    <w:tl2br w:val="nil"/>
                    <w:tr2bl w:val="nil"/>
                  </w:tcBorders>
                  <w:noWrap w:val="0"/>
                  <w:tcMar>
                    <w:top w:w="15" w:type="dxa"/>
                    <w:left w:w="15" w:type="dxa"/>
                    <w:right w:w="15" w:type="dxa"/>
                  </w:tcMar>
                  <w:vAlign w:val="center"/>
                </w:tcPr>
                <w:p w14:paraId="6CFCABE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55" w:type="dxa"/>
                  <w:tcBorders>
                    <w:tl2br w:val="nil"/>
                    <w:tr2bl w:val="nil"/>
                  </w:tcBorders>
                  <w:noWrap w:val="0"/>
                  <w:tcMar>
                    <w:top w:w="15" w:type="dxa"/>
                    <w:left w:w="15" w:type="dxa"/>
                    <w:right w:w="15" w:type="dxa"/>
                  </w:tcMar>
                  <w:vAlign w:val="center"/>
                </w:tcPr>
                <w:p w14:paraId="6410856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96" w:type="dxa"/>
                  <w:tcBorders>
                    <w:tl2br w:val="nil"/>
                    <w:tr2bl w:val="nil"/>
                  </w:tcBorders>
                  <w:noWrap w:val="0"/>
                  <w:tcMar>
                    <w:top w:w="15" w:type="dxa"/>
                    <w:left w:w="15" w:type="dxa"/>
                    <w:right w:w="15" w:type="dxa"/>
                  </w:tcMar>
                  <w:vAlign w:val="center"/>
                </w:tcPr>
                <w:p w14:paraId="701E302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732" w:type="dxa"/>
                  <w:tcBorders>
                    <w:tl2br w:val="nil"/>
                    <w:tr2bl w:val="nil"/>
                  </w:tcBorders>
                  <w:noWrap w:val="0"/>
                  <w:tcMar>
                    <w:top w:w="15" w:type="dxa"/>
                    <w:left w:w="15" w:type="dxa"/>
                    <w:right w:w="15" w:type="dxa"/>
                  </w:tcMar>
                  <w:vAlign w:val="center"/>
                </w:tcPr>
                <w:p w14:paraId="786956B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919" w:type="dxa"/>
                  <w:tcBorders>
                    <w:tl2br w:val="nil"/>
                    <w:tr2bl w:val="nil"/>
                  </w:tcBorders>
                  <w:noWrap w:val="0"/>
                  <w:tcMar>
                    <w:top w:w="15" w:type="dxa"/>
                    <w:left w:w="15" w:type="dxa"/>
                    <w:right w:w="15" w:type="dxa"/>
                  </w:tcMar>
                  <w:vAlign w:val="center"/>
                </w:tcPr>
                <w:p w14:paraId="37336F7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1267" w:type="dxa"/>
                  <w:tcBorders>
                    <w:tl2br w:val="nil"/>
                    <w:tr2bl w:val="nil"/>
                  </w:tcBorders>
                  <w:noWrap w:val="0"/>
                  <w:tcMar>
                    <w:top w:w="15" w:type="dxa"/>
                    <w:left w:w="15" w:type="dxa"/>
                    <w:right w:w="15" w:type="dxa"/>
                  </w:tcMar>
                  <w:vAlign w:val="center"/>
                </w:tcPr>
                <w:p w14:paraId="3EFB08B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585" w:type="dxa"/>
                  <w:tcBorders>
                    <w:tl2br w:val="nil"/>
                    <w:tr2bl w:val="nil"/>
                  </w:tcBorders>
                  <w:noWrap w:val="0"/>
                  <w:tcMar>
                    <w:top w:w="15" w:type="dxa"/>
                    <w:left w:w="15" w:type="dxa"/>
                    <w:right w:w="15" w:type="dxa"/>
                  </w:tcMar>
                  <w:vAlign w:val="center"/>
                </w:tcPr>
                <w:p w14:paraId="44EF042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971" w:type="dxa"/>
                  <w:tcBorders>
                    <w:tl2br w:val="nil"/>
                    <w:tr2bl w:val="nil"/>
                  </w:tcBorders>
                  <w:noWrap w:val="0"/>
                  <w:tcMar>
                    <w:top w:w="15" w:type="dxa"/>
                    <w:left w:w="15" w:type="dxa"/>
                    <w:right w:w="15" w:type="dxa"/>
                  </w:tcMar>
                  <w:vAlign w:val="center"/>
                </w:tcPr>
                <w:p w14:paraId="516BCBB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1690" w:type="dxa"/>
                  <w:tcBorders>
                    <w:tl2br w:val="nil"/>
                    <w:tr2bl w:val="nil"/>
                  </w:tcBorders>
                  <w:noWrap w:val="0"/>
                  <w:tcMar>
                    <w:top w:w="15" w:type="dxa"/>
                    <w:left w:w="15" w:type="dxa"/>
                    <w:right w:w="15" w:type="dxa"/>
                  </w:tcMar>
                  <w:vAlign w:val="center"/>
                </w:tcPr>
                <w:p w14:paraId="5208040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14:paraId="54245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tcBorders>
                    <w:tl2br w:val="nil"/>
                    <w:tr2bl w:val="nil"/>
                  </w:tcBorders>
                  <w:noWrap w:val="0"/>
                  <w:tcMar>
                    <w:top w:w="15" w:type="dxa"/>
                    <w:left w:w="15" w:type="dxa"/>
                    <w:right w:w="15" w:type="dxa"/>
                  </w:tcMar>
                  <w:vAlign w:val="center"/>
                </w:tcPr>
                <w:p w14:paraId="36762CD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除油过程</w:t>
                  </w:r>
                </w:p>
              </w:tc>
              <w:tc>
                <w:tcPr>
                  <w:tcW w:w="2170" w:type="dxa"/>
                  <w:tcBorders>
                    <w:tl2br w:val="nil"/>
                    <w:tr2bl w:val="nil"/>
                  </w:tcBorders>
                  <w:noWrap w:val="0"/>
                  <w:tcMar>
                    <w:top w:w="15" w:type="dxa"/>
                    <w:left w:w="15" w:type="dxa"/>
                    <w:right w:w="15" w:type="dxa"/>
                  </w:tcMar>
                  <w:vAlign w:val="center"/>
                </w:tcPr>
                <w:p w14:paraId="41CA192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废稀释剂</w:t>
                  </w:r>
                </w:p>
                <w:p w14:paraId="1636929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（HW06  900-402-06）</w:t>
                  </w:r>
                </w:p>
              </w:tc>
              <w:tc>
                <w:tcPr>
                  <w:tcW w:w="849" w:type="dxa"/>
                  <w:tcBorders>
                    <w:tl2br w:val="nil"/>
                    <w:tr2bl w:val="nil"/>
                  </w:tcBorders>
                  <w:noWrap w:val="0"/>
                  <w:tcMar>
                    <w:top w:w="15" w:type="dxa"/>
                    <w:left w:w="15" w:type="dxa"/>
                    <w:right w:w="15" w:type="dxa"/>
                  </w:tcMar>
                  <w:vAlign w:val="center"/>
                </w:tcPr>
                <w:p w14:paraId="352C959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14:paraId="375513A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14:paraId="6B6C7E6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液态</w:t>
                  </w:r>
                </w:p>
              </w:tc>
              <w:tc>
                <w:tcPr>
                  <w:tcW w:w="732" w:type="dxa"/>
                  <w:tcBorders>
                    <w:tl2br w:val="nil"/>
                    <w:tr2bl w:val="nil"/>
                  </w:tcBorders>
                  <w:noWrap w:val="0"/>
                  <w:tcMar>
                    <w:top w:w="15" w:type="dxa"/>
                    <w:left w:w="15" w:type="dxa"/>
                    <w:right w:w="15" w:type="dxa"/>
                  </w:tcMar>
                  <w:vAlign w:val="center"/>
                </w:tcPr>
                <w:p w14:paraId="6A7E20C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T，I，R</w:t>
                  </w:r>
                </w:p>
              </w:tc>
              <w:tc>
                <w:tcPr>
                  <w:tcW w:w="919" w:type="dxa"/>
                  <w:tcBorders>
                    <w:tl2br w:val="nil"/>
                    <w:tr2bl w:val="nil"/>
                  </w:tcBorders>
                  <w:noWrap w:val="0"/>
                  <w:tcMar>
                    <w:top w:w="15" w:type="dxa"/>
                    <w:left w:w="15" w:type="dxa"/>
                    <w:right w:w="15" w:type="dxa"/>
                  </w:tcMar>
                  <w:vAlign w:val="center"/>
                </w:tcPr>
                <w:p w14:paraId="6B9EEE2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ascii="Times New Roman" w:hAnsi="Times New Roman" w:cs="Times New Roman"/>
                      <w:color w:val="auto"/>
                      <w:sz w:val="21"/>
                      <w:szCs w:val="21"/>
                      <w:highlight w:val="none"/>
                      <w:shd w:val="clear" w:color="auto" w:fill="auto"/>
                      <w:lang w:val="en-US" w:eastAsia="zh-CN"/>
                    </w:rPr>
                    <w:t>365</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267" w:type="dxa"/>
                  <w:tcBorders>
                    <w:tl2br w:val="nil"/>
                    <w:tr2bl w:val="nil"/>
                  </w:tcBorders>
                  <w:noWrap w:val="0"/>
                  <w:tcMar>
                    <w:top w:w="15" w:type="dxa"/>
                    <w:left w:w="15" w:type="dxa"/>
                    <w:right w:w="15" w:type="dxa"/>
                  </w:tcMar>
                  <w:vAlign w:val="center"/>
                </w:tcPr>
                <w:p w14:paraId="2F537EE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桶装</w:t>
                  </w: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585" w:type="dxa"/>
                  <w:tcBorders>
                    <w:tl2br w:val="nil"/>
                    <w:tr2bl w:val="nil"/>
                  </w:tcBorders>
                  <w:noWrap w:val="0"/>
                  <w:tcMar>
                    <w:top w:w="15" w:type="dxa"/>
                    <w:left w:w="15" w:type="dxa"/>
                    <w:right w:w="15" w:type="dxa"/>
                  </w:tcMar>
                  <w:vAlign w:val="center"/>
                </w:tcPr>
                <w:p w14:paraId="2BB9D0A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71" w:type="dxa"/>
                  <w:tcBorders>
                    <w:tl2br w:val="nil"/>
                    <w:tr2bl w:val="nil"/>
                  </w:tcBorders>
                  <w:noWrap w:val="0"/>
                  <w:tcMar>
                    <w:top w:w="15" w:type="dxa"/>
                    <w:left w:w="15" w:type="dxa"/>
                    <w:right w:w="15" w:type="dxa"/>
                  </w:tcMar>
                  <w:vAlign w:val="center"/>
                </w:tcPr>
                <w:p w14:paraId="1F51C80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ascii="Times New Roman" w:hAnsi="Times New Roman" w:cs="Times New Roman"/>
                      <w:color w:val="auto"/>
                      <w:sz w:val="21"/>
                      <w:szCs w:val="21"/>
                      <w:highlight w:val="none"/>
                      <w:shd w:val="clear" w:color="auto" w:fill="auto"/>
                      <w:lang w:val="en-US" w:eastAsia="zh-CN"/>
                    </w:rPr>
                    <w:t>365</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690" w:type="dxa"/>
                  <w:vMerge w:val="restart"/>
                  <w:tcBorders>
                    <w:tl2br w:val="nil"/>
                    <w:tr2bl w:val="nil"/>
                  </w:tcBorders>
                  <w:noWrap w:val="0"/>
                  <w:tcMar>
                    <w:top w:w="15" w:type="dxa"/>
                    <w:left w:w="15" w:type="dxa"/>
                    <w:right w:w="15" w:type="dxa"/>
                  </w:tcMar>
                  <w:vAlign w:val="center"/>
                </w:tcPr>
                <w:p w14:paraId="7C0E236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危险废物的收集及临时存放应严格执行《危险废物贮存污染控制标准》（GB18597-20</w:t>
                  </w:r>
                  <w:r>
                    <w:rPr>
                      <w:rFonts w:hint="eastAsia"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w:t>
                  </w:r>
                  <w:r>
                    <w:rPr>
                      <w:rFonts w:hint="eastAsia" w:eastAsia="宋体" w:cs="Times New Roman"/>
                      <w:color w:val="auto"/>
                      <w:sz w:val="21"/>
                      <w:szCs w:val="21"/>
                      <w:highlight w:val="none"/>
                      <w:shd w:val="clear" w:color="auto" w:fill="auto"/>
                      <w:lang w:val="en-US" w:eastAsia="zh-CN"/>
                    </w:rPr>
                    <w:t>及修改单</w:t>
                  </w:r>
                  <w:r>
                    <w:rPr>
                      <w:rFonts w:hint="eastAsia" w:eastAsia="宋体" w:cs="Times New Roman"/>
                      <w:color w:val="auto"/>
                      <w:sz w:val="21"/>
                      <w:szCs w:val="21"/>
                      <w:highlight w:val="none"/>
                      <w:shd w:val="clear" w:color="auto" w:fill="auto"/>
                      <w:lang w:eastAsia="zh-CN"/>
                    </w:rPr>
                    <w:t>的要求对</w:t>
                  </w:r>
                  <w:r>
                    <w:rPr>
                      <w:rFonts w:hint="eastAsia" w:eastAsia="宋体" w:cs="Times New Roman"/>
                      <w:color w:val="auto"/>
                      <w:sz w:val="21"/>
                      <w:szCs w:val="21"/>
                      <w:highlight w:val="none"/>
                      <w:shd w:val="clear" w:color="auto" w:fill="auto"/>
                      <w:lang w:val="en-US" w:eastAsia="zh-CN"/>
                    </w:rPr>
                    <w:t>危险废物</w:t>
                  </w:r>
                  <w:r>
                    <w:rPr>
                      <w:rFonts w:hint="eastAsia" w:eastAsia="宋体" w:cs="Times New Roman"/>
                      <w:color w:val="auto"/>
                      <w:sz w:val="21"/>
                      <w:szCs w:val="21"/>
                      <w:highlight w:val="none"/>
                      <w:shd w:val="clear" w:color="auto" w:fill="auto"/>
                      <w:lang w:eastAsia="zh-CN"/>
                    </w:rPr>
                    <w:t>的临时存放场所设置环境保护图形标志牌</w:t>
                  </w:r>
                </w:p>
              </w:tc>
            </w:tr>
            <w:tr w14:paraId="6E82A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92" w:type="dxa"/>
                  <w:tcBorders>
                    <w:tl2br w:val="nil"/>
                    <w:tr2bl w:val="nil"/>
                  </w:tcBorders>
                  <w:noWrap w:val="0"/>
                  <w:tcMar>
                    <w:top w:w="15" w:type="dxa"/>
                    <w:left w:w="15" w:type="dxa"/>
                    <w:right w:w="15" w:type="dxa"/>
                  </w:tcMar>
                  <w:vAlign w:val="center"/>
                </w:tcPr>
                <w:p w14:paraId="5D5DB0A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除油、喷漆过程</w:t>
                  </w:r>
                </w:p>
              </w:tc>
              <w:tc>
                <w:tcPr>
                  <w:tcW w:w="2170" w:type="dxa"/>
                  <w:tcBorders>
                    <w:tl2br w:val="nil"/>
                    <w:tr2bl w:val="nil"/>
                  </w:tcBorders>
                  <w:noWrap w:val="0"/>
                  <w:tcMar>
                    <w:top w:w="15" w:type="dxa"/>
                    <w:left w:w="15" w:type="dxa"/>
                    <w:right w:w="15" w:type="dxa"/>
                  </w:tcMar>
                  <w:vAlign w:val="center"/>
                </w:tcPr>
                <w:p w14:paraId="72FF19C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w:t>
                  </w:r>
                  <w:r>
                    <w:rPr>
                      <w:rFonts w:hint="eastAsia" w:ascii="Times New Roman" w:hAnsi="Times New Roman" w:cs="Times New Roman"/>
                      <w:color w:val="auto"/>
                      <w:sz w:val="21"/>
                      <w:szCs w:val="21"/>
                      <w:highlight w:val="none"/>
                      <w:shd w:val="clear" w:color="auto" w:fill="auto"/>
                      <w:lang w:val="en-US" w:eastAsia="zh-CN"/>
                    </w:rPr>
                    <w:t>漆</w:t>
                  </w:r>
                  <w:r>
                    <w:rPr>
                      <w:rFonts w:hint="eastAsia" w:ascii="Times New Roman" w:hAnsi="Times New Roman" w:eastAsia="宋体" w:cs="Times New Roman"/>
                      <w:color w:val="auto"/>
                      <w:sz w:val="21"/>
                      <w:szCs w:val="21"/>
                      <w:highlight w:val="none"/>
                      <w:shd w:val="clear" w:color="auto" w:fill="auto"/>
                      <w:lang w:val="en-US" w:eastAsia="zh-CN"/>
                    </w:rPr>
                    <w:t>桶</w:t>
                  </w:r>
                </w:p>
                <w:p w14:paraId="1FBD3B7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900-041-49）</w:t>
                  </w:r>
                </w:p>
              </w:tc>
              <w:tc>
                <w:tcPr>
                  <w:tcW w:w="849" w:type="dxa"/>
                  <w:tcBorders>
                    <w:tl2br w:val="nil"/>
                    <w:tr2bl w:val="nil"/>
                  </w:tcBorders>
                  <w:noWrap w:val="0"/>
                  <w:tcMar>
                    <w:top w:w="15" w:type="dxa"/>
                    <w:left w:w="15" w:type="dxa"/>
                    <w:right w:w="15" w:type="dxa"/>
                  </w:tcMar>
                  <w:vAlign w:val="center"/>
                </w:tcPr>
                <w:p w14:paraId="70E4828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14:paraId="01F9E6E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14:paraId="5F6AC87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14:paraId="520EA3A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T/In</w:t>
                  </w:r>
                </w:p>
              </w:tc>
              <w:tc>
                <w:tcPr>
                  <w:tcW w:w="919" w:type="dxa"/>
                  <w:tcBorders>
                    <w:tl2br w:val="nil"/>
                    <w:tr2bl w:val="nil"/>
                  </w:tcBorders>
                  <w:noWrap w:val="0"/>
                  <w:tcMar>
                    <w:top w:w="15" w:type="dxa"/>
                    <w:left w:w="15" w:type="dxa"/>
                    <w:right w:w="15" w:type="dxa"/>
                  </w:tcMar>
                  <w:vAlign w:val="center"/>
                </w:tcPr>
                <w:p w14:paraId="01B20FD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0.5t/a</w:t>
                  </w:r>
                </w:p>
              </w:tc>
              <w:tc>
                <w:tcPr>
                  <w:tcW w:w="1267" w:type="dxa"/>
                  <w:tcBorders>
                    <w:tl2br w:val="nil"/>
                    <w:tr2bl w:val="nil"/>
                  </w:tcBorders>
                  <w:noWrap w:val="0"/>
                  <w:tcMar>
                    <w:top w:w="15" w:type="dxa"/>
                    <w:left w:w="15" w:type="dxa"/>
                    <w:right w:w="15" w:type="dxa"/>
                  </w:tcMar>
                  <w:vAlign w:val="center"/>
                </w:tcPr>
                <w:p w14:paraId="7BB8BB2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585" w:type="dxa"/>
                  <w:tcBorders>
                    <w:tl2br w:val="nil"/>
                    <w:tr2bl w:val="nil"/>
                  </w:tcBorders>
                  <w:noWrap w:val="0"/>
                  <w:tcMar>
                    <w:top w:w="15" w:type="dxa"/>
                    <w:left w:w="15" w:type="dxa"/>
                    <w:right w:w="15" w:type="dxa"/>
                  </w:tcMar>
                  <w:vAlign w:val="center"/>
                </w:tcPr>
                <w:p w14:paraId="62C6DC2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71" w:type="dxa"/>
                  <w:tcBorders>
                    <w:tl2br w:val="nil"/>
                    <w:tr2bl w:val="nil"/>
                  </w:tcBorders>
                  <w:noWrap w:val="0"/>
                  <w:tcMar>
                    <w:top w:w="15" w:type="dxa"/>
                    <w:left w:w="15" w:type="dxa"/>
                    <w:right w:w="15" w:type="dxa"/>
                  </w:tcMar>
                  <w:vAlign w:val="center"/>
                </w:tcPr>
                <w:p w14:paraId="21BC04F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0.5t/a</w:t>
                  </w:r>
                </w:p>
              </w:tc>
              <w:tc>
                <w:tcPr>
                  <w:tcW w:w="1690" w:type="dxa"/>
                  <w:vMerge w:val="continue"/>
                  <w:tcBorders>
                    <w:tl2br w:val="nil"/>
                    <w:tr2bl w:val="nil"/>
                  </w:tcBorders>
                  <w:noWrap w:val="0"/>
                  <w:tcMar>
                    <w:top w:w="15" w:type="dxa"/>
                    <w:left w:w="15" w:type="dxa"/>
                    <w:right w:w="15" w:type="dxa"/>
                  </w:tcMar>
                  <w:vAlign w:val="center"/>
                </w:tcPr>
                <w:p w14:paraId="3431524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7FE0F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vMerge w:val="restart"/>
                  <w:tcBorders>
                    <w:tl2br w:val="nil"/>
                    <w:tr2bl w:val="nil"/>
                  </w:tcBorders>
                  <w:noWrap w:val="0"/>
                  <w:tcMar>
                    <w:top w:w="15" w:type="dxa"/>
                    <w:left w:w="15" w:type="dxa"/>
                    <w:right w:w="15" w:type="dxa"/>
                  </w:tcMar>
                  <w:vAlign w:val="center"/>
                </w:tcPr>
                <w:p w14:paraId="679146D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喷漆过程</w:t>
                  </w:r>
                </w:p>
              </w:tc>
              <w:tc>
                <w:tcPr>
                  <w:tcW w:w="2170" w:type="dxa"/>
                  <w:tcBorders>
                    <w:tl2br w:val="nil"/>
                    <w:tr2bl w:val="nil"/>
                  </w:tcBorders>
                  <w:noWrap w:val="0"/>
                  <w:tcMar>
                    <w:top w:w="15" w:type="dxa"/>
                    <w:left w:w="15" w:type="dxa"/>
                    <w:right w:w="15" w:type="dxa"/>
                  </w:tcMar>
                  <w:vAlign w:val="center"/>
                </w:tcPr>
                <w:p w14:paraId="13D7AFB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漆渣</w:t>
                  </w:r>
                </w:p>
                <w:p w14:paraId="480FD7A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HW12  900-252-12）</w:t>
                  </w:r>
                </w:p>
              </w:tc>
              <w:tc>
                <w:tcPr>
                  <w:tcW w:w="849" w:type="dxa"/>
                  <w:tcBorders>
                    <w:tl2br w:val="nil"/>
                    <w:tr2bl w:val="nil"/>
                  </w:tcBorders>
                  <w:noWrap w:val="0"/>
                  <w:tcMar>
                    <w:top w:w="15" w:type="dxa"/>
                    <w:left w:w="15" w:type="dxa"/>
                    <w:right w:w="15" w:type="dxa"/>
                  </w:tcMar>
                  <w:vAlign w:val="center"/>
                </w:tcPr>
                <w:p w14:paraId="08825E3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14:paraId="07ACDC2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14:paraId="1B42216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14:paraId="76CC115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919" w:type="dxa"/>
                  <w:tcBorders>
                    <w:tl2br w:val="nil"/>
                    <w:tr2bl w:val="nil"/>
                  </w:tcBorders>
                  <w:noWrap w:val="0"/>
                  <w:tcMar>
                    <w:top w:w="15" w:type="dxa"/>
                    <w:left w:w="15" w:type="dxa"/>
                    <w:right w:w="15" w:type="dxa"/>
                  </w:tcMar>
                  <w:vAlign w:val="center"/>
                </w:tcPr>
                <w:p w14:paraId="15EED85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0.081t/a</w:t>
                  </w:r>
                </w:p>
              </w:tc>
              <w:tc>
                <w:tcPr>
                  <w:tcW w:w="1267" w:type="dxa"/>
                  <w:tcBorders>
                    <w:tl2br w:val="nil"/>
                    <w:tr2bl w:val="nil"/>
                  </w:tcBorders>
                  <w:noWrap w:val="0"/>
                  <w:tcMar>
                    <w:top w:w="15" w:type="dxa"/>
                    <w:left w:w="15" w:type="dxa"/>
                    <w:right w:w="15" w:type="dxa"/>
                  </w:tcMar>
                  <w:vAlign w:val="center"/>
                </w:tcPr>
                <w:p w14:paraId="1FF1565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桶装</w:t>
                  </w: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585" w:type="dxa"/>
                  <w:tcBorders>
                    <w:tl2br w:val="nil"/>
                    <w:tr2bl w:val="nil"/>
                  </w:tcBorders>
                  <w:noWrap w:val="0"/>
                  <w:tcMar>
                    <w:top w:w="15" w:type="dxa"/>
                    <w:left w:w="15" w:type="dxa"/>
                    <w:right w:w="15" w:type="dxa"/>
                  </w:tcMar>
                  <w:vAlign w:val="center"/>
                </w:tcPr>
                <w:p w14:paraId="0710A91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71" w:type="dxa"/>
                  <w:tcBorders>
                    <w:tl2br w:val="nil"/>
                    <w:tr2bl w:val="nil"/>
                  </w:tcBorders>
                  <w:noWrap w:val="0"/>
                  <w:tcMar>
                    <w:top w:w="15" w:type="dxa"/>
                    <w:left w:w="15" w:type="dxa"/>
                    <w:right w:w="15" w:type="dxa"/>
                  </w:tcMar>
                  <w:vAlign w:val="center"/>
                </w:tcPr>
                <w:p w14:paraId="7C9D5C1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0.081t/a</w:t>
                  </w:r>
                </w:p>
              </w:tc>
              <w:tc>
                <w:tcPr>
                  <w:tcW w:w="1690" w:type="dxa"/>
                  <w:vMerge w:val="continue"/>
                  <w:tcBorders>
                    <w:tl2br w:val="nil"/>
                    <w:tr2bl w:val="nil"/>
                  </w:tcBorders>
                  <w:noWrap w:val="0"/>
                  <w:tcMar>
                    <w:top w:w="15" w:type="dxa"/>
                    <w:left w:w="15" w:type="dxa"/>
                    <w:right w:w="15" w:type="dxa"/>
                  </w:tcMar>
                  <w:vAlign w:val="center"/>
                </w:tcPr>
                <w:p w14:paraId="2F25FBF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53164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vMerge w:val="continue"/>
                  <w:tcBorders>
                    <w:tl2br w:val="nil"/>
                    <w:tr2bl w:val="nil"/>
                  </w:tcBorders>
                  <w:noWrap w:val="0"/>
                  <w:tcMar>
                    <w:top w:w="15" w:type="dxa"/>
                    <w:left w:w="15" w:type="dxa"/>
                    <w:right w:w="15" w:type="dxa"/>
                  </w:tcMar>
                  <w:vAlign w:val="center"/>
                </w:tcPr>
                <w:p w14:paraId="2F83E1F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p>
              </w:tc>
              <w:tc>
                <w:tcPr>
                  <w:tcW w:w="2170" w:type="dxa"/>
                  <w:tcBorders>
                    <w:tl2br w:val="nil"/>
                    <w:tr2bl w:val="nil"/>
                  </w:tcBorders>
                  <w:noWrap w:val="0"/>
                  <w:tcMar>
                    <w:top w:w="15" w:type="dxa"/>
                    <w:left w:w="15" w:type="dxa"/>
                    <w:right w:w="15" w:type="dxa"/>
                  </w:tcMar>
                  <w:vAlign w:val="center"/>
                </w:tcPr>
                <w:p w14:paraId="37E03E3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废遮蔽物</w:t>
                  </w:r>
                </w:p>
                <w:p w14:paraId="5874AB4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HW12  900-252-12）</w:t>
                  </w:r>
                </w:p>
              </w:tc>
              <w:tc>
                <w:tcPr>
                  <w:tcW w:w="849" w:type="dxa"/>
                  <w:tcBorders>
                    <w:tl2br w:val="nil"/>
                    <w:tr2bl w:val="nil"/>
                  </w:tcBorders>
                  <w:noWrap w:val="0"/>
                  <w:tcMar>
                    <w:top w:w="15" w:type="dxa"/>
                    <w:left w:w="15" w:type="dxa"/>
                    <w:right w:w="15" w:type="dxa"/>
                  </w:tcMar>
                  <w:vAlign w:val="center"/>
                </w:tcPr>
                <w:p w14:paraId="332FB1D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14:paraId="7B2D138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14:paraId="3852AC2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14:paraId="4C79B67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919" w:type="dxa"/>
                  <w:tcBorders>
                    <w:tl2br w:val="nil"/>
                    <w:tr2bl w:val="nil"/>
                  </w:tcBorders>
                  <w:noWrap w:val="0"/>
                  <w:tcMar>
                    <w:top w:w="15" w:type="dxa"/>
                    <w:left w:w="15" w:type="dxa"/>
                    <w:right w:w="15" w:type="dxa"/>
                  </w:tcMar>
                  <w:vAlign w:val="center"/>
                </w:tcPr>
                <w:p w14:paraId="3CD14BB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1267" w:type="dxa"/>
                  <w:tcBorders>
                    <w:tl2br w:val="nil"/>
                    <w:tr2bl w:val="nil"/>
                  </w:tcBorders>
                  <w:noWrap w:val="0"/>
                  <w:tcMar>
                    <w:top w:w="15" w:type="dxa"/>
                    <w:left w:w="15" w:type="dxa"/>
                    <w:right w:w="15" w:type="dxa"/>
                  </w:tcMar>
                  <w:vAlign w:val="center"/>
                </w:tcPr>
                <w:p w14:paraId="7522DC4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桶装</w:t>
                  </w: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585" w:type="dxa"/>
                  <w:tcBorders>
                    <w:tl2br w:val="nil"/>
                    <w:tr2bl w:val="nil"/>
                  </w:tcBorders>
                  <w:noWrap w:val="0"/>
                  <w:tcMar>
                    <w:top w:w="15" w:type="dxa"/>
                    <w:left w:w="15" w:type="dxa"/>
                    <w:right w:w="15" w:type="dxa"/>
                  </w:tcMar>
                  <w:vAlign w:val="center"/>
                </w:tcPr>
                <w:p w14:paraId="1556A81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71" w:type="dxa"/>
                  <w:tcBorders>
                    <w:tl2br w:val="nil"/>
                    <w:tr2bl w:val="nil"/>
                  </w:tcBorders>
                  <w:noWrap w:val="0"/>
                  <w:tcMar>
                    <w:top w:w="15" w:type="dxa"/>
                    <w:left w:w="15" w:type="dxa"/>
                    <w:right w:w="15" w:type="dxa"/>
                  </w:tcMar>
                  <w:vAlign w:val="center"/>
                </w:tcPr>
                <w:p w14:paraId="00C6DFA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0.1t/a</w:t>
                  </w:r>
                </w:p>
              </w:tc>
              <w:tc>
                <w:tcPr>
                  <w:tcW w:w="1690" w:type="dxa"/>
                  <w:vMerge w:val="continue"/>
                  <w:tcBorders>
                    <w:tl2br w:val="nil"/>
                    <w:tr2bl w:val="nil"/>
                  </w:tcBorders>
                  <w:noWrap w:val="0"/>
                  <w:tcMar>
                    <w:top w:w="15" w:type="dxa"/>
                    <w:left w:w="15" w:type="dxa"/>
                    <w:right w:w="15" w:type="dxa"/>
                  </w:tcMar>
                  <w:vAlign w:val="center"/>
                </w:tcPr>
                <w:p w14:paraId="574DF8C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0E8BC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vMerge w:val="restart"/>
                  <w:tcBorders>
                    <w:tl2br w:val="nil"/>
                    <w:tr2bl w:val="nil"/>
                  </w:tcBorders>
                  <w:noWrap w:val="0"/>
                  <w:tcMar>
                    <w:top w:w="15" w:type="dxa"/>
                    <w:left w:w="15" w:type="dxa"/>
                    <w:right w:w="15" w:type="dxa"/>
                  </w:tcMar>
                  <w:vAlign w:val="center"/>
                </w:tcPr>
                <w:p w14:paraId="3B8F16F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有机废气处理设施</w:t>
                  </w:r>
                </w:p>
              </w:tc>
              <w:tc>
                <w:tcPr>
                  <w:tcW w:w="2170" w:type="dxa"/>
                  <w:tcBorders>
                    <w:tl2br w:val="nil"/>
                    <w:tr2bl w:val="nil"/>
                  </w:tcBorders>
                  <w:noWrap w:val="0"/>
                  <w:tcMar>
                    <w:top w:w="15" w:type="dxa"/>
                    <w:left w:w="15" w:type="dxa"/>
                    <w:right w:w="15" w:type="dxa"/>
                  </w:tcMar>
                  <w:vAlign w:val="center"/>
                </w:tcPr>
                <w:p w14:paraId="285C19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废纸盒</w:t>
                  </w:r>
                </w:p>
                <w:p w14:paraId="7748903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w:t>
                  </w:r>
                  <w:r>
                    <w:rPr>
                      <w:rFonts w:hint="eastAsia" w:cs="Times New Roman"/>
                      <w:color w:val="auto"/>
                      <w:sz w:val="21"/>
                      <w:szCs w:val="21"/>
                      <w:highlight w:val="none"/>
                      <w:shd w:val="clear" w:color="auto" w:fill="auto"/>
                      <w:lang w:val="en-US" w:eastAsia="zh-CN"/>
                    </w:rPr>
                    <w:t>49</w:t>
                  </w:r>
                  <w:r>
                    <w:rPr>
                      <w:rFonts w:hint="eastAsia" w:ascii="Times New Roman" w:hAnsi="Times New Roman" w:eastAsia="宋体" w:cs="Times New Roman"/>
                      <w:color w:val="auto"/>
                      <w:sz w:val="21"/>
                      <w:szCs w:val="21"/>
                      <w:highlight w:val="none"/>
                      <w:shd w:val="clear" w:color="auto" w:fill="auto"/>
                      <w:lang w:val="en-US" w:eastAsia="zh-CN"/>
                    </w:rPr>
                    <w:t xml:space="preserve">  900-</w:t>
                  </w:r>
                  <w:r>
                    <w:rPr>
                      <w:rFonts w:hint="eastAsia" w:cs="Times New Roman"/>
                      <w:color w:val="auto"/>
                      <w:sz w:val="21"/>
                      <w:szCs w:val="21"/>
                      <w:highlight w:val="none"/>
                      <w:shd w:val="clear" w:color="auto" w:fill="auto"/>
                      <w:lang w:val="en-US" w:eastAsia="zh-CN"/>
                    </w:rPr>
                    <w:t>041</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49</w:t>
                  </w:r>
                  <w:r>
                    <w:rPr>
                      <w:rFonts w:hint="eastAsia" w:ascii="Times New Roman" w:hAnsi="Times New Roman" w:eastAsia="宋体" w:cs="Times New Roman"/>
                      <w:color w:val="auto"/>
                      <w:sz w:val="21"/>
                      <w:szCs w:val="21"/>
                      <w:highlight w:val="none"/>
                      <w:shd w:val="clear" w:color="auto" w:fill="auto"/>
                      <w:lang w:val="en-US" w:eastAsia="zh-CN"/>
                    </w:rPr>
                    <w:t>）</w:t>
                  </w:r>
                </w:p>
              </w:tc>
              <w:tc>
                <w:tcPr>
                  <w:tcW w:w="849" w:type="dxa"/>
                  <w:tcBorders>
                    <w:tl2br w:val="nil"/>
                    <w:tr2bl w:val="nil"/>
                  </w:tcBorders>
                  <w:noWrap w:val="0"/>
                  <w:tcMar>
                    <w:top w:w="15" w:type="dxa"/>
                    <w:left w:w="15" w:type="dxa"/>
                    <w:right w:w="15" w:type="dxa"/>
                  </w:tcMar>
                  <w:vAlign w:val="center"/>
                </w:tcPr>
                <w:p w14:paraId="4F3D3CF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14:paraId="41FF7FD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14:paraId="2AB5678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14:paraId="54C2770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T/In</w:t>
                  </w:r>
                </w:p>
              </w:tc>
              <w:tc>
                <w:tcPr>
                  <w:tcW w:w="919" w:type="dxa"/>
                  <w:tcBorders>
                    <w:tl2br w:val="nil"/>
                    <w:tr2bl w:val="nil"/>
                  </w:tcBorders>
                  <w:noWrap w:val="0"/>
                  <w:tcMar>
                    <w:top w:w="15" w:type="dxa"/>
                    <w:left w:w="15" w:type="dxa"/>
                    <w:right w:w="15" w:type="dxa"/>
                  </w:tcMar>
                  <w:vAlign w:val="center"/>
                </w:tcPr>
                <w:p w14:paraId="53E1F61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2.0</w:t>
                  </w:r>
                  <w:r>
                    <w:rPr>
                      <w:rFonts w:hint="eastAsia" w:cs="Times New Roman"/>
                      <w:color w:val="auto"/>
                      <w:sz w:val="21"/>
                      <w:szCs w:val="21"/>
                      <w:highlight w:val="none"/>
                      <w:shd w:val="clear" w:color="auto" w:fill="auto"/>
                      <w:lang w:val="en-US" w:eastAsia="zh-CN"/>
                    </w:rPr>
                    <w:t>64</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267" w:type="dxa"/>
                  <w:tcBorders>
                    <w:tl2br w:val="nil"/>
                    <w:tr2bl w:val="nil"/>
                  </w:tcBorders>
                  <w:noWrap w:val="0"/>
                  <w:tcMar>
                    <w:top w:w="15" w:type="dxa"/>
                    <w:left w:w="15" w:type="dxa"/>
                    <w:right w:w="15" w:type="dxa"/>
                  </w:tcMar>
                  <w:vAlign w:val="center"/>
                </w:tcPr>
                <w:p w14:paraId="2B0D578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专用容器密闭收集，暂存于危废间</w:t>
                  </w:r>
                </w:p>
              </w:tc>
              <w:tc>
                <w:tcPr>
                  <w:tcW w:w="1585" w:type="dxa"/>
                  <w:tcBorders>
                    <w:tl2br w:val="nil"/>
                    <w:tr2bl w:val="nil"/>
                  </w:tcBorders>
                  <w:noWrap w:val="0"/>
                  <w:tcMar>
                    <w:top w:w="15" w:type="dxa"/>
                    <w:left w:w="15" w:type="dxa"/>
                    <w:right w:w="15" w:type="dxa"/>
                  </w:tcMar>
                  <w:vAlign w:val="center"/>
                </w:tcPr>
                <w:p w14:paraId="3337F5D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71" w:type="dxa"/>
                  <w:tcBorders>
                    <w:tl2br w:val="nil"/>
                    <w:tr2bl w:val="nil"/>
                  </w:tcBorders>
                  <w:noWrap w:val="0"/>
                  <w:tcMar>
                    <w:top w:w="15" w:type="dxa"/>
                    <w:left w:w="15" w:type="dxa"/>
                    <w:right w:w="15" w:type="dxa"/>
                  </w:tcMar>
                  <w:vAlign w:val="center"/>
                </w:tcPr>
                <w:p w14:paraId="127F74B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2.0</w:t>
                  </w:r>
                  <w:r>
                    <w:rPr>
                      <w:rFonts w:hint="eastAsia" w:cs="Times New Roman"/>
                      <w:color w:val="auto"/>
                      <w:sz w:val="21"/>
                      <w:szCs w:val="21"/>
                      <w:highlight w:val="none"/>
                      <w:shd w:val="clear" w:color="auto" w:fill="auto"/>
                      <w:lang w:val="en-US" w:eastAsia="zh-CN"/>
                    </w:rPr>
                    <w:t>64</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690" w:type="dxa"/>
                  <w:vMerge w:val="continue"/>
                  <w:tcBorders>
                    <w:tl2br w:val="nil"/>
                    <w:tr2bl w:val="nil"/>
                  </w:tcBorders>
                  <w:noWrap w:val="0"/>
                  <w:tcMar>
                    <w:top w:w="15" w:type="dxa"/>
                    <w:left w:w="15" w:type="dxa"/>
                    <w:right w:w="15" w:type="dxa"/>
                  </w:tcMar>
                  <w:vAlign w:val="center"/>
                </w:tcPr>
                <w:p w14:paraId="65E1211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173C7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vMerge w:val="continue"/>
                  <w:tcBorders>
                    <w:tl2br w:val="nil"/>
                    <w:tr2bl w:val="nil"/>
                  </w:tcBorders>
                  <w:noWrap w:val="0"/>
                  <w:tcMar>
                    <w:top w:w="15" w:type="dxa"/>
                    <w:left w:w="15" w:type="dxa"/>
                    <w:right w:w="15" w:type="dxa"/>
                  </w:tcMar>
                  <w:vAlign w:val="center"/>
                </w:tcPr>
                <w:p w14:paraId="0698723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p>
              </w:tc>
              <w:tc>
                <w:tcPr>
                  <w:tcW w:w="2170" w:type="dxa"/>
                  <w:tcBorders>
                    <w:tl2br w:val="nil"/>
                    <w:tr2bl w:val="nil"/>
                  </w:tcBorders>
                  <w:noWrap w:val="0"/>
                  <w:tcMar>
                    <w:top w:w="15" w:type="dxa"/>
                    <w:left w:w="15" w:type="dxa"/>
                    <w:right w:w="15" w:type="dxa"/>
                  </w:tcMar>
                  <w:vAlign w:val="center"/>
                </w:tcPr>
                <w:p w14:paraId="1FD5C3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废过滤棉</w:t>
                  </w:r>
                </w:p>
                <w:p w14:paraId="3EAF07E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w:t>
                  </w:r>
                  <w:r>
                    <w:rPr>
                      <w:rFonts w:hint="eastAsia" w:cs="Times New Roman"/>
                      <w:color w:val="auto"/>
                      <w:sz w:val="21"/>
                      <w:szCs w:val="21"/>
                      <w:highlight w:val="none"/>
                      <w:shd w:val="clear" w:color="auto" w:fill="auto"/>
                      <w:lang w:val="en-US" w:eastAsia="zh-CN"/>
                    </w:rPr>
                    <w:t>49</w:t>
                  </w:r>
                  <w:r>
                    <w:rPr>
                      <w:rFonts w:hint="eastAsia" w:ascii="Times New Roman" w:hAnsi="Times New Roman" w:eastAsia="宋体" w:cs="Times New Roman"/>
                      <w:color w:val="auto"/>
                      <w:sz w:val="21"/>
                      <w:szCs w:val="21"/>
                      <w:highlight w:val="none"/>
                      <w:shd w:val="clear" w:color="auto" w:fill="auto"/>
                      <w:lang w:val="en-US" w:eastAsia="zh-CN"/>
                    </w:rPr>
                    <w:t xml:space="preserve">  900-</w:t>
                  </w:r>
                  <w:r>
                    <w:rPr>
                      <w:rFonts w:hint="eastAsia" w:cs="Times New Roman"/>
                      <w:color w:val="auto"/>
                      <w:sz w:val="21"/>
                      <w:szCs w:val="21"/>
                      <w:highlight w:val="none"/>
                      <w:shd w:val="clear" w:color="auto" w:fill="auto"/>
                      <w:lang w:val="en-US" w:eastAsia="zh-CN"/>
                    </w:rPr>
                    <w:t>041</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49）</w:t>
                  </w:r>
                </w:p>
              </w:tc>
              <w:tc>
                <w:tcPr>
                  <w:tcW w:w="849" w:type="dxa"/>
                  <w:tcBorders>
                    <w:tl2br w:val="nil"/>
                    <w:tr2bl w:val="nil"/>
                  </w:tcBorders>
                  <w:noWrap w:val="0"/>
                  <w:tcMar>
                    <w:top w:w="15" w:type="dxa"/>
                    <w:left w:w="15" w:type="dxa"/>
                    <w:right w:w="15" w:type="dxa"/>
                  </w:tcMar>
                  <w:vAlign w:val="center"/>
                </w:tcPr>
                <w:p w14:paraId="77F787B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14:paraId="36B0251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14:paraId="5FABD40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14:paraId="5FFB908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T/In</w:t>
                  </w:r>
                </w:p>
              </w:tc>
              <w:tc>
                <w:tcPr>
                  <w:tcW w:w="919" w:type="dxa"/>
                  <w:tcBorders>
                    <w:tl2br w:val="nil"/>
                    <w:tr2bl w:val="nil"/>
                  </w:tcBorders>
                  <w:noWrap w:val="0"/>
                  <w:tcMar>
                    <w:top w:w="15" w:type="dxa"/>
                    <w:left w:w="15" w:type="dxa"/>
                    <w:right w:w="15" w:type="dxa"/>
                  </w:tcMar>
                  <w:vAlign w:val="center"/>
                </w:tcPr>
                <w:p w14:paraId="4B0E1E5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0.57</w:t>
                  </w:r>
                  <w:r>
                    <w:rPr>
                      <w:rFonts w:hint="eastAsia" w:cs="Times New Roman"/>
                      <w:color w:val="auto"/>
                      <w:sz w:val="21"/>
                      <w:szCs w:val="21"/>
                      <w:highlight w:val="none"/>
                      <w:shd w:val="clear" w:color="auto" w:fill="auto"/>
                      <w:lang w:val="en-US" w:eastAsia="zh-CN"/>
                    </w:rPr>
                    <w:t>8</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267" w:type="dxa"/>
                  <w:tcBorders>
                    <w:tl2br w:val="nil"/>
                    <w:tr2bl w:val="nil"/>
                  </w:tcBorders>
                  <w:noWrap w:val="0"/>
                  <w:tcMar>
                    <w:top w:w="15" w:type="dxa"/>
                    <w:left w:w="15" w:type="dxa"/>
                    <w:right w:w="15" w:type="dxa"/>
                  </w:tcMar>
                  <w:vAlign w:val="center"/>
                </w:tcPr>
                <w:p w14:paraId="619D620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专用容器密闭收集，暂存于危废间</w:t>
                  </w:r>
                </w:p>
              </w:tc>
              <w:tc>
                <w:tcPr>
                  <w:tcW w:w="1585" w:type="dxa"/>
                  <w:tcBorders>
                    <w:tl2br w:val="nil"/>
                    <w:tr2bl w:val="nil"/>
                  </w:tcBorders>
                  <w:noWrap w:val="0"/>
                  <w:tcMar>
                    <w:top w:w="15" w:type="dxa"/>
                    <w:left w:w="15" w:type="dxa"/>
                    <w:right w:w="15" w:type="dxa"/>
                  </w:tcMar>
                  <w:vAlign w:val="center"/>
                </w:tcPr>
                <w:p w14:paraId="4529B40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71" w:type="dxa"/>
                  <w:tcBorders>
                    <w:tl2br w:val="nil"/>
                    <w:tr2bl w:val="nil"/>
                  </w:tcBorders>
                  <w:noWrap w:val="0"/>
                  <w:tcMar>
                    <w:top w:w="15" w:type="dxa"/>
                    <w:left w:w="15" w:type="dxa"/>
                    <w:right w:w="15" w:type="dxa"/>
                  </w:tcMar>
                  <w:vAlign w:val="center"/>
                </w:tcPr>
                <w:p w14:paraId="3BEB560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0.57</w:t>
                  </w:r>
                  <w:r>
                    <w:rPr>
                      <w:rFonts w:hint="eastAsia" w:cs="Times New Roman"/>
                      <w:color w:val="auto"/>
                      <w:sz w:val="21"/>
                      <w:szCs w:val="21"/>
                      <w:highlight w:val="none"/>
                      <w:shd w:val="clear" w:color="auto" w:fill="auto"/>
                      <w:lang w:val="en-US" w:eastAsia="zh-CN"/>
                    </w:rPr>
                    <w:t>8</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690" w:type="dxa"/>
                  <w:vMerge w:val="continue"/>
                  <w:tcBorders>
                    <w:tl2br w:val="nil"/>
                    <w:tr2bl w:val="nil"/>
                  </w:tcBorders>
                  <w:noWrap w:val="0"/>
                  <w:tcMar>
                    <w:top w:w="15" w:type="dxa"/>
                    <w:left w:w="15" w:type="dxa"/>
                    <w:right w:w="15" w:type="dxa"/>
                  </w:tcMar>
                  <w:vAlign w:val="center"/>
                </w:tcPr>
                <w:p w14:paraId="74F5B74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4EBA8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vMerge w:val="continue"/>
                  <w:tcBorders>
                    <w:tl2br w:val="nil"/>
                    <w:tr2bl w:val="nil"/>
                  </w:tcBorders>
                  <w:noWrap w:val="0"/>
                  <w:tcMar>
                    <w:top w:w="15" w:type="dxa"/>
                    <w:left w:w="15" w:type="dxa"/>
                    <w:right w:w="15" w:type="dxa"/>
                  </w:tcMar>
                  <w:vAlign w:val="center"/>
                </w:tcPr>
                <w:p w14:paraId="013F912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p>
              </w:tc>
              <w:tc>
                <w:tcPr>
                  <w:tcW w:w="2170" w:type="dxa"/>
                  <w:tcBorders>
                    <w:tl2br w:val="nil"/>
                    <w:tr2bl w:val="nil"/>
                  </w:tcBorders>
                  <w:noWrap w:val="0"/>
                  <w:tcMar>
                    <w:top w:w="15" w:type="dxa"/>
                    <w:left w:w="15" w:type="dxa"/>
                    <w:right w:w="15" w:type="dxa"/>
                  </w:tcMar>
                  <w:vAlign w:val="center"/>
                </w:tcPr>
                <w:p w14:paraId="41D3189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废催化剂</w:t>
                  </w:r>
                </w:p>
                <w:p w14:paraId="5FC6EF1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（HW50  772-007-50）</w:t>
                  </w:r>
                </w:p>
              </w:tc>
              <w:tc>
                <w:tcPr>
                  <w:tcW w:w="849" w:type="dxa"/>
                  <w:tcBorders>
                    <w:tl2br w:val="nil"/>
                    <w:tr2bl w:val="nil"/>
                  </w:tcBorders>
                  <w:noWrap w:val="0"/>
                  <w:tcMar>
                    <w:top w:w="15" w:type="dxa"/>
                    <w:left w:w="15" w:type="dxa"/>
                    <w:right w:w="15" w:type="dxa"/>
                  </w:tcMar>
                  <w:vAlign w:val="center"/>
                </w:tcPr>
                <w:p w14:paraId="406AA68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14:paraId="6EC4CB0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14:paraId="2CC5FCA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14:paraId="43C86D4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T</w:t>
                  </w:r>
                </w:p>
              </w:tc>
              <w:tc>
                <w:tcPr>
                  <w:tcW w:w="919" w:type="dxa"/>
                  <w:tcBorders>
                    <w:tl2br w:val="nil"/>
                    <w:tr2bl w:val="nil"/>
                  </w:tcBorders>
                  <w:noWrap w:val="0"/>
                  <w:tcMar>
                    <w:top w:w="15" w:type="dxa"/>
                    <w:left w:w="15" w:type="dxa"/>
                    <w:right w:w="15" w:type="dxa"/>
                  </w:tcMar>
                  <w:vAlign w:val="center"/>
                </w:tcPr>
                <w:p w14:paraId="64AE51D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val="en-US" w:eastAsia="zh-CN"/>
                    </w:rPr>
                    <w:t>.8t/</w:t>
                  </w:r>
                  <w:r>
                    <w:rPr>
                      <w:rFonts w:hint="eastAsia" w:cs="Times New Roman"/>
                      <w:color w:val="auto"/>
                      <w:sz w:val="21"/>
                      <w:szCs w:val="21"/>
                      <w:highlight w:val="none"/>
                      <w:shd w:val="clear" w:color="auto" w:fill="auto"/>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a</w:t>
                  </w:r>
                </w:p>
              </w:tc>
              <w:tc>
                <w:tcPr>
                  <w:tcW w:w="1267" w:type="dxa"/>
                  <w:tcBorders>
                    <w:tl2br w:val="nil"/>
                    <w:tr2bl w:val="nil"/>
                  </w:tcBorders>
                  <w:noWrap w:val="0"/>
                  <w:tcMar>
                    <w:top w:w="15" w:type="dxa"/>
                    <w:left w:w="15" w:type="dxa"/>
                    <w:right w:w="15" w:type="dxa"/>
                  </w:tcMar>
                  <w:vAlign w:val="center"/>
                </w:tcPr>
                <w:p w14:paraId="7EC4F07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专用容器密闭收集，暂存于危废间</w:t>
                  </w:r>
                </w:p>
              </w:tc>
              <w:tc>
                <w:tcPr>
                  <w:tcW w:w="1585" w:type="dxa"/>
                  <w:tcBorders>
                    <w:tl2br w:val="nil"/>
                    <w:tr2bl w:val="nil"/>
                  </w:tcBorders>
                  <w:noWrap w:val="0"/>
                  <w:tcMar>
                    <w:top w:w="15" w:type="dxa"/>
                    <w:left w:w="15" w:type="dxa"/>
                    <w:right w:w="15" w:type="dxa"/>
                  </w:tcMar>
                  <w:vAlign w:val="center"/>
                </w:tcPr>
                <w:p w14:paraId="1AF51DC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71" w:type="dxa"/>
                  <w:tcBorders>
                    <w:tl2br w:val="nil"/>
                    <w:tr2bl w:val="nil"/>
                  </w:tcBorders>
                  <w:noWrap w:val="0"/>
                  <w:tcMar>
                    <w:top w:w="15" w:type="dxa"/>
                    <w:left w:w="15" w:type="dxa"/>
                    <w:right w:w="15" w:type="dxa"/>
                  </w:tcMar>
                  <w:vAlign w:val="center"/>
                </w:tcPr>
                <w:p w14:paraId="358E8E0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val="en-US" w:eastAsia="zh-CN"/>
                    </w:rPr>
                    <w:t>.8t/</w:t>
                  </w:r>
                  <w:r>
                    <w:rPr>
                      <w:rFonts w:hint="eastAsia" w:cs="Times New Roman"/>
                      <w:color w:val="auto"/>
                      <w:sz w:val="21"/>
                      <w:szCs w:val="21"/>
                      <w:highlight w:val="none"/>
                      <w:shd w:val="clear" w:color="auto" w:fill="auto"/>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a</w:t>
                  </w:r>
                </w:p>
              </w:tc>
              <w:tc>
                <w:tcPr>
                  <w:tcW w:w="1690" w:type="dxa"/>
                  <w:vMerge w:val="continue"/>
                  <w:tcBorders>
                    <w:tl2br w:val="nil"/>
                    <w:tr2bl w:val="nil"/>
                  </w:tcBorders>
                  <w:noWrap w:val="0"/>
                  <w:tcMar>
                    <w:top w:w="15" w:type="dxa"/>
                    <w:left w:w="15" w:type="dxa"/>
                    <w:right w:w="15" w:type="dxa"/>
                  </w:tcMar>
                  <w:vAlign w:val="center"/>
                </w:tcPr>
                <w:p w14:paraId="311AF03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6FC1C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vMerge w:val="continue"/>
                  <w:tcBorders>
                    <w:tl2br w:val="nil"/>
                    <w:tr2bl w:val="nil"/>
                  </w:tcBorders>
                  <w:noWrap w:val="0"/>
                  <w:tcMar>
                    <w:top w:w="15" w:type="dxa"/>
                    <w:left w:w="15" w:type="dxa"/>
                    <w:right w:w="15" w:type="dxa"/>
                  </w:tcMar>
                  <w:vAlign w:val="center"/>
                </w:tcPr>
                <w:p w14:paraId="4C6687A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p>
              </w:tc>
              <w:tc>
                <w:tcPr>
                  <w:tcW w:w="2170" w:type="dxa"/>
                  <w:tcBorders>
                    <w:tl2br w:val="nil"/>
                    <w:tr2bl w:val="nil"/>
                  </w:tcBorders>
                  <w:noWrap w:val="0"/>
                  <w:tcMar>
                    <w:top w:w="15" w:type="dxa"/>
                    <w:left w:w="15" w:type="dxa"/>
                    <w:right w:w="15" w:type="dxa"/>
                  </w:tcMar>
                  <w:vAlign w:val="center"/>
                </w:tcPr>
                <w:p w14:paraId="5DFE57E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废沸石分子筛</w:t>
                  </w:r>
                </w:p>
                <w:p w14:paraId="540413B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（HW49  900-</w:t>
                  </w:r>
                  <w:r>
                    <w:rPr>
                      <w:rFonts w:hint="eastAsia" w:cs="Times New Roman"/>
                      <w:color w:val="auto"/>
                      <w:sz w:val="21"/>
                      <w:szCs w:val="21"/>
                      <w:highlight w:val="none"/>
                      <w:shd w:val="clear" w:color="auto" w:fill="auto"/>
                      <w:lang w:val="en-US" w:eastAsia="zh-CN"/>
                    </w:rPr>
                    <w:t>041</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49</w:t>
                  </w:r>
                  <w:r>
                    <w:rPr>
                      <w:rFonts w:hint="eastAsia" w:ascii="Times New Roman" w:hAnsi="Times New Roman" w:eastAsia="宋体" w:cs="Times New Roman"/>
                      <w:color w:val="auto"/>
                      <w:sz w:val="21"/>
                      <w:szCs w:val="21"/>
                      <w:highlight w:val="none"/>
                      <w:shd w:val="clear" w:color="auto" w:fill="auto"/>
                      <w:lang w:val="en-US" w:eastAsia="zh-CN"/>
                    </w:rPr>
                    <w:t>）</w:t>
                  </w:r>
                </w:p>
              </w:tc>
              <w:tc>
                <w:tcPr>
                  <w:tcW w:w="849" w:type="dxa"/>
                  <w:tcBorders>
                    <w:tl2br w:val="nil"/>
                    <w:tr2bl w:val="nil"/>
                  </w:tcBorders>
                  <w:noWrap w:val="0"/>
                  <w:tcMar>
                    <w:top w:w="15" w:type="dxa"/>
                    <w:left w:w="15" w:type="dxa"/>
                    <w:right w:w="15" w:type="dxa"/>
                  </w:tcMar>
                  <w:vAlign w:val="center"/>
                </w:tcPr>
                <w:p w14:paraId="5BDE895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14:paraId="508A73B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14:paraId="1C81AB7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14:paraId="09B661F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T/In</w:t>
                  </w:r>
                </w:p>
              </w:tc>
              <w:tc>
                <w:tcPr>
                  <w:tcW w:w="919" w:type="dxa"/>
                  <w:tcBorders>
                    <w:tl2br w:val="nil"/>
                    <w:tr2bl w:val="nil"/>
                  </w:tcBorders>
                  <w:noWrap w:val="0"/>
                  <w:tcMar>
                    <w:top w:w="15" w:type="dxa"/>
                    <w:left w:w="15" w:type="dxa"/>
                    <w:right w:w="15" w:type="dxa"/>
                  </w:tcMar>
                  <w:vAlign w:val="center"/>
                </w:tcPr>
                <w:p w14:paraId="0BDC775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r>
                    <w:rPr>
                      <w:rFonts w:hint="eastAsia" w:ascii="Times New Roman" w:hAnsi="Times New Roman" w:cs="Times New Roman"/>
                      <w:color w:val="auto"/>
                      <w:sz w:val="21"/>
                      <w:szCs w:val="21"/>
                      <w:highlight w:val="none"/>
                      <w:shd w:val="clear" w:color="auto" w:fill="auto"/>
                      <w:lang w:val="en-US" w:eastAsia="zh-CN"/>
                    </w:rPr>
                    <w:t>t/</w:t>
                  </w:r>
                  <w:r>
                    <w:rPr>
                      <w:rFonts w:hint="eastAsia" w:cs="Times New Roman"/>
                      <w:color w:val="auto"/>
                      <w:sz w:val="21"/>
                      <w:szCs w:val="21"/>
                      <w:highlight w:val="none"/>
                      <w:shd w:val="clear" w:color="auto" w:fill="auto"/>
                      <w:lang w:val="en-US" w:eastAsia="zh-CN"/>
                    </w:rPr>
                    <w:t>3</w:t>
                  </w:r>
                  <w:r>
                    <w:rPr>
                      <w:rFonts w:hint="eastAsia" w:ascii="Times New Roman" w:hAnsi="Times New Roman" w:cs="Times New Roman"/>
                      <w:color w:val="auto"/>
                      <w:sz w:val="21"/>
                      <w:szCs w:val="21"/>
                      <w:highlight w:val="none"/>
                      <w:shd w:val="clear" w:color="auto" w:fill="auto"/>
                      <w:lang w:val="en-US" w:eastAsia="zh-CN"/>
                    </w:rPr>
                    <w:t>a</w:t>
                  </w:r>
                </w:p>
              </w:tc>
              <w:tc>
                <w:tcPr>
                  <w:tcW w:w="2852" w:type="dxa"/>
                  <w:gridSpan w:val="2"/>
                  <w:tcBorders>
                    <w:tl2br w:val="nil"/>
                    <w:tr2bl w:val="nil"/>
                  </w:tcBorders>
                  <w:noWrap w:val="0"/>
                  <w:tcMar>
                    <w:top w:w="15" w:type="dxa"/>
                    <w:left w:w="15" w:type="dxa"/>
                    <w:right w:w="15" w:type="dxa"/>
                  </w:tcMar>
                  <w:vAlign w:val="center"/>
                </w:tcPr>
                <w:p w14:paraId="029334A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w:t>
                  </w:r>
                  <w:r>
                    <w:rPr>
                      <w:rFonts w:hint="eastAsia" w:cs="Times New Roman"/>
                      <w:color w:val="auto"/>
                      <w:sz w:val="21"/>
                      <w:szCs w:val="21"/>
                      <w:highlight w:val="none"/>
                      <w:shd w:val="clear" w:color="auto" w:fill="auto"/>
                      <w:lang w:val="en-US" w:eastAsia="zh-CN"/>
                    </w:rPr>
                    <w:t>直接由有资质单位运走处置，不在厂区储存</w:t>
                  </w:r>
                </w:p>
              </w:tc>
              <w:tc>
                <w:tcPr>
                  <w:tcW w:w="971" w:type="dxa"/>
                  <w:tcBorders>
                    <w:tl2br w:val="nil"/>
                    <w:tr2bl w:val="nil"/>
                  </w:tcBorders>
                  <w:noWrap w:val="0"/>
                  <w:tcMar>
                    <w:top w:w="15" w:type="dxa"/>
                    <w:left w:w="15" w:type="dxa"/>
                    <w:right w:w="15" w:type="dxa"/>
                  </w:tcMar>
                  <w:vAlign w:val="center"/>
                </w:tcPr>
                <w:p w14:paraId="6FE7E66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r>
                    <w:rPr>
                      <w:rFonts w:hint="eastAsia" w:ascii="Times New Roman" w:hAnsi="Times New Roman" w:cs="Times New Roman"/>
                      <w:color w:val="auto"/>
                      <w:sz w:val="21"/>
                      <w:szCs w:val="21"/>
                      <w:highlight w:val="none"/>
                      <w:shd w:val="clear" w:color="auto" w:fill="auto"/>
                      <w:lang w:val="en-US" w:eastAsia="zh-CN"/>
                    </w:rPr>
                    <w:t>t/</w:t>
                  </w:r>
                  <w:r>
                    <w:rPr>
                      <w:rFonts w:hint="eastAsia" w:cs="Times New Roman"/>
                      <w:color w:val="auto"/>
                      <w:sz w:val="21"/>
                      <w:szCs w:val="21"/>
                      <w:highlight w:val="none"/>
                      <w:shd w:val="clear" w:color="auto" w:fill="auto"/>
                      <w:lang w:val="en-US" w:eastAsia="zh-CN"/>
                    </w:rPr>
                    <w:t>3</w:t>
                  </w:r>
                  <w:r>
                    <w:rPr>
                      <w:rFonts w:hint="eastAsia" w:ascii="Times New Roman" w:hAnsi="Times New Roman" w:cs="Times New Roman"/>
                      <w:color w:val="auto"/>
                      <w:sz w:val="21"/>
                      <w:szCs w:val="21"/>
                      <w:highlight w:val="none"/>
                      <w:shd w:val="clear" w:color="auto" w:fill="auto"/>
                      <w:lang w:val="en-US" w:eastAsia="zh-CN"/>
                    </w:rPr>
                    <w:t>a</w:t>
                  </w:r>
                </w:p>
              </w:tc>
              <w:tc>
                <w:tcPr>
                  <w:tcW w:w="1690" w:type="dxa"/>
                  <w:vMerge w:val="continue"/>
                  <w:tcBorders>
                    <w:tl2br w:val="nil"/>
                    <w:tr2bl w:val="nil"/>
                  </w:tcBorders>
                  <w:noWrap w:val="0"/>
                  <w:tcMar>
                    <w:top w:w="15" w:type="dxa"/>
                    <w:left w:w="15" w:type="dxa"/>
                    <w:right w:w="15" w:type="dxa"/>
                  </w:tcMar>
                  <w:vAlign w:val="center"/>
                </w:tcPr>
                <w:p w14:paraId="56EAA52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14:paraId="667E5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2926" w:type="dxa"/>
                  <w:gridSpan w:val="11"/>
                  <w:tcBorders>
                    <w:tl2br w:val="nil"/>
                    <w:tr2bl w:val="nil"/>
                  </w:tcBorders>
                  <w:noWrap w:val="0"/>
                  <w:tcMar>
                    <w:top w:w="15" w:type="dxa"/>
                    <w:left w:w="15" w:type="dxa"/>
                    <w:right w:w="15" w:type="dxa"/>
                  </w:tcMar>
                  <w:vAlign w:val="center"/>
                </w:tcPr>
                <w:p w14:paraId="077E0B3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left"/>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备注：废纸盒、废过滤棉产生量包含截留的颗粒物量。</w:t>
                  </w:r>
                </w:p>
              </w:tc>
            </w:tr>
          </w:tbl>
          <w:p w14:paraId="4C89424A">
            <w:pPr>
              <w:ind w:left="0" w:leftChars="0" w:firstLine="0" w:firstLineChars="0"/>
              <w:rPr>
                <w:rFonts w:hint="eastAsia" w:ascii="黑体" w:hAnsi="黑体" w:eastAsia="黑体"/>
                <w:snapToGrid w:val="0"/>
                <w:color w:val="auto"/>
                <w:sz w:val="30"/>
                <w:szCs w:val="30"/>
                <w:highlight w:val="none"/>
                <w:vertAlign w:val="baseline"/>
              </w:rPr>
            </w:pPr>
          </w:p>
        </w:tc>
      </w:tr>
    </w:tbl>
    <w:p w14:paraId="1DC169C3">
      <w:pPr>
        <w:rPr>
          <w:rFonts w:hint="eastAsia" w:ascii="黑体" w:hAnsi="黑体" w:eastAsia="黑体"/>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黑体" w:hAnsi="黑体" w:eastAsia="黑体"/>
          <w:snapToGrid w:val="0"/>
          <w:color w:val="auto"/>
          <w:sz w:val="30"/>
          <w:szCs w:val="30"/>
          <w:highlight w:val="none"/>
        </w:rPr>
        <w:br w:type="page"/>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629"/>
      </w:tblGrid>
      <w:tr w14:paraId="4A10D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9" w:type="dxa"/>
            <w:tcBorders>
              <w:tl2br w:val="nil"/>
              <w:tr2bl w:val="nil"/>
            </w:tcBorders>
          </w:tcPr>
          <w:p w14:paraId="4FCA08FB">
            <w:pPr>
              <w:rPr>
                <w:rFonts w:hint="eastAsia" w:ascii="黑体" w:hAnsi="黑体" w:eastAsia="黑体"/>
                <w:snapToGrid w:val="0"/>
                <w:color w:val="auto"/>
                <w:sz w:val="30"/>
                <w:szCs w:val="30"/>
                <w:highlight w:val="none"/>
                <w:vertAlign w:val="baseline"/>
              </w:rPr>
            </w:pPr>
          </w:p>
        </w:tc>
        <w:tc>
          <w:tcPr>
            <w:tcW w:w="8629" w:type="dxa"/>
            <w:tcBorders>
              <w:tl2br w:val="nil"/>
              <w:tr2bl w:val="nil"/>
            </w:tcBorders>
            <w:vAlign w:val="top"/>
          </w:tcPr>
          <w:p w14:paraId="420030E4">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rightChars="0" w:firstLine="482" w:firstLineChars="200"/>
              <w:textAlignment w:val="auto"/>
              <w:rPr>
                <w:rFonts w:hint="default"/>
                <w:b/>
                <w:bCs/>
                <w:color w:val="auto"/>
                <w:sz w:val="24"/>
                <w:szCs w:val="24"/>
                <w:highlight w:val="none"/>
              </w:rPr>
            </w:pPr>
            <w:r>
              <w:rPr>
                <w:rFonts w:hint="eastAsia" w:cs="Times New Roman"/>
                <w:b/>
                <w:bCs/>
                <w:color w:val="auto"/>
                <w:sz w:val="24"/>
                <w:szCs w:val="24"/>
                <w:highlight w:val="none"/>
                <w:lang w:val="en-US" w:eastAsia="zh-CN"/>
              </w:rPr>
              <w:t>4.2.2</w:t>
            </w:r>
            <w:r>
              <w:rPr>
                <w:rFonts w:hint="default"/>
                <w:b/>
                <w:bCs/>
                <w:color w:val="auto"/>
                <w:sz w:val="24"/>
                <w:szCs w:val="24"/>
                <w:highlight w:val="none"/>
              </w:rPr>
              <w:t>危险废物环境管理要求</w:t>
            </w:r>
          </w:p>
          <w:p w14:paraId="233330E8">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危险废物应按</w:t>
            </w:r>
            <w:r>
              <w:rPr>
                <w:rFonts w:hint="eastAsia"/>
                <w:color w:val="auto"/>
                <w:sz w:val="24"/>
                <w:szCs w:val="24"/>
                <w:highlight w:val="none"/>
                <w:lang w:eastAsia="zh-CN"/>
              </w:rPr>
              <w:t>《危险废物贮存污染控制标准》（GB18597-2023）</w:t>
            </w:r>
            <w:r>
              <w:rPr>
                <w:rFonts w:hint="default"/>
                <w:color w:val="auto"/>
                <w:sz w:val="24"/>
                <w:szCs w:val="24"/>
                <w:highlight w:val="none"/>
              </w:rPr>
              <w:t>、《危险废物收集、贮存、运输技术规范》</w:t>
            </w:r>
            <w:r>
              <w:rPr>
                <w:rFonts w:hint="eastAsia"/>
                <w:color w:val="auto"/>
                <w:sz w:val="24"/>
                <w:szCs w:val="24"/>
                <w:highlight w:val="none"/>
                <w:lang w:eastAsia="zh-CN"/>
              </w:rPr>
              <w:t>（</w:t>
            </w:r>
            <w:r>
              <w:rPr>
                <w:rFonts w:hint="default"/>
                <w:color w:val="auto"/>
                <w:sz w:val="24"/>
                <w:szCs w:val="24"/>
                <w:highlight w:val="none"/>
              </w:rPr>
              <w:t>HJ2025-2012</w:t>
            </w:r>
            <w:r>
              <w:rPr>
                <w:rFonts w:hint="eastAsia"/>
                <w:color w:val="auto"/>
                <w:sz w:val="24"/>
                <w:szCs w:val="24"/>
                <w:highlight w:val="none"/>
                <w:lang w:eastAsia="zh-CN"/>
              </w:rPr>
              <w:t>）</w:t>
            </w:r>
            <w:r>
              <w:rPr>
                <w:rFonts w:hint="default"/>
                <w:color w:val="auto"/>
                <w:sz w:val="24"/>
                <w:szCs w:val="24"/>
                <w:highlight w:val="none"/>
              </w:rPr>
              <w:t>和《河北省环境保护厅办公室关于建设全省危险废物智能监控体系的通知》</w:t>
            </w:r>
            <w:r>
              <w:rPr>
                <w:rFonts w:hint="eastAsia"/>
                <w:color w:val="auto"/>
                <w:sz w:val="24"/>
                <w:szCs w:val="24"/>
                <w:highlight w:val="none"/>
                <w:lang w:eastAsia="zh-CN"/>
              </w:rPr>
              <w:t>（</w:t>
            </w:r>
            <w:r>
              <w:rPr>
                <w:rFonts w:hint="default"/>
                <w:color w:val="auto"/>
                <w:sz w:val="24"/>
                <w:szCs w:val="24"/>
                <w:highlight w:val="none"/>
              </w:rPr>
              <w:t>冀环办发[2017]11</w:t>
            </w:r>
            <w:r>
              <w:rPr>
                <w:rFonts w:hint="eastAsia"/>
                <w:color w:val="auto"/>
                <w:sz w:val="24"/>
                <w:szCs w:val="24"/>
                <w:highlight w:val="none"/>
              </w:rPr>
              <w:t>2号</w:t>
            </w:r>
            <w:r>
              <w:rPr>
                <w:rFonts w:hint="eastAsia"/>
                <w:color w:val="auto"/>
                <w:sz w:val="24"/>
                <w:szCs w:val="24"/>
                <w:highlight w:val="none"/>
                <w:lang w:eastAsia="zh-CN"/>
              </w:rPr>
              <w:t>）</w:t>
            </w:r>
            <w:r>
              <w:rPr>
                <w:rFonts w:hint="default"/>
                <w:color w:val="auto"/>
                <w:sz w:val="24"/>
                <w:szCs w:val="24"/>
                <w:highlight w:val="none"/>
              </w:rPr>
              <w:t>、《关于发布&lt;建设项目危险废物环境影响评价指南&gt;的公告》（环境保护部公告2017年第43号）中的相关内容要求进行处理处置。</w:t>
            </w:r>
          </w:p>
          <w:p w14:paraId="669C2B43">
            <w:pPr>
              <w:bidi w:val="0"/>
              <w:rPr>
                <w:rFonts w:hint="default"/>
                <w:color w:val="auto"/>
                <w:highlight w:val="none"/>
              </w:rPr>
            </w:pPr>
            <w:r>
              <w:rPr>
                <w:rFonts w:hint="default"/>
                <w:color w:val="auto"/>
                <w:highlight w:val="none"/>
              </w:rPr>
              <w:t>本项目</w:t>
            </w:r>
            <w:r>
              <w:rPr>
                <w:rFonts w:hint="eastAsia"/>
                <w:color w:val="auto"/>
                <w:highlight w:val="none"/>
                <w:lang w:val="en-US" w:eastAsia="zh-CN"/>
              </w:rPr>
              <w:t>建成后</w:t>
            </w:r>
            <w:r>
              <w:rPr>
                <w:rFonts w:hint="default"/>
                <w:color w:val="auto"/>
                <w:highlight w:val="none"/>
              </w:rPr>
              <w:t>拟采取以下措施：</w:t>
            </w:r>
          </w:p>
          <w:p w14:paraId="7A979905">
            <w:pPr>
              <w:bidi w:val="0"/>
              <w:rPr>
                <w:rFonts w:hint="default"/>
                <w:color w:val="auto"/>
                <w:highlight w:val="none"/>
              </w:rPr>
            </w:pPr>
            <w:r>
              <w:rPr>
                <w:rFonts w:hint="eastAsia"/>
                <w:color w:val="auto"/>
                <w:highlight w:val="none"/>
                <w:lang w:val="en-US" w:eastAsia="zh-CN"/>
              </w:rPr>
              <w:t>4.3.2.1</w:t>
            </w:r>
            <w:r>
              <w:rPr>
                <w:rFonts w:hint="default"/>
                <w:color w:val="auto"/>
                <w:highlight w:val="none"/>
              </w:rPr>
              <w:t>危险废物收集</w:t>
            </w:r>
            <w:r>
              <w:rPr>
                <w:rFonts w:hint="default"/>
                <w:color w:val="auto"/>
                <w:highlight w:val="none"/>
              </w:rPr>
              <w:tab/>
            </w:r>
          </w:p>
          <w:p w14:paraId="302DCA70">
            <w:pPr>
              <w:bidi w:val="0"/>
              <w:rPr>
                <w:rFonts w:hint="default"/>
                <w:color w:val="auto"/>
                <w:highlight w:val="none"/>
              </w:rPr>
            </w:pPr>
            <w:r>
              <w:rPr>
                <w:rFonts w:hint="default"/>
                <w:color w:val="auto"/>
                <w:highlight w:val="none"/>
              </w:rPr>
              <w:t>将</w:t>
            </w:r>
            <w:r>
              <w:rPr>
                <w:rFonts w:hint="eastAsia"/>
                <w:color w:val="auto"/>
                <w:highlight w:val="none"/>
                <w:lang w:val="en-US" w:eastAsia="zh-CN"/>
              </w:rPr>
              <w:t>废稀释剂、废漆渣、废遮蔽物桶装加盖收集，废纸盒、废过滤棉、废催化剂、废沸石转轮分子筛采用专用容器收集，</w:t>
            </w:r>
            <w:r>
              <w:rPr>
                <w:rFonts w:hint="default"/>
                <w:color w:val="auto"/>
                <w:highlight w:val="none"/>
              </w:rPr>
              <w:t>容器</w:t>
            </w:r>
            <w:r>
              <w:rPr>
                <w:rFonts w:hint="eastAsia"/>
                <w:color w:val="auto"/>
                <w:highlight w:val="none"/>
                <w:lang w:val="en-US" w:eastAsia="zh-CN"/>
              </w:rPr>
              <w:t>应达到防渗、防漏、防腐和强度等要求，内部留有适当的空间，以适应因温度变化等可能引发的收缩和膨胀，防止其导致容器渗漏或永久变形</w:t>
            </w:r>
            <w:r>
              <w:rPr>
                <w:rFonts w:hint="default"/>
                <w:color w:val="auto"/>
                <w:highlight w:val="none"/>
              </w:rPr>
              <w:t>。</w:t>
            </w:r>
          </w:p>
          <w:p w14:paraId="31CCF43A">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eastAsia"/>
                <w:color w:val="auto"/>
                <w:sz w:val="24"/>
                <w:szCs w:val="24"/>
                <w:highlight w:val="none"/>
                <w:lang w:val="en-US" w:eastAsia="zh-CN"/>
              </w:rPr>
              <w:t>4.3.2.2</w:t>
            </w:r>
            <w:r>
              <w:rPr>
                <w:rFonts w:hint="default"/>
                <w:color w:val="auto"/>
                <w:sz w:val="24"/>
                <w:szCs w:val="24"/>
                <w:highlight w:val="none"/>
              </w:rPr>
              <w:t>危险废物贮存</w:t>
            </w:r>
          </w:p>
          <w:p w14:paraId="3BF4D18B">
            <w:pPr>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贮存设施选址要求</w:t>
            </w:r>
          </w:p>
          <w:p w14:paraId="11248B9B">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80" w:firstLineChars="200"/>
              <w:textAlignment w:val="auto"/>
              <w:rPr>
                <w:rFonts w:hint="eastAsia"/>
                <w:color w:val="auto"/>
                <w:highlight w:val="none"/>
                <w:lang w:val="en-US" w:eastAsia="zh-CN"/>
              </w:rPr>
            </w:pPr>
            <w:r>
              <w:rPr>
                <w:rFonts w:hint="eastAsia"/>
                <w:color w:val="auto"/>
                <w:highlight w:val="none"/>
                <w:lang w:val="en-US" w:eastAsia="zh-CN"/>
              </w:rPr>
              <w:t>①贮存设施选址应满足生态环境保护法律法规、规划和“三线一单”生态环境分区管控的要求，建设项目应依法进行环境影响评价。</w:t>
            </w:r>
          </w:p>
          <w:p w14:paraId="677F6D24">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80" w:firstLineChars="200"/>
              <w:textAlignment w:val="auto"/>
              <w:rPr>
                <w:rFonts w:hint="default"/>
                <w:color w:val="auto"/>
                <w:highlight w:val="none"/>
                <w:lang w:val="en-US" w:eastAsia="zh-CN"/>
              </w:rPr>
            </w:pPr>
            <w:r>
              <w:rPr>
                <w:rFonts w:hint="eastAsia"/>
                <w:color w:val="auto"/>
                <w:highlight w:val="none"/>
                <w:lang w:val="en-US" w:eastAsia="zh-CN"/>
              </w:rPr>
              <w:t>②</w:t>
            </w:r>
            <w:r>
              <w:rPr>
                <w:rFonts w:hint="default"/>
                <w:color w:val="auto"/>
                <w:highlight w:val="none"/>
                <w:lang w:val="en-US" w:eastAsia="zh-CN"/>
              </w:rPr>
              <w:t>集中贮存设施不应选在生态保护红线区域、永久基本农田和其他需要特别保护的区域内，不应建在溶洞区或易遭受洪水、滑坡、泥石流、潮汐等严重自然灾害影响的地区</w:t>
            </w:r>
            <w:r>
              <w:rPr>
                <w:rFonts w:hint="eastAsia"/>
                <w:color w:val="auto"/>
                <w:highlight w:val="none"/>
                <w:lang w:val="en-US" w:eastAsia="zh-CN"/>
              </w:rPr>
              <w:t>。</w:t>
            </w:r>
          </w:p>
          <w:p w14:paraId="0CEAE771">
            <w:pPr>
              <w:bidi w:val="0"/>
              <w:rPr>
                <w:rFonts w:hint="default"/>
                <w:color w:val="auto"/>
                <w:highlight w:val="none"/>
                <w:lang w:val="en-US" w:eastAsia="zh-CN"/>
              </w:rPr>
            </w:pPr>
            <w:r>
              <w:rPr>
                <w:rFonts w:hint="default"/>
                <w:color w:val="auto"/>
                <w:highlight w:val="none"/>
                <w:lang w:val="en-US" w:eastAsia="zh-CN"/>
              </w:rPr>
              <w:t>③贮存设施不应选在江河、湖泊、运河、渠道、水库及其最高水位线以下的滩地和岸坡，以及法律法规规定禁止贮存危险废物的其他地点</w:t>
            </w:r>
            <w:r>
              <w:rPr>
                <w:rFonts w:hint="eastAsia"/>
                <w:color w:val="auto"/>
                <w:highlight w:val="none"/>
                <w:lang w:val="en-US" w:eastAsia="zh-CN"/>
              </w:rPr>
              <w:t>。</w:t>
            </w:r>
          </w:p>
          <w:p w14:paraId="3EB1321D">
            <w:pPr>
              <w:bidi w:val="0"/>
              <w:rPr>
                <w:rFonts w:hint="default"/>
                <w:color w:val="auto"/>
                <w:highlight w:val="none"/>
                <w:lang w:val="en-US" w:eastAsia="zh-CN"/>
              </w:rPr>
            </w:pPr>
            <w:r>
              <w:rPr>
                <w:rFonts w:hint="default"/>
                <w:color w:val="auto"/>
                <w:highlight w:val="none"/>
                <w:lang w:val="en-US" w:eastAsia="zh-CN"/>
              </w:rPr>
              <w:t>④贮存设施场址的位置以及其与周围环境敏感目标的距离应依据环境影响评价文件确定</w:t>
            </w:r>
            <w:r>
              <w:rPr>
                <w:rFonts w:hint="eastAsia"/>
                <w:color w:val="auto"/>
                <w:highlight w:val="none"/>
                <w:lang w:val="en-US" w:eastAsia="zh-CN"/>
              </w:rPr>
              <w:t>。</w:t>
            </w:r>
          </w:p>
          <w:p w14:paraId="7AA9541C">
            <w:pPr>
              <w:bidi w:val="0"/>
              <w:rPr>
                <w:rFonts w:hint="default"/>
                <w:color w:val="auto"/>
                <w:highlight w:val="none"/>
                <w:lang w:val="en-US" w:eastAsia="zh-CN"/>
              </w:rPr>
            </w:pPr>
            <w:r>
              <w:rPr>
                <w:rFonts w:hint="eastAsia"/>
                <w:color w:val="auto"/>
                <w:highlight w:val="none"/>
                <w:lang w:val="en-US" w:eastAsia="zh-CN"/>
              </w:rPr>
              <w:t>本项目的建设满足生态环境保护法律法规、规划和“三线一单”生态环境分区管控的要求，不在</w:t>
            </w:r>
            <w:r>
              <w:rPr>
                <w:rFonts w:hint="default"/>
                <w:color w:val="auto"/>
                <w:highlight w:val="none"/>
                <w:lang w:val="en-US" w:eastAsia="zh-CN"/>
              </w:rPr>
              <w:t>生态保护红线区域、永久基本农田和其他需要特别保护的区域内，不在溶洞区或易遭受洪水、滑坡、泥石流、潮汐等严重自然灾害影响的地区</w:t>
            </w:r>
            <w:r>
              <w:rPr>
                <w:rFonts w:hint="eastAsia"/>
                <w:color w:val="auto"/>
                <w:highlight w:val="none"/>
                <w:lang w:val="en-US" w:eastAsia="zh-CN"/>
              </w:rPr>
              <w:t>，不在</w:t>
            </w:r>
            <w:r>
              <w:rPr>
                <w:rFonts w:hint="default"/>
                <w:color w:val="auto"/>
                <w:highlight w:val="none"/>
                <w:lang w:val="en-US" w:eastAsia="zh-CN"/>
              </w:rPr>
              <w:t>江河、湖泊、运河、渠道、水库及其最高水位线以下的滩地和岸坡</w:t>
            </w:r>
            <w:r>
              <w:rPr>
                <w:rFonts w:hint="eastAsia"/>
                <w:color w:val="auto"/>
                <w:highlight w:val="none"/>
                <w:lang w:val="en-US" w:eastAsia="zh-CN"/>
              </w:rPr>
              <w:t>，同时不在</w:t>
            </w:r>
            <w:r>
              <w:rPr>
                <w:rFonts w:hint="default"/>
                <w:color w:val="auto"/>
                <w:highlight w:val="none"/>
                <w:lang w:val="en-US" w:eastAsia="zh-CN"/>
              </w:rPr>
              <w:t>法律法规规定禁止贮存危险废物的其他地点</w:t>
            </w:r>
            <w:r>
              <w:rPr>
                <w:rFonts w:hint="eastAsia"/>
                <w:color w:val="auto"/>
                <w:highlight w:val="none"/>
                <w:lang w:val="en-US" w:eastAsia="zh-CN"/>
              </w:rPr>
              <w:t>，满足贮存设施选址要求。</w:t>
            </w:r>
          </w:p>
          <w:p w14:paraId="30D171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lang w:val="en-US" w:eastAsia="zh-CN"/>
              </w:rPr>
              <w:t>贮存设施污染控制要求</w:t>
            </w:r>
          </w:p>
          <w:p w14:paraId="07FA7982">
            <w:pPr>
              <w:bidi w:val="0"/>
              <w:rPr>
                <w:rFonts w:hint="eastAsia"/>
                <w:color w:val="auto"/>
                <w:highlight w:val="none"/>
                <w:lang w:val="en-US" w:eastAsia="zh-CN"/>
              </w:rPr>
            </w:pPr>
            <w:r>
              <w:rPr>
                <w:rFonts w:hint="eastAsia"/>
                <w:color w:val="auto"/>
                <w:highlight w:val="none"/>
                <w:lang w:val="en-US" w:eastAsia="zh-CN"/>
              </w:rPr>
              <w:t>①贮存设施应根据危险废物的形态、物理化学性质、包装形式和污染物迁移途径，采取必要的防风、防晒、防雨、防漏、防渗、防腐以及其他环境污染防治措施，不得露天堆放危险废物。</w:t>
            </w:r>
          </w:p>
          <w:p w14:paraId="066D9CEE">
            <w:pPr>
              <w:bidi w:val="0"/>
              <w:rPr>
                <w:rFonts w:hint="default"/>
                <w:color w:val="auto"/>
                <w:highlight w:val="none"/>
                <w:lang w:val="en-US" w:eastAsia="zh-CN"/>
              </w:rPr>
            </w:pPr>
            <w:r>
              <w:rPr>
                <w:rFonts w:hint="default"/>
                <w:color w:val="auto"/>
                <w:highlight w:val="none"/>
                <w:lang w:val="en-US" w:eastAsia="zh-CN"/>
              </w:rPr>
              <w:t>②贮存设施或贮存分区内地面、墙面裙脚、堵截泄漏的围堰、接触危险废物的隔板和墙体等应采用坚固的材料建造，表面无裂缝</w:t>
            </w:r>
            <w:r>
              <w:rPr>
                <w:rFonts w:hint="eastAsia"/>
                <w:color w:val="auto"/>
                <w:highlight w:val="none"/>
                <w:lang w:val="en-US" w:eastAsia="zh-CN"/>
              </w:rPr>
              <w:t>。</w:t>
            </w:r>
          </w:p>
          <w:p w14:paraId="6DBADD97">
            <w:pPr>
              <w:bidi w:val="0"/>
              <w:rPr>
                <w:rFonts w:hint="default"/>
                <w:color w:val="auto"/>
                <w:sz w:val="24"/>
                <w:szCs w:val="24"/>
                <w:highlight w:val="none"/>
                <w:lang w:val="en-US" w:eastAsia="zh-CN"/>
              </w:rPr>
            </w:pPr>
            <w:r>
              <w:rPr>
                <w:rFonts w:hint="default"/>
                <w:color w:val="auto"/>
                <w:sz w:val="24"/>
                <w:szCs w:val="24"/>
                <w:highlight w:val="none"/>
                <w:lang w:val="en-US" w:eastAsia="zh-CN"/>
              </w:rPr>
              <w:t>③贮存设施地面与裙脚应采取表面防渗措施；表面防渗材料应与所接触的物料或污染物相容，可采用抗渗混凝土、高密度聚乙烯膜、钠基膨润土防水毯或其他防渗性能等效的材料。贮存的危险废物直接接触地面的，</w:t>
            </w:r>
            <w:r>
              <w:rPr>
                <w:rFonts w:hint="eastAsia"/>
                <w:color w:val="auto"/>
                <w:sz w:val="24"/>
                <w:szCs w:val="24"/>
                <w:highlight w:val="none"/>
                <w:lang w:val="en-US" w:eastAsia="zh-CN"/>
              </w:rPr>
              <w:t>需</w:t>
            </w:r>
            <w:r>
              <w:rPr>
                <w:rFonts w:hint="default"/>
                <w:color w:val="auto"/>
                <w:sz w:val="24"/>
                <w:szCs w:val="24"/>
                <w:highlight w:val="none"/>
                <w:lang w:val="en-US" w:eastAsia="zh-CN"/>
              </w:rPr>
              <w:t>进行基础防渗，防渗层为至少1m厚黏土层（渗透系数不大于10</w:t>
            </w:r>
            <w:r>
              <w:rPr>
                <w:rFonts w:hint="default"/>
                <w:color w:val="auto"/>
                <w:sz w:val="24"/>
                <w:szCs w:val="24"/>
                <w:highlight w:val="none"/>
                <w:vertAlign w:val="superscript"/>
                <w:lang w:val="en-US" w:eastAsia="zh-CN"/>
              </w:rPr>
              <w:t>-7</w:t>
            </w:r>
            <w:r>
              <w:rPr>
                <w:rFonts w:hint="default"/>
                <w:color w:val="auto"/>
                <w:sz w:val="24"/>
                <w:szCs w:val="24"/>
                <w:highlight w:val="none"/>
                <w:lang w:val="en-US" w:eastAsia="zh-CN"/>
              </w:rPr>
              <w:t>cm/s），或至少2mm厚高密度聚乙烯膜等人工防渗材料（渗透系数不大于10</w:t>
            </w:r>
            <w:r>
              <w:rPr>
                <w:rFonts w:hint="default"/>
                <w:color w:val="auto"/>
                <w:sz w:val="24"/>
                <w:szCs w:val="24"/>
                <w:highlight w:val="none"/>
                <w:vertAlign w:val="superscript"/>
                <w:lang w:val="en-US" w:eastAsia="zh-CN"/>
              </w:rPr>
              <w:t>-10</w:t>
            </w:r>
            <w:r>
              <w:rPr>
                <w:rFonts w:hint="default"/>
                <w:color w:val="auto"/>
                <w:sz w:val="24"/>
                <w:szCs w:val="24"/>
                <w:highlight w:val="none"/>
                <w:lang w:val="en-US" w:eastAsia="zh-CN"/>
              </w:rPr>
              <w:t>cm/s），或其他防渗性能等效的材料</w:t>
            </w:r>
            <w:r>
              <w:rPr>
                <w:rFonts w:hint="eastAsia"/>
                <w:color w:val="auto"/>
                <w:sz w:val="24"/>
                <w:szCs w:val="24"/>
                <w:highlight w:val="none"/>
                <w:lang w:val="en-US" w:eastAsia="zh-CN"/>
              </w:rPr>
              <w:t>。</w:t>
            </w:r>
          </w:p>
          <w:p w14:paraId="37B2937C">
            <w:pPr>
              <w:bidi w:val="0"/>
              <w:rPr>
                <w:rFonts w:hint="default"/>
                <w:color w:val="auto"/>
                <w:highlight w:val="none"/>
                <w:lang w:val="en-US" w:eastAsia="zh-CN"/>
              </w:rPr>
            </w:pPr>
            <w:r>
              <w:rPr>
                <w:rFonts w:hint="default"/>
                <w:color w:val="auto"/>
                <w:highlight w:val="none"/>
                <w:lang w:val="en-US" w:eastAsia="zh-CN"/>
              </w:rPr>
              <w:t>④同一贮存设施宜采用相同的防渗、防腐工艺（包括防渗、防腐结构或材料），防渗、防腐材料应覆盖所有可能与废物及其渗滤液、渗漏液等接触的构筑物表面；采用不同防渗、防腐工艺应分别建设贮存分区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color w:val="auto"/>
                <w:highlight w:val="none"/>
                <w:lang w:val="en-US" w:eastAsia="zh-CN"/>
              </w:rPr>
              <w:t>。</w:t>
            </w:r>
          </w:p>
          <w:p w14:paraId="44C4DA59">
            <w:pPr>
              <w:bidi w:val="0"/>
              <w:rPr>
                <w:rFonts w:hint="default"/>
                <w:color w:val="auto"/>
                <w:highlight w:val="none"/>
                <w:lang w:val="en-US" w:eastAsia="zh-CN"/>
              </w:rPr>
            </w:pPr>
            <w:r>
              <w:rPr>
                <w:rFonts w:hint="default"/>
                <w:color w:val="auto"/>
                <w:highlight w:val="none"/>
                <w:lang w:val="en-US" w:eastAsia="zh-CN"/>
              </w:rPr>
              <w:t>⑤采取技术和管理措施防止无关人员进入</w:t>
            </w:r>
            <w:r>
              <w:rPr>
                <w:rFonts w:hint="eastAsia"/>
                <w:color w:val="auto"/>
                <w:highlight w:val="none"/>
                <w:lang w:val="en-US" w:eastAsia="zh-CN"/>
              </w:rPr>
              <w:t>。</w:t>
            </w:r>
          </w:p>
          <w:p w14:paraId="786479CE">
            <w:pPr>
              <w:bidi w:val="0"/>
              <w:rPr>
                <w:rFonts w:hint="default"/>
                <w:color w:val="auto"/>
                <w:highlight w:val="none"/>
                <w:lang w:val="en-US" w:eastAsia="zh-CN"/>
              </w:rPr>
            </w:pPr>
            <w:r>
              <w:rPr>
                <w:rFonts w:hint="default"/>
                <w:color w:val="auto"/>
                <w:highlight w:val="none"/>
                <w:lang w:val="en-US" w:eastAsia="zh-CN"/>
              </w:rPr>
              <w:t>⑥贮存库内不同贮存分区之间应采取隔离措施。隔离措施可根据危险废物特性采用过道、隔板或隔墙等方式</w:t>
            </w:r>
            <w:r>
              <w:rPr>
                <w:rFonts w:hint="eastAsia"/>
                <w:color w:val="auto"/>
                <w:highlight w:val="none"/>
                <w:lang w:val="en-US" w:eastAsia="zh-CN"/>
              </w:rPr>
              <w:t>。</w:t>
            </w:r>
          </w:p>
          <w:p w14:paraId="19A0A5CE">
            <w:pPr>
              <w:bidi w:val="0"/>
              <w:rPr>
                <w:rFonts w:hint="default"/>
                <w:color w:val="auto"/>
                <w:highlight w:val="none"/>
                <w:lang w:val="en-US" w:eastAsia="zh-CN"/>
              </w:rPr>
            </w:pPr>
            <w:r>
              <w:rPr>
                <w:rFonts w:hint="default"/>
                <w:color w:val="auto"/>
                <w:highlight w:val="none"/>
                <w:lang w:val="en-US" w:eastAsia="zh-CN"/>
              </w:rPr>
              <w:t>⑦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r>
              <w:rPr>
                <w:rFonts w:hint="eastAsia"/>
                <w:color w:val="auto"/>
                <w:highlight w:val="none"/>
                <w:lang w:val="en-US" w:eastAsia="zh-CN"/>
              </w:rPr>
              <w:t>。</w:t>
            </w:r>
          </w:p>
          <w:p w14:paraId="6E7A05A1">
            <w:pPr>
              <w:bidi w:val="0"/>
              <w:rPr>
                <w:rFonts w:hint="default"/>
                <w:color w:val="auto"/>
                <w:highlight w:val="none"/>
                <w:lang w:val="en-US" w:eastAsia="zh-CN"/>
              </w:rPr>
            </w:pPr>
            <w:r>
              <w:rPr>
                <w:rFonts w:hint="default"/>
                <w:color w:val="auto"/>
                <w:highlight w:val="none"/>
                <w:lang w:val="en-US" w:eastAsia="zh-CN"/>
              </w:rPr>
              <w:t>⑧贮存易产生粉尘、VOCs、酸雾、有毒有害大气污染物和刺激性气味气体的危险废物贮存库，应设置气体收集装置和气体净化设施；气体净化设施的排气筒高度应符合GB16297要求</w:t>
            </w:r>
            <w:r>
              <w:rPr>
                <w:rFonts w:hint="eastAsia"/>
                <w:color w:val="auto"/>
                <w:highlight w:val="none"/>
                <w:lang w:val="en-US" w:eastAsia="zh-CN"/>
              </w:rPr>
              <w:t>。</w:t>
            </w:r>
          </w:p>
          <w:p w14:paraId="0B6F0D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w:t>
            </w:r>
            <w:r>
              <w:rPr>
                <w:rFonts w:hint="eastAsia"/>
                <w:color w:val="auto"/>
                <w:sz w:val="24"/>
                <w:szCs w:val="24"/>
                <w:highlight w:val="none"/>
                <w:vertAlign w:val="baseline"/>
                <w:lang w:val="en-US" w:eastAsia="zh-CN"/>
              </w:rPr>
              <w:t>在1#厂房内设置一座11.7m</w:t>
            </w:r>
            <w:r>
              <w:rPr>
                <w:rFonts w:hint="eastAsia"/>
                <w:color w:val="auto"/>
                <w:sz w:val="24"/>
                <w:szCs w:val="24"/>
                <w:highlight w:val="none"/>
                <w:vertAlign w:val="superscript"/>
                <w:lang w:val="en-US" w:eastAsia="zh-CN"/>
              </w:rPr>
              <w:t>2</w:t>
            </w:r>
            <w:r>
              <w:rPr>
                <w:rFonts w:hint="eastAsia"/>
                <w:color w:val="auto"/>
                <w:sz w:val="24"/>
                <w:szCs w:val="24"/>
                <w:highlight w:val="none"/>
                <w:vertAlign w:val="baseline"/>
                <w:lang w:val="en-US" w:eastAsia="zh-CN"/>
              </w:rPr>
              <w:t>的危废间，用于暂存生产过程产生的危险废物，</w:t>
            </w:r>
            <w:r>
              <w:rPr>
                <w:rFonts w:hint="default"/>
                <w:color w:val="auto"/>
                <w:sz w:val="24"/>
                <w:szCs w:val="24"/>
                <w:highlight w:val="none"/>
                <w:lang w:val="en-US" w:eastAsia="zh-CN"/>
              </w:rPr>
              <w:t>贮存设施内地面、墙面裙脚、堵截泄漏的围堰、接触危险废物的隔板和墙体等采用坚固的材料建造，表面无裂缝</w:t>
            </w:r>
            <w:r>
              <w:rPr>
                <w:rFonts w:hint="eastAsia"/>
                <w:color w:val="auto"/>
                <w:sz w:val="24"/>
                <w:szCs w:val="24"/>
                <w:highlight w:val="none"/>
                <w:lang w:val="en-US" w:eastAsia="zh-CN"/>
              </w:rPr>
              <w:t>；</w:t>
            </w:r>
            <w:r>
              <w:rPr>
                <w:rFonts w:hint="default"/>
                <w:color w:val="auto"/>
                <w:sz w:val="24"/>
                <w:szCs w:val="24"/>
                <w:highlight w:val="none"/>
                <w:lang w:val="en-US" w:eastAsia="zh-CN"/>
              </w:rPr>
              <w:t>地面与裙脚</w:t>
            </w:r>
            <w:r>
              <w:rPr>
                <w:rFonts w:hint="eastAsia"/>
                <w:color w:val="auto"/>
                <w:sz w:val="24"/>
                <w:szCs w:val="24"/>
                <w:highlight w:val="none"/>
                <w:lang w:val="en-US" w:eastAsia="zh-CN"/>
              </w:rPr>
              <w:t>按要求</w:t>
            </w:r>
            <w:r>
              <w:rPr>
                <w:rFonts w:hint="default"/>
                <w:color w:val="auto"/>
                <w:sz w:val="24"/>
                <w:szCs w:val="24"/>
                <w:highlight w:val="none"/>
                <w:lang w:val="en-US" w:eastAsia="zh-CN"/>
              </w:rPr>
              <w:t>采取表面防渗措施</w:t>
            </w:r>
            <w:r>
              <w:rPr>
                <w:rFonts w:hint="eastAsia"/>
                <w:color w:val="auto"/>
                <w:sz w:val="24"/>
                <w:szCs w:val="24"/>
                <w:highlight w:val="none"/>
                <w:lang w:val="en-US" w:eastAsia="zh-CN"/>
              </w:rPr>
              <w:t>；危废间内</w:t>
            </w:r>
            <w:r>
              <w:rPr>
                <w:rFonts w:hint="default"/>
                <w:color w:val="auto"/>
                <w:sz w:val="24"/>
                <w:szCs w:val="24"/>
                <w:highlight w:val="none"/>
                <w:lang w:val="en-US" w:eastAsia="zh-CN"/>
              </w:rPr>
              <w:t>不同贮存分区之间采取过道、隔板或隔墙等隔离措施</w:t>
            </w:r>
            <w:r>
              <w:rPr>
                <w:rFonts w:hint="eastAsia"/>
                <w:color w:val="auto"/>
                <w:sz w:val="24"/>
                <w:szCs w:val="24"/>
                <w:highlight w:val="none"/>
                <w:lang w:val="en-US" w:eastAsia="zh-CN"/>
              </w:rPr>
              <w:t>，危险废物设置液体泄漏堵截设施</w:t>
            </w:r>
            <w:r>
              <w:rPr>
                <w:rFonts w:hint="default"/>
                <w:color w:val="auto"/>
                <w:sz w:val="24"/>
                <w:szCs w:val="24"/>
                <w:highlight w:val="none"/>
                <w:lang w:val="en-US" w:eastAsia="zh-CN"/>
              </w:rPr>
              <w:t>，堵截设施最小容积不低于对应贮存区域最大液态废物容器容积或液态废物总储量1/10（二者取较大者）</w:t>
            </w:r>
            <w:r>
              <w:rPr>
                <w:rFonts w:hint="eastAsia"/>
                <w:color w:val="auto"/>
                <w:sz w:val="24"/>
                <w:szCs w:val="24"/>
                <w:highlight w:val="none"/>
                <w:lang w:val="en-US" w:eastAsia="zh-CN"/>
              </w:rPr>
              <w:t>；本项目危废间设置引风管道，连入有机废气处理设施进行处理，用于收集、处理危险废物暂存过程产生的废气。</w:t>
            </w:r>
          </w:p>
          <w:p w14:paraId="4A4955DB">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lang w:val="en-US" w:eastAsia="zh-CN"/>
              </w:rPr>
              <w:t>贮存过程污染控制要求</w:t>
            </w:r>
          </w:p>
          <w:p w14:paraId="4B715C3E">
            <w:pPr>
              <w:bidi w:val="0"/>
              <w:rPr>
                <w:rFonts w:hint="eastAsia"/>
                <w:color w:val="auto"/>
                <w:highlight w:val="none"/>
                <w:lang w:val="en-US" w:eastAsia="zh-CN"/>
              </w:rPr>
            </w:pPr>
            <w:r>
              <w:rPr>
                <w:rFonts w:hint="eastAsia"/>
                <w:color w:val="auto"/>
                <w:highlight w:val="none"/>
                <w:lang w:val="en-US" w:eastAsia="zh-CN"/>
              </w:rPr>
              <w:t>①在常温常压下不易水解、不易挥发的固态危险废物可分类堆放贮存，其他固态危险废物应装入容器或包装物内贮存。</w:t>
            </w:r>
          </w:p>
          <w:p w14:paraId="04DD2A2A">
            <w:pPr>
              <w:bidi w:val="0"/>
              <w:rPr>
                <w:rFonts w:hint="default"/>
                <w:color w:val="auto"/>
                <w:highlight w:val="none"/>
                <w:lang w:val="en-US" w:eastAsia="zh-CN"/>
              </w:rPr>
            </w:pPr>
            <w:r>
              <w:rPr>
                <w:rFonts w:hint="default"/>
                <w:color w:val="auto"/>
                <w:highlight w:val="none"/>
                <w:lang w:val="en-US" w:eastAsia="zh-CN"/>
              </w:rPr>
              <w:t>②液态危险废物应装入容器内贮存，或直接采用贮存池、贮存罐区贮存</w:t>
            </w:r>
            <w:r>
              <w:rPr>
                <w:rFonts w:hint="eastAsia"/>
                <w:color w:val="auto"/>
                <w:highlight w:val="none"/>
                <w:lang w:val="en-US" w:eastAsia="zh-CN"/>
              </w:rPr>
              <w:t>。</w:t>
            </w:r>
          </w:p>
          <w:p w14:paraId="4AFAC28D">
            <w:pPr>
              <w:bidi w:val="0"/>
              <w:rPr>
                <w:rFonts w:hint="default"/>
                <w:color w:val="auto"/>
                <w:highlight w:val="none"/>
                <w:lang w:val="en-US" w:eastAsia="zh-CN"/>
              </w:rPr>
            </w:pPr>
            <w:r>
              <w:rPr>
                <w:rFonts w:hint="default"/>
                <w:color w:val="auto"/>
                <w:highlight w:val="none"/>
                <w:lang w:val="en-US" w:eastAsia="zh-CN"/>
              </w:rPr>
              <w:t>③半固态危险废物应装入容器或包装袋内贮存，或直接采用贮存池贮存</w:t>
            </w:r>
            <w:r>
              <w:rPr>
                <w:rFonts w:hint="eastAsia"/>
                <w:color w:val="auto"/>
                <w:highlight w:val="none"/>
                <w:lang w:val="en-US" w:eastAsia="zh-CN"/>
              </w:rPr>
              <w:t>。</w:t>
            </w:r>
          </w:p>
          <w:p w14:paraId="23DD5147">
            <w:pPr>
              <w:bidi w:val="0"/>
              <w:rPr>
                <w:rFonts w:hint="default"/>
                <w:color w:val="auto"/>
                <w:highlight w:val="none"/>
                <w:lang w:val="en-US" w:eastAsia="zh-CN"/>
              </w:rPr>
            </w:pPr>
            <w:r>
              <w:rPr>
                <w:rFonts w:hint="default"/>
                <w:color w:val="auto"/>
                <w:highlight w:val="none"/>
                <w:lang w:val="en-US" w:eastAsia="zh-CN"/>
              </w:rPr>
              <w:t>④具有热塑性的危险废物应装入容器或包装袋内进行贮存</w:t>
            </w:r>
            <w:r>
              <w:rPr>
                <w:rFonts w:hint="eastAsia"/>
                <w:color w:val="auto"/>
                <w:highlight w:val="none"/>
                <w:lang w:val="en-US" w:eastAsia="zh-CN"/>
              </w:rPr>
              <w:t>。</w:t>
            </w:r>
          </w:p>
          <w:p w14:paraId="490A24BC">
            <w:pPr>
              <w:bidi w:val="0"/>
              <w:rPr>
                <w:rFonts w:hint="default"/>
                <w:color w:val="auto"/>
                <w:highlight w:val="none"/>
                <w:lang w:val="en-US" w:eastAsia="zh-CN"/>
              </w:rPr>
            </w:pPr>
            <w:r>
              <w:rPr>
                <w:rFonts w:hint="default"/>
                <w:color w:val="auto"/>
                <w:highlight w:val="none"/>
                <w:lang w:val="en-US" w:eastAsia="zh-CN"/>
              </w:rPr>
              <w:t>⑤易产生粉尘、VOCs、酸雾、有毒有害大气污染物和刺激性气味气体的危险废物应装入闭口容器或包装物内贮存</w:t>
            </w:r>
            <w:r>
              <w:rPr>
                <w:rFonts w:hint="eastAsia"/>
                <w:color w:val="auto"/>
                <w:highlight w:val="none"/>
                <w:lang w:val="en-US" w:eastAsia="zh-CN"/>
              </w:rPr>
              <w:t>。</w:t>
            </w:r>
          </w:p>
          <w:p w14:paraId="0F65F1D8">
            <w:pPr>
              <w:bidi w:val="0"/>
              <w:rPr>
                <w:rFonts w:hint="default"/>
                <w:color w:val="auto"/>
                <w:highlight w:val="none"/>
                <w:lang w:val="en-US" w:eastAsia="zh-CN"/>
              </w:rPr>
            </w:pPr>
            <w:r>
              <w:rPr>
                <w:rFonts w:hint="default"/>
                <w:color w:val="auto"/>
                <w:highlight w:val="none"/>
                <w:lang w:val="en-US" w:eastAsia="zh-CN"/>
              </w:rPr>
              <w:t>⑥危险废物贮存过程中易产生粉尘等无组织排放的，应采取抑尘等有效措施</w:t>
            </w:r>
            <w:r>
              <w:rPr>
                <w:rFonts w:hint="eastAsia"/>
                <w:color w:val="auto"/>
                <w:highlight w:val="none"/>
                <w:lang w:val="en-US" w:eastAsia="zh-CN"/>
              </w:rPr>
              <w:t>。</w:t>
            </w:r>
          </w:p>
          <w:p w14:paraId="1E6BBC9E">
            <w:pPr>
              <w:bidi w:val="0"/>
              <w:rPr>
                <w:rFonts w:hint="default"/>
                <w:color w:val="auto"/>
                <w:highlight w:val="none"/>
                <w:lang w:val="en-US" w:eastAsia="zh-CN"/>
              </w:rPr>
            </w:pPr>
            <w:r>
              <w:rPr>
                <w:rFonts w:hint="default"/>
                <w:color w:val="auto"/>
                <w:highlight w:val="none"/>
                <w:lang w:val="en-US" w:eastAsia="zh-CN"/>
              </w:rPr>
              <w:t>⑦危险废物存入贮存设施前应对危险废物类别和特性与危险废物标签等危险废物识别标志的一致性进行核验，不一致的或类别、特性不明的不应存入</w:t>
            </w:r>
            <w:r>
              <w:rPr>
                <w:rFonts w:hint="eastAsia"/>
                <w:color w:val="auto"/>
                <w:highlight w:val="none"/>
                <w:lang w:val="en-US" w:eastAsia="zh-CN"/>
              </w:rPr>
              <w:t>。</w:t>
            </w:r>
          </w:p>
          <w:p w14:paraId="0D224894">
            <w:pPr>
              <w:bidi w:val="0"/>
              <w:rPr>
                <w:rFonts w:hint="default"/>
                <w:color w:val="auto"/>
                <w:highlight w:val="none"/>
                <w:lang w:val="en-US" w:eastAsia="zh-CN"/>
              </w:rPr>
            </w:pPr>
            <w:r>
              <w:rPr>
                <w:rFonts w:hint="default"/>
                <w:color w:val="auto"/>
                <w:highlight w:val="none"/>
                <w:lang w:val="en-US" w:eastAsia="zh-CN"/>
              </w:rPr>
              <w:t>⑧应定期检查危险废物的贮存状况，及时清理贮存设施地面，更换破损泄漏的危险废物贮存容器和包装物，保证堆存危险废物的防雨、防风、防扬尘等设施功能完好</w:t>
            </w:r>
            <w:r>
              <w:rPr>
                <w:rFonts w:hint="eastAsia"/>
                <w:color w:val="auto"/>
                <w:highlight w:val="none"/>
                <w:lang w:val="en-US" w:eastAsia="zh-CN"/>
              </w:rPr>
              <w:t>。</w:t>
            </w:r>
          </w:p>
          <w:p w14:paraId="27F14AAE">
            <w:pPr>
              <w:bidi w:val="0"/>
              <w:rPr>
                <w:rFonts w:hint="default"/>
                <w:color w:val="auto"/>
                <w:highlight w:val="none"/>
                <w:lang w:val="en-US" w:eastAsia="zh-CN"/>
              </w:rPr>
            </w:pPr>
            <w:r>
              <w:rPr>
                <w:rFonts w:hint="default"/>
                <w:color w:val="auto"/>
                <w:highlight w:val="none"/>
                <w:lang w:val="en-US" w:eastAsia="zh-CN"/>
              </w:rPr>
              <w:t>⑩贮存设施运行期间，应按国家有关标准和规定建立危险废物管理台账并保存</w:t>
            </w:r>
            <w:r>
              <w:rPr>
                <w:rFonts w:hint="eastAsia"/>
                <w:color w:val="auto"/>
                <w:highlight w:val="none"/>
                <w:lang w:val="en-US" w:eastAsia="zh-CN"/>
              </w:rPr>
              <w:t>。</w:t>
            </w:r>
          </w:p>
          <w:p w14:paraId="3FA7E69F">
            <w:pPr>
              <w:bidi w:val="0"/>
              <w:rPr>
                <w:rFonts w:hint="default"/>
                <w:color w:val="auto"/>
                <w:highlight w:val="none"/>
                <w:lang w:val="en-US" w:eastAsia="zh-CN"/>
              </w:rPr>
            </w:pPr>
            <w:r>
              <w:rPr>
                <w:rFonts w:hint="default"/>
                <w:color w:val="auto"/>
                <w:highlight w:val="none"/>
                <w:lang w:val="en-US" w:eastAsia="zh-CN"/>
              </w:rPr>
              <w:t>⑪贮存设施所有者或运营者应建立贮存设施环境管理制度、管理人员岗位职责制度、设施运行操作制度、人员岗位培训制度等</w:t>
            </w:r>
            <w:r>
              <w:rPr>
                <w:rFonts w:hint="eastAsia"/>
                <w:color w:val="auto"/>
                <w:highlight w:val="none"/>
                <w:lang w:val="en-US" w:eastAsia="zh-CN"/>
              </w:rPr>
              <w:t>。</w:t>
            </w:r>
          </w:p>
          <w:p w14:paraId="72FE912A">
            <w:pPr>
              <w:bidi w:val="0"/>
              <w:rPr>
                <w:rFonts w:hint="eastAsia"/>
                <w:color w:val="auto"/>
                <w:highlight w:val="none"/>
                <w:lang w:val="en-US" w:eastAsia="zh-CN"/>
              </w:rPr>
            </w:pPr>
            <w:r>
              <w:rPr>
                <w:rFonts w:hint="default"/>
                <w:color w:val="auto"/>
                <w:highlight w:val="none"/>
                <w:lang w:val="en-US" w:eastAsia="zh-CN"/>
              </w:rPr>
              <w:t>⑫贮存设施所有者或运营者应依据国家土壤和地下水污染防治的有关规定，结合贮存设施特点建立土壤和地下水污染隐患排查制度，并定期开展隐患排查；发现隐患应及时采取措施消除隐患，并建立档案</w:t>
            </w:r>
            <w:r>
              <w:rPr>
                <w:rFonts w:hint="eastAsia"/>
                <w:color w:val="auto"/>
                <w:highlight w:val="none"/>
                <w:lang w:val="en-US" w:eastAsia="zh-CN"/>
              </w:rPr>
              <w:t>。</w:t>
            </w:r>
          </w:p>
          <w:p w14:paraId="0273DA88">
            <w:pPr>
              <w:bidi w:val="0"/>
              <w:rPr>
                <w:rFonts w:hint="eastAsia"/>
                <w:color w:val="auto"/>
                <w:highlight w:val="none"/>
                <w:lang w:val="en-US" w:eastAsia="zh-CN"/>
              </w:rPr>
            </w:pPr>
            <w:r>
              <w:rPr>
                <w:rFonts w:hint="default"/>
                <w:color w:val="auto"/>
                <w:highlight w:val="none"/>
                <w:lang w:val="en-US" w:eastAsia="zh-CN"/>
              </w:rPr>
              <w:t>⑬贮存设施所有者或运营者应建立贮存设施全部档案，包括设计、施工、验收、运行、监测和环境应急等，应按国家有关档案管理的法律法规进行整理和归档</w:t>
            </w:r>
            <w:r>
              <w:rPr>
                <w:rFonts w:hint="eastAsia"/>
                <w:color w:val="auto"/>
                <w:highlight w:val="none"/>
                <w:lang w:val="en-US" w:eastAsia="zh-CN"/>
              </w:rPr>
              <w:t>。</w:t>
            </w:r>
          </w:p>
          <w:p w14:paraId="5CBEABAF">
            <w:pPr>
              <w:bidi w:val="0"/>
              <w:rPr>
                <w:rFonts w:hint="default"/>
                <w:color w:val="auto"/>
                <w:highlight w:val="none"/>
                <w:lang w:val="en-US" w:eastAsia="zh-CN"/>
              </w:rPr>
            </w:pPr>
            <w:r>
              <w:rPr>
                <w:rFonts w:hint="eastAsia"/>
                <w:color w:val="auto"/>
                <w:highlight w:val="none"/>
                <w:lang w:val="en-US" w:eastAsia="zh-CN"/>
              </w:rPr>
              <w:t>本项目产生的危险废物除废沸石分子筛外均采用防渗、防漏、防腐的容器分区贮存于危废间；项目建成后</w:t>
            </w:r>
            <w:r>
              <w:rPr>
                <w:rFonts w:hint="default"/>
                <w:color w:val="auto"/>
                <w:highlight w:val="none"/>
                <w:lang w:val="en-US" w:eastAsia="zh-CN"/>
              </w:rPr>
              <w:t>定期检查危险废物的贮存状况</w:t>
            </w:r>
            <w:r>
              <w:rPr>
                <w:rFonts w:hint="eastAsia"/>
                <w:color w:val="auto"/>
                <w:highlight w:val="none"/>
                <w:lang w:val="en-US" w:eastAsia="zh-CN"/>
              </w:rPr>
              <w:t>，</w:t>
            </w:r>
            <w:r>
              <w:rPr>
                <w:rFonts w:hint="default"/>
                <w:color w:val="auto"/>
                <w:highlight w:val="none"/>
                <w:lang w:val="en-US" w:eastAsia="zh-CN"/>
              </w:rPr>
              <w:t>保证堆存危险废物的防雨、防风、防扬尘等设施功能完好</w:t>
            </w:r>
            <w:r>
              <w:rPr>
                <w:rFonts w:hint="eastAsia"/>
                <w:color w:val="auto"/>
                <w:highlight w:val="none"/>
                <w:lang w:val="en-US" w:eastAsia="zh-CN"/>
              </w:rPr>
              <w:t>；</w:t>
            </w:r>
            <w:r>
              <w:rPr>
                <w:rFonts w:hint="default"/>
                <w:color w:val="auto"/>
                <w:highlight w:val="none"/>
                <w:lang w:val="en-US" w:eastAsia="zh-CN"/>
              </w:rPr>
              <w:t>按国家有关标准和规定建立危险废物管理台账并保存</w:t>
            </w:r>
            <w:r>
              <w:rPr>
                <w:rFonts w:hint="eastAsia"/>
                <w:color w:val="auto"/>
                <w:highlight w:val="none"/>
                <w:lang w:val="en-US" w:eastAsia="zh-CN"/>
              </w:rPr>
              <w:t>；</w:t>
            </w:r>
            <w:r>
              <w:rPr>
                <w:rFonts w:hint="default"/>
                <w:color w:val="auto"/>
                <w:highlight w:val="none"/>
                <w:lang w:val="en-US" w:eastAsia="zh-CN"/>
              </w:rPr>
              <w:t>建立贮存设施环境管理制度、管理人员岗位职责制度、设施运行操作制度、人员岗位培训制度等</w:t>
            </w:r>
            <w:r>
              <w:rPr>
                <w:rFonts w:hint="eastAsia"/>
                <w:color w:val="auto"/>
                <w:highlight w:val="none"/>
                <w:lang w:val="en-US" w:eastAsia="zh-CN"/>
              </w:rPr>
              <w:t>；</w:t>
            </w:r>
            <w:r>
              <w:rPr>
                <w:rFonts w:hint="default"/>
                <w:color w:val="auto"/>
                <w:highlight w:val="none"/>
                <w:lang w:val="en-US" w:eastAsia="zh-CN"/>
              </w:rPr>
              <w:t>依据国家土壤和地下水污染防治的有关规定，结合贮存设施特点建立土壤和地下水污染隐患排查制度，并定期开展隐患排查</w:t>
            </w:r>
            <w:r>
              <w:rPr>
                <w:rFonts w:hint="eastAsia"/>
                <w:color w:val="auto"/>
                <w:highlight w:val="none"/>
                <w:lang w:val="en-US" w:eastAsia="zh-CN"/>
              </w:rPr>
              <w:t>，</w:t>
            </w:r>
            <w:r>
              <w:rPr>
                <w:rFonts w:hint="default"/>
                <w:color w:val="auto"/>
                <w:highlight w:val="none"/>
                <w:lang w:val="en-US" w:eastAsia="zh-CN"/>
              </w:rPr>
              <w:t>发现隐患及时采取措施消除隐患，并建立档案</w:t>
            </w:r>
            <w:r>
              <w:rPr>
                <w:rFonts w:hint="eastAsia"/>
                <w:color w:val="auto"/>
                <w:highlight w:val="none"/>
                <w:lang w:val="en-US" w:eastAsia="zh-CN"/>
              </w:rPr>
              <w:t>；</w:t>
            </w:r>
            <w:r>
              <w:rPr>
                <w:rFonts w:hint="default"/>
                <w:color w:val="auto"/>
                <w:highlight w:val="none"/>
                <w:lang w:val="en-US" w:eastAsia="zh-CN"/>
              </w:rPr>
              <w:t>建立贮存设施全部档案</w:t>
            </w:r>
            <w:r>
              <w:rPr>
                <w:rFonts w:hint="eastAsia"/>
                <w:color w:val="auto"/>
                <w:highlight w:val="none"/>
                <w:lang w:val="en-US" w:eastAsia="zh-CN"/>
              </w:rPr>
              <w:t>，</w:t>
            </w:r>
            <w:r>
              <w:rPr>
                <w:rFonts w:hint="default"/>
                <w:color w:val="auto"/>
                <w:highlight w:val="none"/>
                <w:lang w:val="en-US" w:eastAsia="zh-CN"/>
              </w:rPr>
              <w:t>按国家有关档案管理的法律法规进行整理和归档</w:t>
            </w:r>
            <w:r>
              <w:rPr>
                <w:rFonts w:hint="eastAsia"/>
                <w:color w:val="auto"/>
                <w:highlight w:val="none"/>
                <w:lang w:val="en-US" w:eastAsia="zh-CN"/>
              </w:rPr>
              <w:t>。</w:t>
            </w:r>
          </w:p>
          <w:p w14:paraId="0E490CCF">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本项目危险废物贮存场所基本情况见下表。</w:t>
            </w:r>
          </w:p>
          <w:p w14:paraId="2F123137">
            <w:pPr>
              <w:pStyle w:val="33"/>
              <w:bidi w:val="0"/>
              <w:rPr>
                <w:rFonts w:hint="eastAsia" w:eastAsia="宋体"/>
                <w:color w:val="auto"/>
                <w:highlight w:val="none"/>
                <w:lang w:val="en-US" w:eastAsia="zh-CN"/>
              </w:rPr>
            </w:pPr>
            <w:r>
              <w:rPr>
                <w:rFonts w:hint="default"/>
                <w:color w:val="auto"/>
                <w:sz w:val="21"/>
                <w:szCs w:val="21"/>
                <w:highlight w:val="none"/>
              </w:rPr>
              <w:t>表</w:t>
            </w:r>
            <w:r>
              <w:rPr>
                <w:rFonts w:hint="eastAsia"/>
                <w:color w:val="auto"/>
                <w:sz w:val="21"/>
                <w:szCs w:val="21"/>
                <w:highlight w:val="none"/>
                <w:lang w:val="en-US" w:eastAsia="zh-CN"/>
              </w:rPr>
              <w:t>61</w:t>
            </w:r>
            <w:r>
              <w:rPr>
                <w:rFonts w:hint="default"/>
                <w:color w:val="auto"/>
                <w:sz w:val="21"/>
                <w:szCs w:val="21"/>
                <w:highlight w:val="none"/>
              </w:rPr>
              <w:t xml:space="preserve">  危险废物贮存场所基本情况表</w:t>
            </w:r>
            <w:r>
              <w:rPr>
                <w:rFonts w:hint="eastAsia"/>
                <w:color w:val="auto"/>
                <w:sz w:val="21"/>
                <w:szCs w:val="21"/>
                <w:highlight w:val="none"/>
                <w:lang w:val="en-US" w:eastAsia="zh-CN"/>
              </w:rPr>
              <w:t>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7"/>
              <w:gridCol w:w="736"/>
              <w:gridCol w:w="1623"/>
              <w:gridCol w:w="778"/>
              <w:gridCol w:w="1281"/>
              <w:gridCol w:w="719"/>
              <w:gridCol w:w="750"/>
              <w:gridCol w:w="1103"/>
              <w:gridCol w:w="823"/>
            </w:tblGrid>
            <w:tr w14:paraId="6596D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77" w:type="dxa"/>
                  <w:tcBorders>
                    <w:tl2br w:val="nil"/>
                    <w:tr2bl w:val="nil"/>
                  </w:tcBorders>
                  <w:noWrap w:val="0"/>
                  <w:vAlign w:val="center"/>
                </w:tcPr>
                <w:p w14:paraId="6807172B">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序号</w:t>
                  </w:r>
                </w:p>
              </w:tc>
              <w:tc>
                <w:tcPr>
                  <w:tcW w:w="736" w:type="dxa"/>
                  <w:tcBorders>
                    <w:tl2br w:val="nil"/>
                    <w:tr2bl w:val="nil"/>
                  </w:tcBorders>
                  <w:noWrap w:val="0"/>
                  <w:vAlign w:val="center"/>
                </w:tcPr>
                <w:p w14:paraId="05CDA3B7">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贮存场所名称</w:t>
                  </w:r>
                </w:p>
              </w:tc>
              <w:tc>
                <w:tcPr>
                  <w:tcW w:w="1623" w:type="dxa"/>
                  <w:tcBorders>
                    <w:tl2br w:val="nil"/>
                    <w:tr2bl w:val="nil"/>
                  </w:tcBorders>
                  <w:noWrap w:val="0"/>
                  <w:vAlign w:val="center"/>
                </w:tcPr>
                <w:p w14:paraId="54B02AB4">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危险废物名称</w:t>
                  </w:r>
                </w:p>
              </w:tc>
              <w:tc>
                <w:tcPr>
                  <w:tcW w:w="778" w:type="dxa"/>
                  <w:tcBorders>
                    <w:tl2br w:val="nil"/>
                    <w:tr2bl w:val="nil"/>
                  </w:tcBorders>
                  <w:noWrap w:val="0"/>
                  <w:vAlign w:val="center"/>
                </w:tcPr>
                <w:p w14:paraId="7DC03D26">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危险废物类别</w:t>
                  </w:r>
                </w:p>
              </w:tc>
              <w:tc>
                <w:tcPr>
                  <w:tcW w:w="1281" w:type="dxa"/>
                  <w:tcBorders>
                    <w:tl2br w:val="nil"/>
                    <w:tr2bl w:val="nil"/>
                  </w:tcBorders>
                  <w:noWrap w:val="0"/>
                  <w:vAlign w:val="center"/>
                </w:tcPr>
                <w:p w14:paraId="1AB861E3">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危险废物代码</w:t>
                  </w:r>
                </w:p>
              </w:tc>
              <w:tc>
                <w:tcPr>
                  <w:tcW w:w="719" w:type="dxa"/>
                  <w:tcBorders>
                    <w:tl2br w:val="nil"/>
                    <w:tr2bl w:val="nil"/>
                  </w:tcBorders>
                  <w:noWrap w:val="0"/>
                  <w:vAlign w:val="center"/>
                </w:tcPr>
                <w:p w14:paraId="6CDC0F07">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位置</w:t>
                  </w:r>
                </w:p>
              </w:tc>
              <w:tc>
                <w:tcPr>
                  <w:tcW w:w="750" w:type="dxa"/>
                  <w:tcBorders>
                    <w:tl2br w:val="nil"/>
                    <w:tr2bl w:val="nil"/>
                  </w:tcBorders>
                  <w:noWrap w:val="0"/>
                  <w:vAlign w:val="center"/>
                </w:tcPr>
                <w:p w14:paraId="45633B04">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占地面积</w:t>
                  </w:r>
                </w:p>
              </w:tc>
              <w:tc>
                <w:tcPr>
                  <w:tcW w:w="1103" w:type="dxa"/>
                  <w:tcBorders>
                    <w:tl2br w:val="nil"/>
                    <w:tr2bl w:val="nil"/>
                  </w:tcBorders>
                  <w:noWrap w:val="0"/>
                  <w:vAlign w:val="center"/>
                </w:tcPr>
                <w:p w14:paraId="4CCA460B">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贮存方式</w:t>
                  </w:r>
                </w:p>
              </w:tc>
              <w:tc>
                <w:tcPr>
                  <w:tcW w:w="823" w:type="dxa"/>
                  <w:tcBorders>
                    <w:tl2br w:val="nil"/>
                    <w:tr2bl w:val="nil"/>
                  </w:tcBorders>
                  <w:noWrap w:val="0"/>
                  <w:vAlign w:val="center"/>
                </w:tcPr>
                <w:p w14:paraId="0DC8A67B">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w:t>
                  </w:r>
                </w:p>
                <w:p w14:paraId="47711322">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周期</w:t>
                  </w:r>
                </w:p>
              </w:tc>
            </w:tr>
            <w:tr w14:paraId="3D06F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577" w:type="dxa"/>
                  <w:tcBorders>
                    <w:tl2br w:val="nil"/>
                    <w:tr2bl w:val="nil"/>
                  </w:tcBorders>
                  <w:noWrap w:val="0"/>
                  <w:vAlign w:val="center"/>
                </w:tcPr>
                <w:p w14:paraId="5C9D4ED3">
                  <w:pPr>
                    <w:pStyle w:val="31"/>
                    <w:keepNext w:val="0"/>
                    <w:keepLines w:val="0"/>
                    <w:pageBreakBefore w:val="0"/>
                    <w:widowControl w:val="0"/>
                    <w:numPr>
                      <w:ilvl w:val="0"/>
                      <w:numId w:val="38"/>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restart"/>
                  <w:tcBorders>
                    <w:tl2br w:val="nil"/>
                    <w:tr2bl w:val="nil"/>
                  </w:tcBorders>
                  <w:noWrap w:val="0"/>
                  <w:vAlign w:val="center"/>
                </w:tcPr>
                <w:p w14:paraId="68A393C7">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危废间</w:t>
                  </w:r>
                </w:p>
              </w:tc>
              <w:tc>
                <w:tcPr>
                  <w:tcW w:w="1623" w:type="dxa"/>
                  <w:tcBorders>
                    <w:tl2br w:val="nil"/>
                    <w:tr2bl w:val="nil"/>
                  </w:tcBorders>
                  <w:noWrap w:val="0"/>
                  <w:vAlign w:val="center"/>
                </w:tcPr>
                <w:p w14:paraId="630934E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废稀释剂</w:t>
                  </w:r>
                </w:p>
              </w:tc>
              <w:tc>
                <w:tcPr>
                  <w:tcW w:w="778" w:type="dxa"/>
                  <w:tcBorders>
                    <w:tl2br w:val="nil"/>
                    <w:tr2bl w:val="nil"/>
                  </w:tcBorders>
                  <w:noWrap w:val="0"/>
                  <w:vAlign w:val="center"/>
                </w:tcPr>
                <w:p w14:paraId="0B79879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HW0</w:t>
                  </w:r>
                  <w:r>
                    <w:rPr>
                      <w:rFonts w:hint="eastAsia" w:cs="Times New Roman"/>
                      <w:color w:val="auto"/>
                      <w:sz w:val="21"/>
                      <w:szCs w:val="21"/>
                      <w:highlight w:val="none"/>
                      <w:lang w:val="en-US" w:eastAsia="zh-CN"/>
                    </w:rPr>
                    <w:t>6</w:t>
                  </w:r>
                </w:p>
              </w:tc>
              <w:tc>
                <w:tcPr>
                  <w:tcW w:w="1281" w:type="dxa"/>
                  <w:tcBorders>
                    <w:tl2br w:val="nil"/>
                    <w:tr2bl w:val="nil"/>
                  </w:tcBorders>
                  <w:noWrap w:val="0"/>
                  <w:vAlign w:val="center"/>
                </w:tcPr>
                <w:p w14:paraId="43FAB5A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900-402-06</w:t>
                  </w:r>
                </w:p>
              </w:tc>
              <w:tc>
                <w:tcPr>
                  <w:tcW w:w="719" w:type="dxa"/>
                  <w:vMerge w:val="restart"/>
                  <w:tcBorders>
                    <w:tl2br w:val="nil"/>
                    <w:tr2bl w:val="nil"/>
                  </w:tcBorders>
                  <w:noWrap w:val="0"/>
                  <w:vAlign w:val="center"/>
                </w:tcPr>
                <w:p w14:paraId="0851E65D">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1#厂房内南侧</w:t>
                  </w:r>
                </w:p>
              </w:tc>
              <w:tc>
                <w:tcPr>
                  <w:tcW w:w="750" w:type="dxa"/>
                  <w:vMerge w:val="restart"/>
                  <w:tcBorders>
                    <w:tl2br w:val="nil"/>
                    <w:tr2bl w:val="nil"/>
                  </w:tcBorders>
                  <w:noWrap w:val="0"/>
                  <w:vAlign w:val="center"/>
                </w:tcPr>
                <w:p w14:paraId="419952BA">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11.7m</w:t>
                  </w:r>
                  <w:r>
                    <w:rPr>
                      <w:rFonts w:hint="eastAsia"/>
                      <w:color w:val="auto"/>
                      <w:sz w:val="21"/>
                      <w:szCs w:val="21"/>
                      <w:highlight w:val="none"/>
                      <w:vertAlign w:val="superscript"/>
                      <w:lang w:val="en-US" w:eastAsia="zh-CN"/>
                    </w:rPr>
                    <w:t>2</w:t>
                  </w:r>
                </w:p>
              </w:tc>
              <w:tc>
                <w:tcPr>
                  <w:tcW w:w="1103" w:type="dxa"/>
                  <w:tcBorders>
                    <w:tl2br w:val="nil"/>
                    <w:tr2bl w:val="nil"/>
                  </w:tcBorders>
                  <w:noWrap w:val="0"/>
                  <w:vAlign w:val="center"/>
                </w:tcPr>
                <w:p w14:paraId="428B1384">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桶装加盖</w:t>
                  </w:r>
                </w:p>
              </w:tc>
              <w:tc>
                <w:tcPr>
                  <w:tcW w:w="823" w:type="dxa"/>
                  <w:tcBorders>
                    <w:tl2br w:val="nil"/>
                    <w:tr2bl w:val="nil"/>
                  </w:tcBorders>
                  <w:noWrap w:val="0"/>
                  <w:vAlign w:val="center"/>
                </w:tcPr>
                <w:p w14:paraId="76265E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一年</w:t>
                  </w:r>
                </w:p>
              </w:tc>
            </w:tr>
            <w:tr w14:paraId="4DA4F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77" w:type="dxa"/>
                  <w:tcBorders>
                    <w:tl2br w:val="nil"/>
                    <w:tr2bl w:val="nil"/>
                  </w:tcBorders>
                  <w:noWrap w:val="0"/>
                  <w:vAlign w:val="center"/>
                </w:tcPr>
                <w:p w14:paraId="4C2E3C74">
                  <w:pPr>
                    <w:pStyle w:val="31"/>
                    <w:keepNext w:val="0"/>
                    <w:keepLines w:val="0"/>
                    <w:pageBreakBefore w:val="0"/>
                    <w:widowControl w:val="0"/>
                    <w:numPr>
                      <w:ilvl w:val="0"/>
                      <w:numId w:val="38"/>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continue"/>
                  <w:tcBorders>
                    <w:tl2br w:val="nil"/>
                    <w:tr2bl w:val="nil"/>
                  </w:tcBorders>
                  <w:noWrap w:val="0"/>
                  <w:vAlign w:val="center"/>
                </w:tcPr>
                <w:p w14:paraId="0D570D96">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623" w:type="dxa"/>
                  <w:tcBorders>
                    <w:tl2br w:val="nil"/>
                    <w:tr2bl w:val="nil"/>
                  </w:tcBorders>
                  <w:noWrap w:val="0"/>
                  <w:vAlign w:val="center"/>
                </w:tcPr>
                <w:p w14:paraId="2E4EC00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w:t>
                  </w:r>
                  <w:r>
                    <w:rPr>
                      <w:rFonts w:hint="eastAsia" w:ascii="Times New Roman" w:hAnsi="Times New Roman" w:cs="Times New Roman"/>
                      <w:color w:val="auto"/>
                      <w:sz w:val="21"/>
                      <w:szCs w:val="21"/>
                      <w:highlight w:val="none"/>
                      <w:shd w:val="clear" w:color="auto" w:fill="auto"/>
                      <w:lang w:val="en-US" w:eastAsia="zh-CN"/>
                    </w:rPr>
                    <w:t>漆</w:t>
                  </w:r>
                  <w:r>
                    <w:rPr>
                      <w:rFonts w:hint="eastAsia" w:ascii="Times New Roman" w:hAnsi="Times New Roman" w:eastAsia="宋体" w:cs="Times New Roman"/>
                      <w:color w:val="auto"/>
                      <w:sz w:val="21"/>
                      <w:szCs w:val="21"/>
                      <w:highlight w:val="none"/>
                      <w:shd w:val="clear" w:color="auto" w:fill="auto"/>
                      <w:lang w:val="en-US" w:eastAsia="zh-CN"/>
                    </w:rPr>
                    <w:t>桶</w:t>
                  </w:r>
                </w:p>
              </w:tc>
              <w:tc>
                <w:tcPr>
                  <w:tcW w:w="778" w:type="dxa"/>
                  <w:tcBorders>
                    <w:tl2br w:val="nil"/>
                    <w:tr2bl w:val="nil"/>
                  </w:tcBorders>
                  <w:noWrap w:val="0"/>
                  <w:vAlign w:val="center"/>
                </w:tcPr>
                <w:p w14:paraId="14BE372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HW49</w:t>
                  </w:r>
                </w:p>
              </w:tc>
              <w:tc>
                <w:tcPr>
                  <w:tcW w:w="1281" w:type="dxa"/>
                  <w:tcBorders>
                    <w:tl2br w:val="nil"/>
                    <w:tr2bl w:val="nil"/>
                  </w:tcBorders>
                  <w:noWrap w:val="0"/>
                  <w:vAlign w:val="center"/>
                </w:tcPr>
                <w:p w14:paraId="1F966B4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900-041-49</w:t>
                  </w:r>
                </w:p>
              </w:tc>
              <w:tc>
                <w:tcPr>
                  <w:tcW w:w="719" w:type="dxa"/>
                  <w:vMerge w:val="continue"/>
                  <w:tcBorders>
                    <w:tl2br w:val="nil"/>
                    <w:tr2bl w:val="nil"/>
                  </w:tcBorders>
                  <w:noWrap w:val="0"/>
                  <w:vAlign w:val="center"/>
                </w:tcPr>
                <w:p w14:paraId="67201AEC">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50" w:type="dxa"/>
                  <w:vMerge w:val="continue"/>
                  <w:tcBorders>
                    <w:tl2br w:val="nil"/>
                    <w:tr2bl w:val="nil"/>
                  </w:tcBorders>
                  <w:noWrap w:val="0"/>
                  <w:vAlign w:val="center"/>
                </w:tcPr>
                <w:p w14:paraId="0EAB4FAB">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103" w:type="dxa"/>
                  <w:tcBorders>
                    <w:tl2br w:val="nil"/>
                    <w:tr2bl w:val="nil"/>
                  </w:tcBorders>
                  <w:noWrap w:val="0"/>
                  <w:vAlign w:val="center"/>
                </w:tcPr>
                <w:p w14:paraId="464F489E">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加盖</w:t>
                  </w:r>
                </w:p>
              </w:tc>
              <w:tc>
                <w:tcPr>
                  <w:tcW w:w="823" w:type="dxa"/>
                  <w:tcBorders>
                    <w:tl2br w:val="nil"/>
                    <w:tr2bl w:val="nil"/>
                  </w:tcBorders>
                  <w:noWrap w:val="0"/>
                  <w:vAlign w:val="center"/>
                </w:tcPr>
                <w:p w14:paraId="179A72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一年</w:t>
                  </w:r>
                </w:p>
              </w:tc>
            </w:tr>
            <w:tr w14:paraId="164AE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577" w:type="dxa"/>
                  <w:tcBorders>
                    <w:tl2br w:val="nil"/>
                    <w:tr2bl w:val="nil"/>
                  </w:tcBorders>
                  <w:noWrap w:val="0"/>
                  <w:vAlign w:val="center"/>
                </w:tcPr>
                <w:p w14:paraId="20A7E2AD">
                  <w:pPr>
                    <w:pStyle w:val="31"/>
                    <w:keepNext w:val="0"/>
                    <w:keepLines w:val="0"/>
                    <w:pageBreakBefore w:val="0"/>
                    <w:widowControl w:val="0"/>
                    <w:numPr>
                      <w:ilvl w:val="0"/>
                      <w:numId w:val="38"/>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continue"/>
                  <w:tcBorders>
                    <w:tl2br w:val="nil"/>
                    <w:tr2bl w:val="nil"/>
                  </w:tcBorders>
                  <w:noWrap w:val="0"/>
                  <w:vAlign w:val="center"/>
                </w:tcPr>
                <w:p w14:paraId="4CBD726B">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623" w:type="dxa"/>
                  <w:tcBorders>
                    <w:tl2br w:val="nil"/>
                    <w:tr2bl w:val="nil"/>
                  </w:tcBorders>
                  <w:noWrap w:val="0"/>
                  <w:vAlign w:val="center"/>
                </w:tcPr>
                <w:p w14:paraId="3EF9384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漆渣</w:t>
                  </w:r>
                </w:p>
              </w:tc>
              <w:tc>
                <w:tcPr>
                  <w:tcW w:w="778" w:type="dxa"/>
                  <w:tcBorders>
                    <w:tl2br w:val="nil"/>
                    <w:tr2bl w:val="nil"/>
                  </w:tcBorders>
                  <w:noWrap w:val="0"/>
                  <w:vAlign w:val="center"/>
                </w:tcPr>
                <w:p w14:paraId="56B0EFB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HW12</w:t>
                  </w:r>
                </w:p>
              </w:tc>
              <w:tc>
                <w:tcPr>
                  <w:tcW w:w="1281" w:type="dxa"/>
                  <w:tcBorders>
                    <w:tl2br w:val="nil"/>
                    <w:tr2bl w:val="nil"/>
                  </w:tcBorders>
                  <w:noWrap w:val="0"/>
                  <w:vAlign w:val="center"/>
                </w:tcPr>
                <w:p w14:paraId="2522768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900-252-12</w:t>
                  </w:r>
                </w:p>
              </w:tc>
              <w:tc>
                <w:tcPr>
                  <w:tcW w:w="719" w:type="dxa"/>
                  <w:vMerge w:val="continue"/>
                  <w:tcBorders>
                    <w:tl2br w:val="nil"/>
                    <w:tr2bl w:val="nil"/>
                  </w:tcBorders>
                  <w:noWrap w:val="0"/>
                  <w:vAlign w:val="center"/>
                </w:tcPr>
                <w:p w14:paraId="0DAA1E16">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50" w:type="dxa"/>
                  <w:vMerge w:val="continue"/>
                  <w:tcBorders>
                    <w:tl2br w:val="nil"/>
                    <w:tr2bl w:val="nil"/>
                  </w:tcBorders>
                  <w:noWrap w:val="0"/>
                  <w:vAlign w:val="center"/>
                </w:tcPr>
                <w:p w14:paraId="7333A88D">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103" w:type="dxa"/>
                  <w:tcBorders>
                    <w:tl2br w:val="nil"/>
                    <w:tr2bl w:val="nil"/>
                  </w:tcBorders>
                  <w:noWrap w:val="0"/>
                  <w:vAlign w:val="center"/>
                </w:tcPr>
                <w:p w14:paraId="74004A80">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桶装加盖</w:t>
                  </w:r>
                </w:p>
              </w:tc>
              <w:tc>
                <w:tcPr>
                  <w:tcW w:w="823" w:type="dxa"/>
                  <w:tcBorders>
                    <w:tl2br w:val="nil"/>
                    <w:tr2bl w:val="nil"/>
                  </w:tcBorders>
                  <w:noWrap w:val="0"/>
                  <w:vAlign w:val="center"/>
                </w:tcPr>
                <w:p w14:paraId="3C68A1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一年</w:t>
                  </w:r>
                </w:p>
              </w:tc>
            </w:tr>
            <w:tr w14:paraId="156EF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77" w:type="dxa"/>
                  <w:tcBorders>
                    <w:tl2br w:val="nil"/>
                    <w:tr2bl w:val="nil"/>
                  </w:tcBorders>
                  <w:noWrap w:val="0"/>
                  <w:vAlign w:val="center"/>
                </w:tcPr>
                <w:p w14:paraId="046995DD">
                  <w:pPr>
                    <w:pStyle w:val="31"/>
                    <w:keepNext w:val="0"/>
                    <w:keepLines w:val="0"/>
                    <w:pageBreakBefore w:val="0"/>
                    <w:widowControl w:val="0"/>
                    <w:numPr>
                      <w:ilvl w:val="0"/>
                      <w:numId w:val="38"/>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continue"/>
                  <w:tcBorders>
                    <w:tl2br w:val="nil"/>
                    <w:tr2bl w:val="nil"/>
                  </w:tcBorders>
                  <w:noWrap w:val="0"/>
                  <w:vAlign w:val="center"/>
                </w:tcPr>
                <w:p w14:paraId="728A908A">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623" w:type="dxa"/>
                  <w:tcBorders>
                    <w:tl2br w:val="nil"/>
                    <w:tr2bl w:val="nil"/>
                  </w:tcBorders>
                  <w:noWrap w:val="0"/>
                  <w:vAlign w:val="center"/>
                </w:tcPr>
                <w:p w14:paraId="13B5483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废遮蔽物</w:t>
                  </w:r>
                </w:p>
              </w:tc>
              <w:tc>
                <w:tcPr>
                  <w:tcW w:w="778" w:type="dxa"/>
                  <w:tcBorders>
                    <w:tl2br w:val="nil"/>
                    <w:tr2bl w:val="nil"/>
                  </w:tcBorders>
                  <w:noWrap w:val="0"/>
                  <w:vAlign w:val="center"/>
                </w:tcPr>
                <w:p w14:paraId="747CC39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HW12</w:t>
                  </w:r>
                </w:p>
              </w:tc>
              <w:tc>
                <w:tcPr>
                  <w:tcW w:w="1281" w:type="dxa"/>
                  <w:tcBorders>
                    <w:tl2br w:val="nil"/>
                    <w:tr2bl w:val="nil"/>
                  </w:tcBorders>
                  <w:noWrap w:val="0"/>
                  <w:vAlign w:val="center"/>
                </w:tcPr>
                <w:p w14:paraId="79F29EA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900-252-12</w:t>
                  </w:r>
                </w:p>
              </w:tc>
              <w:tc>
                <w:tcPr>
                  <w:tcW w:w="719" w:type="dxa"/>
                  <w:vMerge w:val="continue"/>
                  <w:tcBorders>
                    <w:tl2br w:val="nil"/>
                    <w:tr2bl w:val="nil"/>
                  </w:tcBorders>
                  <w:noWrap w:val="0"/>
                  <w:vAlign w:val="center"/>
                </w:tcPr>
                <w:p w14:paraId="6687014C">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50" w:type="dxa"/>
                  <w:vMerge w:val="continue"/>
                  <w:tcBorders>
                    <w:tl2br w:val="nil"/>
                    <w:tr2bl w:val="nil"/>
                  </w:tcBorders>
                  <w:noWrap w:val="0"/>
                  <w:vAlign w:val="center"/>
                </w:tcPr>
                <w:p w14:paraId="7DC4FF9B">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103" w:type="dxa"/>
                  <w:tcBorders>
                    <w:tl2br w:val="nil"/>
                    <w:tr2bl w:val="nil"/>
                  </w:tcBorders>
                  <w:noWrap w:val="0"/>
                  <w:vAlign w:val="center"/>
                </w:tcPr>
                <w:p w14:paraId="2E83E5E9">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桶装加盖</w:t>
                  </w:r>
                </w:p>
              </w:tc>
              <w:tc>
                <w:tcPr>
                  <w:tcW w:w="823" w:type="dxa"/>
                  <w:tcBorders>
                    <w:tl2br w:val="nil"/>
                    <w:tr2bl w:val="nil"/>
                  </w:tcBorders>
                  <w:noWrap w:val="0"/>
                  <w:vAlign w:val="center"/>
                </w:tcPr>
                <w:p w14:paraId="092EC9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一年</w:t>
                  </w:r>
                </w:p>
              </w:tc>
            </w:tr>
            <w:tr w14:paraId="4A700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77" w:type="dxa"/>
                  <w:tcBorders>
                    <w:tl2br w:val="nil"/>
                    <w:tr2bl w:val="nil"/>
                  </w:tcBorders>
                  <w:noWrap w:val="0"/>
                  <w:vAlign w:val="center"/>
                </w:tcPr>
                <w:p w14:paraId="2A3A5887">
                  <w:pPr>
                    <w:pStyle w:val="31"/>
                    <w:keepNext w:val="0"/>
                    <w:keepLines w:val="0"/>
                    <w:pageBreakBefore w:val="0"/>
                    <w:widowControl w:val="0"/>
                    <w:numPr>
                      <w:ilvl w:val="0"/>
                      <w:numId w:val="38"/>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continue"/>
                  <w:tcBorders>
                    <w:tl2br w:val="nil"/>
                    <w:tr2bl w:val="nil"/>
                  </w:tcBorders>
                  <w:noWrap w:val="0"/>
                  <w:vAlign w:val="center"/>
                </w:tcPr>
                <w:p w14:paraId="4BF63C37">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623" w:type="dxa"/>
                  <w:tcBorders>
                    <w:tl2br w:val="nil"/>
                    <w:tr2bl w:val="nil"/>
                  </w:tcBorders>
                  <w:noWrap w:val="0"/>
                  <w:vAlign w:val="center"/>
                </w:tcPr>
                <w:p w14:paraId="62EB137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废纸盒</w:t>
                  </w:r>
                </w:p>
              </w:tc>
              <w:tc>
                <w:tcPr>
                  <w:tcW w:w="778" w:type="dxa"/>
                  <w:tcBorders>
                    <w:tl2br w:val="nil"/>
                    <w:tr2bl w:val="nil"/>
                  </w:tcBorders>
                  <w:noWrap w:val="0"/>
                  <w:vAlign w:val="center"/>
                </w:tcPr>
                <w:p w14:paraId="54D488E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HW49</w:t>
                  </w:r>
                </w:p>
              </w:tc>
              <w:tc>
                <w:tcPr>
                  <w:tcW w:w="1281" w:type="dxa"/>
                  <w:tcBorders>
                    <w:tl2br w:val="nil"/>
                    <w:tr2bl w:val="nil"/>
                  </w:tcBorders>
                  <w:noWrap w:val="0"/>
                  <w:vAlign w:val="center"/>
                </w:tcPr>
                <w:p w14:paraId="332C139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w:t>
                  </w:r>
                  <w:r>
                    <w:rPr>
                      <w:rFonts w:hint="eastAsia" w:cs="Times New Roman"/>
                      <w:color w:val="auto"/>
                      <w:sz w:val="21"/>
                      <w:szCs w:val="21"/>
                      <w:highlight w:val="none"/>
                      <w:shd w:val="clear" w:color="auto" w:fill="auto"/>
                      <w:lang w:val="en-US" w:eastAsia="zh-CN"/>
                    </w:rPr>
                    <w:t>041</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49</w:t>
                  </w:r>
                </w:p>
              </w:tc>
              <w:tc>
                <w:tcPr>
                  <w:tcW w:w="719" w:type="dxa"/>
                  <w:vMerge w:val="continue"/>
                  <w:tcBorders>
                    <w:tl2br w:val="nil"/>
                    <w:tr2bl w:val="nil"/>
                  </w:tcBorders>
                  <w:noWrap w:val="0"/>
                  <w:vAlign w:val="center"/>
                </w:tcPr>
                <w:p w14:paraId="347C2094">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50" w:type="dxa"/>
                  <w:vMerge w:val="continue"/>
                  <w:tcBorders>
                    <w:tl2br w:val="nil"/>
                    <w:tr2bl w:val="nil"/>
                  </w:tcBorders>
                  <w:noWrap w:val="0"/>
                  <w:vAlign w:val="center"/>
                </w:tcPr>
                <w:p w14:paraId="5C40F940">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103" w:type="dxa"/>
                  <w:tcBorders>
                    <w:tl2br w:val="nil"/>
                    <w:tr2bl w:val="nil"/>
                  </w:tcBorders>
                  <w:noWrap w:val="0"/>
                  <w:vAlign w:val="center"/>
                </w:tcPr>
                <w:p w14:paraId="5E31F514">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专用容器密闭收集</w:t>
                  </w:r>
                </w:p>
              </w:tc>
              <w:tc>
                <w:tcPr>
                  <w:tcW w:w="823" w:type="dxa"/>
                  <w:tcBorders>
                    <w:tl2br w:val="nil"/>
                    <w:tr2bl w:val="nil"/>
                  </w:tcBorders>
                  <w:noWrap w:val="0"/>
                  <w:vAlign w:val="center"/>
                </w:tcPr>
                <w:p w14:paraId="7FC916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一年</w:t>
                  </w:r>
                </w:p>
              </w:tc>
            </w:tr>
            <w:tr w14:paraId="04A2F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77" w:type="dxa"/>
                  <w:tcBorders>
                    <w:tl2br w:val="nil"/>
                    <w:tr2bl w:val="nil"/>
                  </w:tcBorders>
                  <w:noWrap w:val="0"/>
                  <w:vAlign w:val="center"/>
                </w:tcPr>
                <w:p w14:paraId="2AB7B271">
                  <w:pPr>
                    <w:pStyle w:val="31"/>
                    <w:keepNext w:val="0"/>
                    <w:keepLines w:val="0"/>
                    <w:pageBreakBefore w:val="0"/>
                    <w:widowControl w:val="0"/>
                    <w:numPr>
                      <w:ilvl w:val="0"/>
                      <w:numId w:val="38"/>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continue"/>
                  <w:tcBorders>
                    <w:tl2br w:val="nil"/>
                    <w:tr2bl w:val="nil"/>
                  </w:tcBorders>
                  <w:noWrap w:val="0"/>
                  <w:vAlign w:val="center"/>
                </w:tcPr>
                <w:p w14:paraId="30887912">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623" w:type="dxa"/>
                  <w:tcBorders>
                    <w:tl2br w:val="nil"/>
                    <w:tr2bl w:val="nil"/>
                  </w:tcBorders>
                  <w:noWrap w:val="0"/>
                  <w:vAlign w:val="center"/>
                </w:tcPr>
                <w:p w14:paraId="56ACF5FF">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废过滤棉</w:t>
                  </w:r>
                </w:p>
              </w:tc>
              <w:tc>
                <w:tcPr>
                  <w:tcW w:w="778" w:type="dxa"/>
                  <w:tcBorders>
                    <w:tl2br w:val="nil"/>
                    <w:tr2bl w:val="nil"/>
                  </w:tcBorders>
                  <w:noWrap w:val="0"/>
                  <w:vAlign w:val="center"/>
                </w:tcPr>
                <w:p w14:paraId="4CD9440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HW49</w:t>
                  </w:r>
                </w:p>
              </w:tc>
              <w:tc>
                <w:tcPr>
                  <w:tcW w:w="1281" w:type="dxa"/>
                  <w:tcBorders>
                    <w:tl2br w:val="nil"/>
                    <w:tr2bl w:val="nil"/>
                  </w:tcBorders>
                  <w:noWrap w:val="0"/>
                  <w:vAlign w:val="center"/>
                </w:tcPr>
                <w:p w14:paraId="6AA9C2A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900-041-49</w:t>
                  </w:r>
                </w:p>
              </w:tc>
              <w:tc>
                <w:tcPr>
                  <w:tcW w:w="719" w:type="dxa"/>
                  <w:vMerge w:val="continue"/>
                  <w:tcBorders>
                    <w:tl2br w:val="nil"/>
                    <w:tr2bl w:val="nil"/>
                  </w:tcBorders>
                  <w:noWrap w:val="0"/>
                  <w:vAlign w:val="center"/>
                </w:tcPr>
                <w:p w14:paraId="6C44DD0F">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50" w:type="dxa"/>
                  <w:vMerge w:val="continue"/>
                  <w:tcBorders>
                    <w:tl2br w:val="nil"/>
                    <w:tr2bl w:val="nil"/>
                  </w:tcBorders>
                  <w:noWrap w:val="0"/>
                  <w:vAlign w:val="center"/>
                </w:tcPr>
                <w:p w14:paraId="77A1427F">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103" w:type="dxa"/>
                  <w:tcBorders>
                    <w:tl2br w:val="nil"/>
                    <w:tr2bl w:val="nil"/>
                  </w:tcBorders>
                  <w:noWrap w:val="0"/>
                  <w:vAlign w:val="center"/>
                </w:tcPr>
                <w:p w14:paraId="644E1959">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专用容器密闭收集</w:t>
                  </w:r>
                </w:p>
              </w:tc>
              <w:tc>
                <w:tcPr>
                  <w:tcW w:w="823" w:type="dxa"/>
                  <w:tcBorders>
                    <w:tl2br w:val="nil"/>
                    <w:tr2bl w:val="nil"/>
                  </w:tcBorders>
                  <w:noWrap w:val="0"/>
                  <w:vAlign w:val="center"/>
                </w:tcPr>
                <w:p w14:paraId="7F1087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一年</w:t>
                  </w:r>
                </w:p>
              </w:tc>
            </w:tr>
            <w:tr w14:paraId="2F681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77" w:type="dxa"/>
                  <w:tcBorders>
                    <w:tl2br w:val="nil"/>
                    <w:tr2bl w:val="nil"/>
                  </w:tcBorders>
                  <w:noWrap w:val="0"/>
                  <w:vAlign w:val="center"/>
                </w:tcPr>
                <w:p w14:paraId="33988D0E">
                  <w:pPr>
                    <w:pStyle w:val="31"/>
                    <w:keepNext w:val="0"/>
                    <w:keepLines w:val="0"/>
                    <w:pageBreakBefore w:val="0"/>
                    <w:widowControl w:val="0"/>
                    <w:numPr>
                      <w:ilvl w:val="0"/>
                      <w:numId w:val="38"/>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continue"/>
                  <w:tcBorders>
                    <w:tl2br w:val="nil"/>
                    <w:tr2bl w:val="nil"/>
                  </w:tcBorders>
                  <w:noWrap w:val="0"/>
                  <w:vAlign w:val="center"/>
                </w:tcPr>
                <w:p w14:paraId="0EFD4713">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623" w:type="dxa"/>
                  <w:tcBorders>
                    <w:tl2br w:val="nil"/>
                    <w:tr2bl w:val="nil"/>
                  </w:tcBorders>
                  <w:noWrap w:val="0"/>
                  <w:vAlign w:val="center"/>
                </w:tcPr>
                <w:p w14:paraId="55DD65F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lang w:val="en-US" w:eastAsia="zh-CN"/>
                    </w:rPr>
                    <w:t>废催化剂</w:t>
                  </w:r>
                </w:p>
              </w:tc>
              <w:tc>
                <w:tcPr>
                  <w:tcW w:w="778" w:type="dxa"/>
                  <w:tcBorders>
                    <w:tl2br w:val="nil"/>
                    <w:tr2bl w:val="nil"/>
                  </w:tcBorders>
                  <w:noWrap w:val="0"/>
                  <w:vAlign w:val="center"/>
                </w:tcPr>
                <w:p w14:paraId="02F3834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HW50</w:t>
                  </w:r>
                </w:p>
              </w:tc>
              <w:tc>
                <w:tcPr>
                  <w:tcW w:w="1281" w:type="dxa"/>
                  <w:tcBorders>
                    <w:tl2br w:val="nil"/>
                    <w:tr2bl w:val="nil"/>
                  </w:tcBorders>
                  <w:noWrap w:val="0"/>
                  <w:vAlign w:val="center"/>
                </w:tcPr>
                <w:p w14:paraId="3F134C2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772-007-50</w:t>
                  </w:r>
                </w:p>
              </w:tc>
              <w:tc>
                <w:tcPr>
                  <w:tcW w:w="719" w:type="dxa"/>
                  <w:vMerge w:val="continue"/>
                  <w:tcBorders>
                    <w:tl2br w:val="nil"/>
                    <w:tr2bl w:val="nil"/>
                  </w:tcBorders>
                  <w:noWrap w:val="0"/>
                  <w:vAlign w:val="center"/>
                </w:tcPr>
                <w:p w14:paraId="7AE6C852">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50" w:type="dxa"/>
                  <w:vMerge w:val="continue"/>
                  <w:tcBorders>
                    <w:tl2br w:val="nil"/>
                    <w:tr2bl w:val="nil"/>
                  </w:tcBorders>
                  <w:noWrap w:val="0"/>
                  <w:vAlign w:val="center"/>
                </w:tcPr>
                <w:p w14:paraId="070097E5">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103" w:type="dxa"/>
                  <w:tcBorders>
                    <w:tl2br w:val="nil"/>
                    <w:tr2bl w:val="nil"/>
                  </w:tcBorders>
                  <w:noWrap w:val="0"/>
                  <w:vAlign w:val="center"/>
                </w:tcPr>
                <w:p w14:paraId="26C674FA">
                  <w:pPr>
                    <w:pStyle w:val="31"/>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专用容器密闭收集</w:t>
                  </w:r>
                </w:p>
              </w:tc>
              <w:tc>
                <w:tcPr>
                  <w:tcW w:w="823" w:type="dxa"/>
                  <w:tcBorders>
                    <w:tl2br w:val="nil"/>
                    <w:tr2bl w:val="nil"/>
                  </w:tcBorders>
                  <w:noWrap w:val="0"/>
                  <w:vAlign w:val="center"/>
                </w:tcPr>
                <w:p w14:paraId="0B71DB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一年</w:t>
                  </w:r>
                </w:p>
              </w:tc>
            </w:tr>
          </w:tbl>
          <w:p w14:paraId="214362CF">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outlineLvl w:val="9"/>
              <w:rPr>
                <w:rFonts w:hint="eastAsia" w:cs="Times New Roman"/>
                <w:b w:val="0"/>
                <w:bCs w:val="0"/>
                <w:color w:val="auto"/>
                <w:sz w:val="24"/>
                <w:szCs w:val="21"/>
                <w:highlight w:val="none"/>
                <w:shd w:val="clear" w:color="auto" w:fill="auto"/>
                <w:lang w:val="en-US" w:eastAsia="zh-CN"/>
              </w:rPr>
            </w:pPr>
            <w:r>
              <w:rPr>
                <w:rFonts w:hint="eastAsia" w:cs="Times New Roman"/>
                <w:b w:val="0"/>
                <w:bCs w:val="0"/>
                <w:color w:val="auto"/>
                <w:sz w:val="24"/>
                <w:szCs w:val="21"/>
                <w:highlight w:val="none"/>
                <w:shd w:val="clear" w:color="auto" w:fill="auto"/>
                <w:lang w:val="en-US" w:eastAsia="zh-CN"/>
              </w:rPr>
              <w:t>危废暂存间标识要求：</w:t>
            </w:r>
          </w:p>
          <w:p w14:paraId="10861112">
            <w:pPr>
              <w:bidi w:val="0"/>
              <w:rPr>
                <w:rFonts w:hint="default"/>
                <w:color w:val="auto"/>
                <w:highlight w:val="none"/>
              </w:rPr>
            </w:pPr>
            <w:r>
              <w:rPr>
                <w:rFonts w:hint="default"/>
                <w:color w:val="auto"/>
                <w:highlight w:val="none"/>
              </w:rPr>
              <w:t>按照</w:t>
            </w:r>
            <w:r>
              <w:rPr>
                <w:rFonts w:hint="eastAsia"/>
                <w:color w:val="auto"/>
                <w:highlight w:val="none"/>
                <w:lang w:eastAsia="zh-CN"/>
              </w:rPr>
              <w:t>《危险废物贮存污染控制标准》（GB18597-2023）</w:t>
            </w:r>
            <w:r>
              <w:rPr>
                <w:rFonts w:hint="default"/>
                <w:color w:val="auto"/>
                <w:highlight w:val="none"/>
              </w:rPr>
              <w:t>相关规定要求，危废间及危险废物储存容器上需要张贴标签，具体要求如下：</w:t>
            </w:r>
          </w:p>
          <w:p w14:paraId="0B226961">
            <w:pPr>
              <w:pStyle w:val="49"/>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b/>
                <w:bCs/>
                <w:color w:val="auto"/>
                <w:spacing w:val="6"/>
                <w:sz w:val="21"/>
                <w:szCs w:val="21"/>
                <w:highlight w:val="none"/>
              </w:rPr>
            </w:pPr>
          </w:p>
          <w:p w14:paraId="3DEEFC00">
            <w:pPr>
              <w:pStyle w:val="49"/>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b/>
                <w:bCs/>
                <w:color w:val="auto"/>
                <w:spacing w:val="6"/>
                <w:sz w:val="21"/>
                <w:szCs w:val="21"/>
                <w:highlight w:val="none"/>
              </w:rPr>
            </w:pPr>
          </w:p>
          <w:p w14:paraId="1367FB43">
            <w:pPr>
              <w:pStyle w:val="49"/>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b/>
                <w:bCs/>
                <w:color w:val="auto"/>
                <w:spacing w:val="6"/>
                <w:sz w:val="21"/>
                <w:szCs w:val="21"/>
                <w:highlight w:val="none"/>
              </w:rPr>
            </w:pPr>
          </w:p>
          <w:p w14:paraId="47043B4C">
            <w:pPr>
              <w:pStyle w:val="49"/>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b/>
                <w:bCs/>
                <w:color w:val="auto"/>
                <w:spacing w:val="6"/>
                <w:sz w:val="21"/>
                <w:szCs w:val="21"/>
                <w:highlight w:val="none"/>
              </w:rPr>
            </w:pPr>
          </w:p>
          <w:p w14:paraId="4C9644CA">
            <w:pPr>
              <w:pStyle w:val="49"/>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b/>
                <w:bCs/>
                <w:color w:val="auto"/>
                <w:spacing w:val="6"/>
                <w:sz w:val="21"/>
                <w:szCs w:val="21"/>
                <w:highlight w:val="none"/>
              </w:rPr>
            </w:pPr>
          </w:p>
          <w:p w14:paraId="44519039">
            <w:pPr>
              <w:pStyle w:val="49"/>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b/>
                <w:bCs/>
                <w:color w:val="auto"/>
                <w:spacing w:val="6"/>
                <w:sz w:val="21"/>
                <w:szCs w:val="21"/>
                <w:highlight w:val="none"/>
              </w:rPr>
            </w:pPr>
          </w:p>
          <w:p w14:paraId="2DFFA97B">
            <w:pPr>
              <w:pStyle w:val="49"/>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表</w:t>
            </w:r>
            <w:r>
              <w:rPr>
                <w:rFonts w:hint="eastAsia" w:cs="Times New Roman"/>
                <w:b/>
                <w:bCs/>
                <w:color w:val="auto"/>
                <w:spacing w:val="6"/>
                <w:sz w:val="21"/>
                <w:szCs w:val="21"/>
                <w:highlight w:val="none"/>
                <w:lang w:val="en-US" w:eastAsia="zh-CN"/>
              </w:rPr>
              <w:t xml:space="preserve">62 </w:t>
            </w:r>
            <w:r>
              <w:rPr>
                <w:rFonts w:hint="default" w:ascii="Times New Roman" w:hAnsi="Times New Roman" w:cs="Times New Roman"/>
                <w:b/>
                <w:bCs/>
                <w:color w:val="auto"/>
                <w:spacing w:val="6"/>
                <w:sz w:val="21"/>
                <w:szCs w:val="21"/>
                <w:highlight w:val="none"/>
              </w:rPr>
              <w:t xml:space="preserve"> 危废间及储存容器标签示例</w:t>
            </w:r>
          </w:p>
          <w:tbl>
            <w:tblPr>
              <w:tblStyle w:val="24"/>
              <w:tblW w:w="84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3" w:type="dxa"/>
                <w:bottom w:w="0" w:type="dxa"/>
                <w:right w:w="0" w:type="dxa"/>
              </w:tblCellMar>
            </w:tblPr>
            <w:tblGrid>
              <w:gridCol w:w="721"/>
              <w:gridCol w:w="2160"/>
              <w:gridCol w:w="5566"/>
            </w:tblGrid>
            <w:tr w14:paraId="630FC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362" w:hRule="atLeast"/>
                <w:jc w:val="center"/>
              </w:trPr>
              <w:tc>
                <w:tcPr>
                  <w:tcW w:w="717" w:type="dxa"/>
                  <w:noWrap w:val="0"/>
                  <w:vAlign w:val="center"/>
                </w:tcPr>
                <w:p w14:paraId="482F75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场合</w:t>
                  </w:r>
                </w:p>
              </w:tc>
              <w:tc>
                <w:tcPr>
                  <w:tcW w:w="2145" w:type="dxa"/>
                  <w:noWrap w:val="0"/>
                  <w:vAlign w:val="center"/>
                </w:tcPr>
                <w:p w14:paraId="7E1864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样式</w:t>
                  </w:r>
                </w:p>
              </w:tc>
              <w:tc>
                <w:tcPr>
                  <w:tcW w:w="5528" w:type="dxa"/>
                  <w:noWrap w:val="0"/>
                  <w:vAlign w:val="center"/>
                </w:tcPr>
                <w:p w14:paraId="1DA1C8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r>
            <w:tr w14:paraId="2777F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2675" w:hRule="atLeast"/>
                <w:jc w:val="center"/>
              </w:trPr>
              <w:tc>
                <w:tcPr>
                  <w:tcW w:w="717" w:type="dxa"/>
                  <w:vMerge w:val="restart"/>
                  <w:noWrap w:val="0"/>
                  <w:vAlign w:val="center"/>
                </w:tcPr>
                <w:p w14:paraId="47DA1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室外（粘贴于门上或悬挂）</w:t>
                  </w:r>
                </w:p>
              </w:tc>
              <w:tc>
                <w:tcPr>
                  <w:tcW w:w="2145" w:type="dxa"/>
                  <w:noWrap w:val="0"/>
                  <w:vAlign w:val="center"/>
                </w:tcPr>
                <w:p w14:paraId="0EBE6CA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color w:val="auto"/>
                      <w:highlight w:val="none"/>
                    </w:rPr>
                    <w:drawing>
                      <wp:inline distT="0" distB="0" distL="114300" distR="114300">
                        <wp:extent cx="1252855" cy="791845"/>
                        <wp:effectExtent l="0" t="0" r="1905" b="63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4"/>
                                <a:stretch>
                                  <a:fillRect/>
                                </a:stretch>
                              </pic:blipFill>
                              <pic:spPr>
                                <a:xfrm>
                                  <a:off x="0" y="0"/>
                                  <a:ext cx="1252855" cy="791845"/>
                                </a:xfrm>
                                <a:prstGeom prst="rect">
                                  <a:avLst/>
                                </a:prstGeom>
                                <a:noFill/>
                                <a:ln>
                                  <a:noFill/>
                                </a:ln>
                              </pic:spPr>
                            </pic:pic>
                          </a:graphicData>
                        </a:graphic>
                      </wp:inline>
                    </w:drawing>
                  </w:r>
                </w:p>
              </w:tc>
              <w:tc>
                <w:tcPr>
                  <w:tcW w:w="5528" w:type="dxa"/>
                  <w:vMerge w:val="restart"/>
                  <w:noWrap w:val="0"/>
                  <w:vAlign w:val="center"/>
                </w:tcPr>
                <w:p w14:paraId="6ADFF0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危险废物贮存设施标志可采用横版或竖版的形式</w:t>
                  </w:r>
                  <w:r>
                    <w:rPr>
                      <w:rFonts w:hint="eastAsia" w:cs="Times New Roman"/>
                      <w:color w:val="auto"/>
                      <w:sz w:val="21"/>
                      <w:szCs w:val="21"/>
                      <w:highlight w:val="none"/>
                      <w:lang w:val="en-US" w:eastAsia="zh-CN"/>
                    </w:rPr>
                    <w:t>。</w:t>
                  </w:r>
                </w:p>
                <w:p w14:paraId="3A359583">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危险废物贮存设施标志的颜色：危险废物设施标志背景颜色为黄色，RGB颜色值为（255，255，0）。字体和边框颜色为黑色，RGB颜色值为（0，0，0）；</w:t>
                  </w:r>
                </w:p>
                <w:p w14:paraId="656AE17F">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危险废物贮存设施标志的字体：危险废物设施标志字体应采用黑体字，其中危险废物设施类型的字样应加粗放大并居中显示；</w:t>
                  </w:r>
                </w:p>
                <w:p w14:paraId="5F61E8A9">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危险废物贮存设施标志的尺寸：宜根据其设置位置和对应的观察距离按照《危险废物识别标志设置技术规范》（HJ 1276-2022）中表3要求进行设计；</w:t>
                  </w:r>
                </w:p>
                <w:p w14:paraId="2AC8B17C">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危险废物贮存设施标志的材质：宜采用坚固耐用的材料（如1.5mm～2mm冷轧钢板），并做搪瓷处理或贴膜处理；</w:t>
                  </w:r>
                </w:p>
                <w:p w14:paraId="48C05D1D">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印刷：危险废物贮存、利用、处置设施标志的图形和文字应清晰、完整，保证在足够的观察距离条件下也不影响阅读。三角形警告性图形与其他信息间宜加黑色分界线区分，分界线的宽度宜不小于3mm；</w:t>
                  </w:r>
                </w:p>
                <w:p w14:paraId="05024DB9">
                  <w:pPr>
                    <w:keepNext w:val="0"/>
                    <w:keepLines w:val="0"/>
                    <w:pageBreakBefore w:val="0"/>
                    <w:widowControl w:val="0"/>
                    <w:numPr>
                      <w:ilvl w:val="0"/>
                      <w:numId w:val="39"/>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危险废物贮存设施标志的外观：危险废物贮存、利用、处置设施的标志牌和立柱无明显变形。标志牌表面无气泡，膜或搪瓷无脱落。图案清晰，色泽一致，没有明显缺损。</w:t>
                  </w:r>
                </w:p>
              </w:tc>
            </w:tr>
            <w:tr w14:paraId="74846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3347" w:hRule="atLeast"/>
                <w:jc w:val="center"/>
              </w:trPr>
              <w:tc>
                <w:tcPr>
                  <w:tcW w:w="717" w:type="dxa"/>
                  <w:vMerge w:val="continue"/>
                  <w:noWrap w:val="0"/>
                  <w:vAlign w:val="center"/>
                </w:tcPr>
                <w:p w14:paraId="4184E22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p>
              </w:tc>
              <w:tc>
                <w:tcPr>
                  <w:tcW w:w="2145" w:type="dxa"/>
                  <w:noWrap w:val="0"/>
                  <w:vAlign w:val="center"/>
                </w:tcPr>
                <w:p w14:paraId="1435947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r>
                    <w:rPr>
                      <w:color w:val="auto"/>
                      <w:highlight w:val="none"/>
                    </w:rPr>
                    <w:drawing>
                      <wp:inline distT="0" distB="0" distL="114300" distR="114300">
                        <wp:extent cx="1257300" cy="1979930"/>
                        <wp:effectExtent l="0" t="0" r="5715" b="12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5"/>
                                <a:stretch>
                                  <a:fillRect/>
                                </a:stretch>
                              </pic:blipFill>
                              <pic:spPr>
                                <a:xfrm>
                                  <a:off x="0" y="0"/>
                                  <a:ext cx="1257300" cy="1979930"/>
                                </a:xfrm>
                                <a:prstGeom prst="rect">
                                  <a:avLst/>
                                </a:prstGeom>
                                <a:noFill/>
                                <a:ln>
                                  <a:noFill/>
                                </a:ln>
                              </pic:spPr>
                            </pic:pic>
                          </a:graphicData>
                        </a:graphic>
                      </wp:inline>
                    </w:drawing>
                  </w:r>
                </w:p>
              </w:tc>
              <w:tc>
                <w:tcPr>
                  <w:tcW w:w="5528" w:type="dxa"/>
                  <w:vMerge w:val="continue"/>
                  <w:noWrap w:val="0"/>
                  <w:vAlign w:val="center"/>
                </w:tcPr>
                <w:p w14:paraId="0715FA1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p>
              </w:tc>
            </w:tr>
            <w:tr w14:paraId="5F623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0" w:hRule="atLeast"/>
                <w:jc w:val="center"/>
              </w:trPr>
              <w:tc>
                <w:tcPr>
                  <w:tcW w:w="717" w:type="dxa"/>
                  <w:noWrap w:val="0"/>
                  <w:vAlign w:val="center"/>
                </w:tcPr>
                <w:p w14:paraId="081FA3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粘贴于危险废物储存容器</w:t>
                  </w:r>
                </w:p>
              </w:tc>
              <w:tc>
                <w:tcPr>
                  <w:tcW w:w="2145" w:type="dxa"/>
                  <w:noWrap w:val="0"/>
                  <w:vAlign w:val="center"/>
                </w:tcPr>
                <w:p w14:paraId="41B45D3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rPr>
                  </w:pPr>
                  <w:r>
                    <w:rPr>
                      <w:color w:val="auto"/>
                      <w:highlight w:val="none"/>
                    </w:rPr>
                    <w:drawing>
                      <wp:inline distT="0" distB="0" distL="114300" distR="114300">
                        <wp:extent cx="1259840" cy="1259840"/>
                        <wp:effectExtent l="0" t="0" r="3175" b="31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46"/>
                                <a:stretch>
                                  <a:fillRect/>
                                </a:stretch>
                              </pic:blipFill>
                              <pic:spPr>
                                <a:xfrm>
                                  <a:off x="0" y="0"/>
                                  <a:ext cx="1259840" cy="1259840"/>
                                </a:xfrm>
                                <a:prstGeom prst="rect">
                                  <a:avLst/>
                                </a:prstGeom>
                                <a:noFill/>
                                <a:ln>
                                  <a:noFill/>
                                </a:ln>
                              </pic:spPr>
                            </pic:pic>
                          </a:graphicData>
                        </a:graphic>
                      </wp:inline>
                    </w:drawing>
                  </w:r>
                </w:p>
              </w:tc>
              <w:tc>
                <w:tcPr>
                  <w:tcW w:w="5528" w:type="dxa"/>
                  <w:noWrap w:val="0"/>
                  <w:vAlign w:val="center"/>
                </w:tcPr>
                <w:p w14:paraId="2039217C">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危险废物标签的颜色：危险废物标签背景色应采用醒目的橘黄色，RGB颜色值为（255，150，0）。标签边框和字体颜色为黑色，RGB颜色值为（0，0，0）；</w:t>
                  </w:r>
                </w:p>
                <w:p w14:paraId="62915399">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危险废物标签的字体：危险废物标签字体宜采用黑体字，其中“危险废物”字样应加粗放大；</w:t>
                  </w:r>
                </w:p>
                <w:p w14:paraId="7E1C6888">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危险废物标签的尺寸：宜根据其设置位置和对应的观察距离按照《危险废物识别标志设置技术规范》（HJ 1276-2022）中表1要求进行设计；</w:t>
                  </w:r>
                </w:p>
                <w:p w14:paraId="57E31329">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危险废物标签的材质：危险废物标签所选用的材质宜具有一定的耐用性和防水性。标签可采用不干胶印刷品，或印刷品外加防水塑料袋或塑封等；</w:t>
                  </w:r>
                </w:p>
                <w:p w14:paraId="0A1CBE0F">
                  <w:pPr>
                    <w:keepNext w:val="0"/>
                    <w:keepLines w:val="0"/>
                    <w:pageBreakBefore w:val="0"/>
                    <w:widowControl w:val="0"/>
                    <w:numPr>
                      <w:ilvl w:val="0"/>
                      <w:numId w:val="4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危险废物标签的印刷：危险废物标签印刷的油墨应均匀，图案和文字应清晰、完整。危险废物标签的文字边缘宜加黑色边框，边框宽度不小于1mm，边框外宜留不小于3mm的空白。</w:t>
                  </w:r>
                </w:p>
              </w:tc>
            </w:tr>
            <w:tr w14:paraId="0AA62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1752" w:hRule="atLeast"/>
                <w:jc w:val="center"/>
              </w:trPr>
              <w:tc>
                <w:tcPr>
                  <w:tcW w:w="2862" w:type="dxa"/>
                  <w:gridSpan w:val="2"/>
                  <w:noWrap w:val="0"/>
                  <w:vAlign w:val="center"/>
                </w:tcPr>
                <w:p w14:paraId="2367D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highlight w:val="none"/>
                    </w:rPr>
                    <w:drawing>
                      <wp:inline distT="0" distB="0" distL="114300" distR="114300">
                        <wp:extent cx="1590675" cy="133223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7"/>
                                <a:stretch>
                                  <a:fillRect/>
                                </a:stretch>
                              </pic:blipFill>
                              <pic:spPr>
                                <a:xfrm>
                                  <a:off x="0" y="0"/>
                                  <a:ext cx="1590675" cy="1332230"/>
                                </a:xfrm>
                                <a:prstGeom prst="rect">
                                  <a:avLst/>
                                </a:prstGeom>
                                <a:noFill/>
                                <a:ln>
                                  <a:noFill/>
                                </a:ln>
                              </pic:spPr>
                            </pic:pic>
                          </a:graphicData>
                        </a:graphic>
                      </wp:inline>
                    </w:drawing>
                  </w:r>
                </w:p>
              </w:tc>
              <w:tc>
                <w:tcPr>
                  <w:tcW w:w="5528" w:type="dxa"/>
                  <w:noWrap w:val="0"/>
                  <w:vAlign w:val="center"/>
                </w:tcPr>
                <w:p w14:paraId="3DA6126F">
                  <w:pPr>
                    <w:keepNext w:val="0"/>
                    <w:keepLines w:val="0"/>
                    <w:pageBreakBefore w:val="0"/>
                    <w:widowControl w:val="0"/>
                    <w:numPr>
                      <w:ilvl w:val="0"/>
                      <w:numId w:val="41"/>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危险废物贮存分区标志的颜色：危险废物分区标志背景色应采用黄色，RGB颜色值为（255，255，0）。废物种类信息应采用醒目的橘黄色，RGB 颜色值为（255，150， 0）。字体颜色为黑色，RGB颜色值为（0，0，0）；</w:t>
                  </w:r>
                </w:p>
                <w:p w14:paraId="513B2380">
                  <w:pPr>
                    <w:keepNext w:val="0"/>
                    <w:keepLines w:val="0"/>
                    <w:pageBreakBefore w:val="0"/>
                    <w:widowControl w:val="0"/>
                    <w:numPr>
                      <w:ilvl w:val="0"/>
                      <w:numId w:val="41"/>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危险废物贮存分区标志的字体：危险废物分区标志的字体宜采用黑体字，其中“危险废物贮存分区标志”字样应加粗放大并居中显示；</w:t>
                  </w:r>
                </w:p>
                <w:p w14:paraId="0C59590E">
                  <w:pPr>
                    <w:keepNext w:val="0"/>
                    <w:keepLines w:val="0"/>
                    <w:pageBreakBefore w:val="0"/>
                    <w:widowControl w:val="0"/>
                    <w:numPr>
                      <w:ilvl w:val="0"/>
                      <w:numId w:val="41"/>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危险废物贮存分区标志的尺寸：宜根据对应的观察距离按照《危险废物识别标志设置技术规范》（HJ 1276-2022）中表2要求进行设计；</w:t>
                  </w:r>
                </w:p>
                <w:p w14:paraId="0C36A3A6">
                  <w:pPr>
                    <w:keepNext w:val="0"/>
                    <w:keepLines w:val="0"/>
                    <w:pageBreakBefore w:val="0"/>
                    <w:widowControl w:val="0"/>
                    <w:numPr>
                      <w:ilvl w:val="0"/>
                      <w:numId w:val="41"/>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危险废物贮存分区标志的材质：危险废物贮存分区标志的衬底宜采用坚固耐用的材料，并具有耐用性和防水性。废物贮存种类信息等可采用印刷纸张、不粘胶材质或塑料卡片等，以便固定在衬底上；</w:t>
                  </w:r>
                </w:p>
                <w:p w14:paraId="01241A16">
                  <w:pPr>
                    <w:keepNext w:val="0"/>
                    <w:keepLines w:val="0"/>
                    <w:pageBreakBefore w:val="0"/>
                    <w:widowControl w:val="0"/>
                    <w:numPr>
                      <w:ilvl w:val="0"/>
                      <w:numId w:val="41"/>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印刷：危险废物贮存分区标志的图形和文字应清晰、完整，保证在足够的观察距离条件下不影响阅读。“危险废物贮存分区标志”字样与其他信息宜加黑色分界线区分，分界线的宽度不小于2mm。</w:t>
                  </w:r>
                </w:p>
              </w:tc>
            </w:tr>
          </w:tbl>
          <w:p w14:paraId="50413B5B">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rPr>
              <w:t xml:space="preserve">危险废物运输 </w:t>
            </w:r>
          </w:p>
          <w:p w14:paraId="12B5D057">
            <w:pPr>
              <w:bidi w:val="0"/>
              <w:rPr>
                <w:rFonts w:hint="default"/>
                <w:color w:val="auto"/>
                <w:highlight w:val="none"/>
              </w:rPr>
            </w:pPr>
            <w:r>
              <w:rPr>
                <w:rFonts w:hint="default"/>
                <w:color w:val="auto"/>
                <w:highlight w:val="none"/>
              </w:rPr>
              <w:t xml:space="preserve">本项目产生的危险废物按照《危险废物收集、贮存、运输技术规范》 （HJ2025-2012）相关要求进行运输，并按要求填写危险废物的收集记录、厂内转运记录表，将记录表作为危险废物管理的重要档案妥善保存。 </w:t>
            </w:r>
          </w:p>
          <w:p w14:paraId="37FAE709">
            <w:pPr>
              <w:bidi w:val="0"/>
              <w:rPr>
                <w:rFonts w:hint="default"/>
                <w:color w:val="auto"/>
                <w:highlight w:val="none"/>
              </w:rPr>
            </w:pPr>
            <w:r>
              <w:rPr>
                <w:rFonts w:hint="default"/>
                <w:color w:val="auto"/>
                <w:highlight w:val="none"/>
              </w:rPr>
              <w:t xml:space="preserve">a、运输承运危险废物时，应按照相关标准要求在危险废物包装上设置标志。 </w:t>
            </w:r>
          </w:p>
          <w:p w14:paraId="1C9CE92E">
            <w:pPr>
              <w:bidi w:val="0"/>
              <w:rPr>
                <w:rFonts w:hint="default"/>
                <w:color w:val="auto"/>
                <w:highlight w:val="none"/>
              </w:rPr>
            </w:pPr>
            <w:r>
              <w:rPr>
                <w:rFonts w:hint="default"/>
                <w:color w:val="auto"/>
                <w:highlight w:val="none"/>
              </w:rPr>
              <w:t xml:space="preserve">b、所有运输车辆按规定的路线运输。 </w:t>
            </w:r>
          </w:p>
          <w:p w14:paraId="366F0539">
            <w:pPr>
              <w:bidi w:val="0"/>
              <w:rPr>
                <w:rFonts w:hint="default"/>
                <w:color w:val="auto"/>
                <w:highlight w:val="none"/>
              </w:rPr>
            </w:pPr>
            <w:r>
              <w:rPr>
                <w:rFonts w:hint="default"/>
                <w:color w:val="auto"/>
                <w:highlight w:val="none"/>
              </w:rPr>
              <w:t xml:space="preserve">c、运输过程中危险废物应放置在密闭容器中，且运输设施应为封闭结构，具有防臭防遗撒功能，安装行驶及装卸记录仪。 </w:t>
            </w:r>
          </w:p>
          <w:p w14:paraId="3BEB53F7">
            <w:pPr>
              <w:bidi w:val="0"/>
              <w:rPr>
                <w:rFonts w:hint="default"/>
                <w:color w:val="auto"/>
                <w:highlight w:val="none"/>
              </w:rPr>
            </w:pPr>
            <w:r>
              <w:rPr>
                <w:rFonts w:hint="default"/>
                <w:color w:val="auto"/>
                <w:highlight w:val="none"/>
              </w:rPr>
              <w:t xml:space="preserve">d、危险废物内部转运作业应采用专用的工具，危险废物内部转运应按照标准要求填写《危险废物厂内转运记录表》。 </w:t>
            </w:r>
          </w:p>
          <w:p w14:paraId="06186938">
            <w:pPr>
              <w:bidi w:val="0"/>
              <w:rPr>
                <w:rFonts w:hint="default"/>
                <w:color w:val="auto"/>
                <w:highlight w:val="none"/>
              </w:rPr>
            </w:pPr>
            <w:r>
              <w:rPr>
                <w:rFonts w:hint="default"/>
                <w:color w:val="auto"/>
                <w:highlight w:val="none"/>
              </w:rPr>
              <w:t>e、危险废物内部转运结束后，应对转运路线进行检查和清理，无危险废物遗失在转运路线上。</w:t>
            </w:r>
          </w:p>
          <w:p w14:paraId="414622FA">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lang w:val="en-US" w:eastAsia="zh-CN"/>
              </w:rPr>
              <w:t>危险废物台账管理要求</w:t>
            </w:r>
          </w:p>
          <w:p w14:paraId="44B2F792">
            <w:pPr>
              <w:bidi w:val="0"/>
              <w:rPr>
                <w:rFonts w:hint="eastAsia"/>
                <w:color w:val="auto"/>
                <w:highlight w:val="none"/>
                <w:lang w:val="en-US" w:eastAsia="zh-CN"/>
              </w:rPr>
            </w:pPr>
            <w:r>
              <w:rPr>
                <w:rFonts w:hint="eastAsia"/>
                <w:color w:val="auto"/>
                <w:highlight w:val="none"/>
                <w:lang w:val="en-US" w:eastAsia="zh-CN"/>
              </w:rPr>
              <w:t>①建立危险废物管理台账，落实危险废物管理台账记录的责任人，明确工作职责，并对危险废物管理台账的真实性、准确性和完整性负法律责任。</w:t>
            </w:r>
          </w:p>
          <w:p w14:paraId="7C5E8450">
            <w:pPr>
              <w:bidi w:val="0"/>
              <w:rPr>
                <w:rFonts w:hint="eastAsia"/>
                <w:color w:val="auto"/>
                <w:highlight w:val="none"/>
                <w:lang w:val="en-US" w:eastAsia="zh-CN"/>
              </w:rPr>
            </w:pPr>
            <w:r>
              <w:rPr>
                <w:rFonts w:hint="default"/>
                <w:color w:val="auto"/>
                <w:highlight w:val="none"/>
                <w:lang w:val="en-US" w:eastAsia="zh-CN"/>
              </w:rPr>
              <w:t>②根据危险废物产生、处置等环节的动态流向，如实建立各环节的危险废物管理台账</w:t>
            </w:r>
            <w:r>
              <w:rPr>
                <w:rFonts w:hint="eastAsia"/>
                <w:color w:val="auto"/>
                <w:highlight w:val="none"/>
                <w:lang w:val="en-US" w:eastAsia="zh-CN"/>
              </w:rPr>
              <w:t>，</w:t>
            </w:r>
          </w:p>
          <w:p w14:paraId="6D4C1677">
            <w:pPr>
              <w:bidi w:val="0"/>
              <w:rPr>
                <w:rFonts w:hint="eastAsia"/>
                <w:color w:val="auto"/>
                <w:highlight w:val="none"/>
                <w:lang w:val="en-US" w:eastAsia="zh-CN"/>
              </w:rPr>
            </w:pPr>
            <w:r>
              <w:rPr>
                <w:rFonts w:hint="default"/>
                <w:color w:val="auto"/>
                <w:highlight w:val="none"/>
                <w:lang w:val="en-US" w:eastAsia="zh-CN"/>
              </w:rPr>
              <w:t>③危险废物产生环节，应记录产生批次编码、产生时间、危险废物名称、危险废物类别、危险废物代码、产生量、计量单位产生危险废物设施编码、产生部门经办人、去向等</w:t>
            </w:r>
            <w:r>
              <w:rPr>
                <w:rFonts w:hint="eastAsia"/>
                <w:color w:val="auto"/>
                <w:highlight w:val="none"/>
                <w:lang w:val="en-US" w:eastAsia="zh-CN"/>
              </w:rPr>
              <w:t>。</w:t>
            </w:r>
          </w:p>
          <w:p w14:paraId="32948BC7">
            <w:pPr>
              <w:bidi w:val="0"/>
              <w:rPr>
                <w:rFonts w:hint="eastAsia"/>
                <w:color w:val="auto"/>
                <w:highlight w:val="none"/>
                <w:lang w:val="en-US" w:eastAsia="zh-CN"/>
              </w:rPr>
            </w:pPr>
            <w:r>
              <w:rPr>
                <w:rFonts w:hint="default"/>
                <w:color w:val="auto"/>
                <w:highlight w:val="none"/>
                <w:lang w:val="en-US" w:eastAsia="zh-CN"/>
              </w:rPr>
              <w:t>④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r>
              <w:rPr>
                <w:rFonts w:hint="eastAsia"/>
                <w:color w:val="auto"/>
                <w:highlight w:val="none"/>
                <w:lang w:val="en-US" w:eastAsia="zh-CN"/>
              </w:rPr>
              <w:t>。</w:t>
            </w:r>
          </w:p>
          <w:p w14:paraId="6E35D919">
            <w:pPr>
              <w:bidi w:val="0"/>
              <w:rPr>
                <w:rFonts w:hint="eastAsia"/>
                <w:color w:val="auto"/>
                <w:highlight w:val="none"/>
                <w:lang w:val="en-US" w:eastAsia="zh-CN"/>
              </w:rPr>
            </w:pPr>
            <w:r>
              <w:rPr>
                <w:rFonts w:hint="default"/>
                <w:color w:val="auto"/>
                <w:highlight w:val="none"/>
                <w:lang w:val="en-US" w:eastAsia="zh-CN"/>
              </w:rPr>
              <w:t>⑤</w:t>
            </w:r>
            <w:r>
              <w:rPr>
                <w:rFonts w:hint="eastAsia"/>
                <w:color w:val="auto"/>
                <w:highlight w:val="none"/>
                <w:lang w:val="en-US" w:eastAsia="zh-CN"/>
              </w:rPr>
              <w:t>根据《河北省固体废物污染环境防治条例》，危险废物管理台账</w:t>
            </w:r>
            <w:r>
              <w:rPr>
                <w:rFonts w:hint="default"/>
                <w:color w:val="auto"/>
                <w:highlight w:val="none"/>
                <w:lang w:val="en-US" w:eastAsia="zh-CN"/>
              </w:rPr>
              <w:t>保存时间</w:t>
            </w:r>
            <w:r>
              <w:rPr>
                <w:rFonts w:hint="eastAsia"/>
                <w:color w:val="auto"/>
                <w:highlight w:val="none"/>
                <w:lang w:val="en-US" w:eastAsia="zh-CN"/>
              </w:rPr>
              <w:t>应当在10年以上。</w:t>
            </w:r>
          </w:p>
          <w:p w14:paraId="1233646C">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default"/>
                <w:color w:val="auto"/>
                <w:highlight w:val="none"/>
              </w:rPr>
              <w:t xml:space="preserve">危险废物处置 </w:t>
            </w:r>
          </w:p>
          <w:p w14:paraId="1765F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eastAsia="宋体"/>
                <w:color w:val="auto"/>
                <w:sz w:val="24"/>
                <w:szCs w:val="24"/>
                <w:highlight w:val="none"/>
                <w:lang w:val="en-US" w:eastAsia="zh-CN"/>
              </w:rPr>
            </w:pPr>
            <w:r>
              <w:rPr>
                <w:rFonts w:hint="default"/>
                <w:color w:val="auto"/>
                <w:sz w:val="24"/>
                <w:szCs w:val="24"/>
                <w:highlight w:val="none"/>
              </w:rPr>
              <w:t>本项目</w:t>
            </w:r>
            <w:r>
              <w:rPr>
                <w:rFonts w:hint="eastAsia"/>
                <w:color w:val="auto"/>
                <w:sz w:val="24"/>
                <w:szCs w:val="24"/>
                <w:highlight w:val="none"/>
                <w:lang w:val="en-US" w:eastAsia="zh-CN"/>
              </w:rPr>
              <w:t>产生的危险废物均</w:t>
            </w:r>
            <w:r>
              <w:rPr>
                <w:rFonts w:hint="default"/>
                <w:color w:val="auto"/>
                <w:sz w:val="24"/>
                <w:szCs w:val="24"/>
                <w:highlight w:val="none"/>
              </w:rPr>
              <w:t>委托有资质的危险废物处置单位进行处理</w:t>
            </w:r>
            <w:r>
              <w:rPr>
                <w:rFonts w:hint="eastAsia"/>
                <w:color w:val="auto"/>
                <w:sz w:val="24"/>
                <w:szCs w:val="24"/>
                <w:highlight w:val="none"/>
                <w:lang w:val="en-US" w:eastAsia="zh-CN"/>
              </w:rPr>
              <w:t>。</w:t>
            </w:r>
          </w:p>
          <w:p w14:paraId="3ED26642">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4.4固体废物影响评价结论</w:t>
            </w:r>
          </w:p>
          <w:p w14:paraId="35CCA68F">
            <w:pPr>
              <w:bidi w:val="0"/>
              <w:rPr>
                <w:rFonts w:hint="default"/>
                <w:color w:val="auto"/>
                <w:highlight w:val="none"/>
              </w:rPr>
            </w:pPr>
            <w:r>
              <w:rPr>
                <w:rFonts w:hint="eastAsia"/>
                <w:color w:val="auto"/>
                <w:highlight w:val="none"/>
                <w:lang w:val="en-US" w:eastAsia="zh-CN"/>
              </w:rPr>
              <w:t>采取本项目提出的固体废物处置措施，各固体废物均得到合理处置，不会对环境造成二次污染。</w:t>
            </w:r>
          </w:p>
          <w:p w14:paraId="6D62A8C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5、地下水、土壤</w:t>
            </w:r>
          </w:p>
          <w:p w14:paraId="3A1ECB4A">
            <w:pPr>
              <w:bidi w:val="0"/>
              <w:rPr>
                <w:rFonts w:hint="eastAsia" w:ascii="Times New Roman" w:hAnsi="Times New Roman" w:eastAsia="宋体" w:cs="Times New Roman"/>
                <w:color w:val="auto"/>
                <w:sz w:val="24"/>
                <w:szCs w:val="21"/>
                <w:highlight w:val="none"/>
                <w:shd w:val="clear" w:color="auto" w:fill="auto"/>
                <w:lang w:eastAsia="zh-CN"/>
              </w:rPr>
            </w:pPr>
            <w:r>
              <w:rPr>
                <w:rFonts w:hint="eastAsia" w:ascii="Times New Roman" w:hAnsi="Times New Roman" w:eastAsia="宋体" w:cs="Times New Roman"/>
                <w:color w:val="auto"/>
                <w:sz w:val="24"/>
                <w:szCs w:val="21"/>
                <w:highlight w:val="none"/>
                <w:shd w:val="clear" w:color="auto" w:fill="auto"/>
                <w:lang w:eastAsia="zh-CN"/>
              </w:rPr>
              <w:t>本项目生产过程产生的废气</w:t>
            </w:r>
            <w:r>
              <w:rPr>
                <w:rFonts w:hint="eastAsia" w:ascii="Times New Roman" w:hAnsi="Times New Roman" w:eastAsia="宋体" w:cs="Times New Roman"/>
                <w:color w:val="auto"/>
                <w:sz w:val="24"/>
                <w:szCs w:val="21"/>
                <w:highlight w:val="none"/>
                <w:shd w:val="clear" w:color="auto" w:fill="auto"/>
                <w:lang w:val="en-US" w:eastAsia="zh-CN"/>
              </w:rPr>
              <w:t>主要</w:t>
            </w:r>
            <w:r>
              <w:rPr>
                <w:rFonts w:hint="eastAsia" w:ascii="Times New Roman" w:hAnsi="Times New Roman" w:eastAsia="宋体" w:cs="Times New Roman"/>
                <w:color w:val="auto"/>
                <w:sz w:val="24"/>
                <w:szCs w:val="21"/>
                <w:highlight w:val="none"/>
                <w:shd w:val="clear" w:color="auto" w:fill="auto"/>
                <w:lang w:eastAsia="zh-CN"/>
              </w:rPr>
              <w:t>为</w:t>
            </w:r>
            <w:r>
              <w:rPr>
                <w:rFonts w:hint="eastAsia"/>
                <w:color w:val="auto"/>
                <w:highlight w:val="none"/>
                <w:lang w:val="en-US" w:eastAsia="zh-CN"/>
              </w:rPr>
              <w:t>颗粒物、非甲烷总烃、甲苯、二甲苯，产生量较少</w:t>
            </w:r>
            <w:r>
              <w:rPr>
                <w:rFonts w:hint="eastAsia"/>
                <w:color w:val="auto"/>
                <w:highlight w:val="none"/>
                <w:lang w:eastAsia="zh-CN"/>
              </w:rPr>
              <w:t>，</w:t>
            </w:r>
            <w:r>
              <w:rPr>
                <w:rFonts w:hint="eastAsia"/>
                <w:color w:val="auto"/>
                <w:highlight w:val="none"/>
                <w:lang w:val="en-US" w:eastAsia="zh-CN"/>
              </w:rPr>
              <w:t>本项目建成后</w:t>
            </w:r>
            <w:r>
              <w:rPr>
                <w:rFonts w:hint="eastAsia" w:cs="Times New Roman"/>
                <w:color w:val="auto"/>
                <w:sz w:val="24"/>
                <w:szCs w:val="21"/>
                <w:highlight w:val="none"/>
                <w:shd w:val="clear" w:color="auto" w:fill="auto"/>
                <w:lang w:val="en-US" w:eastAsia="zh-CN"/>
              </w:rPr>
              <w:t>厂区按照“非硬即绿”的要求进行建设，</w:t>
            </w:r>
            <w:r>
              <w:rPr>
                <w:rFonts w:hint="eastAsia" w:ascii="Times New Roman" w:hAnsi="Times New Roman" w:eastAsia="宋体" w:cs="Times New Roman"/>
                <w:color w:val="auto"/>
                <w:sz w:val="24"/>
                <w:szCs w:val="21"/>
                <w:highlight w:val="none"/>
                <w:shd w:val="clear" w:color="auto" w:fill="auto"/>
                <w:lang w:eastAsia="zh-CN"/>
              </w:rPr>
              <w:t>因此</w:t>
            </w:r>
            <w:r>
              <w:rPr>
                <w:rFonts w:hint="eastAsia" w:cs="Times New Roman"/>
                <w:color w:val="auto"/>
                <w:sz w:val="24"/>
                <w:szCs w:val="21"/>
                <w:highlight w:val="none"/>
                <w:shd w:val="clear" w:color="auto" w:fill="auto"/>
                <w:lang w:eastAsia="zh-CN"/>
              </w:rPr>
              <w:t>，</w:t>
            </w:r>
            <w:r>
              <w:rPr>
                <w:rFonts w:hint="eastAsia" w:ascii="Times New Roman" w:hAnsi="Times New Roman" w:eastAsia="宋体" w:cs="Times New Roman"/>
                <w:color w:val="auto"/>
                <w:sz w:val="24"/>
                <w:szCs w:val="21"/>
                <w:highlight w:val="none"/>
                <w:shd w:val="clear" w:color="auto" w:fill="auto"/>
                <w:lang w:eastAsia="zh-CN"/>
              </w:rPr>
              <w:t>不会</w:t>
            </w:r>
            <w:r>
              <w:rPr>
                <w:rFonts w:hint="eastAsia" w:cs="Times New Roman"/>
                <w:color w:val="auto"/>
                <w:sz w:val="24"/>
                <w:szCs w:val="21"/>
                <w:highlight w:val="none"/>
                <w:shd w:val="clear" w:color="auto" w:fill="auto"/>
                <w:lang w:val="en-US" w:eastAsia="zh-CN"/>
              </w:rPr>
              <w:t>通过大气沉降</w:t>
            </w:r>
            <w:r>
              <w:rPr>
                <w:rFonts w:hint="eastAsia" w:ascii="Times New Roman" w:hAnsi="Times New Roman" w:eastAsia="宋体" w:cs="Times New Roman"/>
                <w:color w:val="auto"/>
                <w:sz w:val="24"/>
                <w:szCs w:val="21"/>
                <w:highlight w:val="none"/>
                <w:shd w:val="clear" w:color="auto" w:fill="auto"/>
                <w:lang w:eastAsia="zh-CN"/>
              </w:rPr>
              <w:t>对土壤环境及地下水环境产生明显不利影响。</w:t>
            </w:r>
          </w:p>
          <w:p w14:paraId="7E4D7566">
            <w:pPr>
              <w:bidi w:val="0"/>
              <w:rPr>
                <w:rFonts w:hint="default"/>
                <w:color w:val="auto"/>
                <w:highlight w:val="none"/>
                <w:lang w:eastAsia="zh-CN"/>
              </w:rPr>
            </w:pPr>
            <w:r>
              <w:rPr>
                <w:rFonts w:hint="eastAsia"/>
                <w:color w:val="auto"/>
                <w:highlight w:val="none"/>
                <w:lang w:eastAsia="zh-CN"/>
              </w:rPr>
              <w:t>本项目</w:t>
            </w:r>
            <w:r>
              <w:rPr>
                <w:rFonts w:hint="eastAsia"/>
                <w:color w:val="auto"/>
                <w:highlight w:val="none"/>
                <w:lang w:val="en-US" w:eastAsia="zh-CN"/>
              </w:rPr>
              <w:t>废水主要为食堂废水，与其他</w:t>
            </w:r>
            <w:r>
              <w:rPr>
                <w:rFonts w:hint="eastAsia" w:ascii="Times New Roman" w:hAnsi="Times New Roman" w:eastAsia="宋体" w:cs="Times New Roman"/>
                <w:color w:val="auto"/>
                <w:sz w:val="24"/>
                <w:szCs w:val="21"/>
                <w:highlight w:val="none"/>
                <w:shd w:val="clear" w:color="auto" w:fill="auto"/>
                <w:lang w:val="en-US" w:eastAsia="zh-CN"/>
              </w:rPr>
              <w:t>生活污水一起排入市政管网，最终进入西郊污水处理厂处理</w:t>
            </w:r>
            <w:r>
              <w:rPr>
                <w:rFonts w:hint="eastAsia" w:ascii="Times New Roman" w:hAnsi="Times New Roman" w:cs="Times New Roman"/>
                <w:smallCaps w:val="0"/>
                <w:color w:val="auto"/>
                <w:spacing w:val="0"/>
                <w:kern w:val="24"/>
                <w:position w:val="0"/>
                <w:sz w:val="24"/>
                <w:szCs w:val="24"/>
                <w:highlight w:val="none"/>
                <w:lang w:val="en-US" w:eastAsia="zh-CN" w:bidi="ar-SA"/>
              </w:rPr>
              <w:t>，</w:t>
            </w:r>
            <w:r>
              <w:rPr>
                <w:rFonts w:hint="eastAsia" w:cs="Times New Roman"/>
                <w:smallCaps w:val="0"/>
                <w:color w:val="auto"/>
                <w:spacing w:val="0"/>
                <w:kern w:val="24"/>
                <w:position w:val="0"/>
                <w:sz w:val="24"/>
                <w:szCs w:val="24"/>
                <w:highlight w:val="none"/>
                <w:lang w:val="en-US" w:eastAsia="zh-CN" w:bidi="ar-SA"/>
              </w:rPr>
              <w:t>因此，</w:t>
            </w:r>
            <w:r>
              <w:rPr>
                <w:rFonts w:hint="eastAsia" w:ascii="Times New Roman" w:hAnsi="Times New Roman" w:eastAsia="宋体" w:cs="Times New Roman"/>
                <w:color w:val="auto"/>
                <w:sz w:val="24"/>
                <w:szCs w:val="21"/>
                <w:highlight w:val="none"/>
                <w:shd w:val="clear" w:color="auto" w:fill="auto"/>
                <w:lang w:eastAsia="zh-CN"/>
              </w:rPr>
              <w:t>不会</w:t>
            </w:r>
            <w:r>
              <w:rPr>
                <w:rFonts w:hint="eastAsia" w:cs="Times New Roman"/>
                <w:color w:val="auto"/>
                <w:sz w:val="24"/>
                <w:szCs w:val="21"/>
                <w:highlight w:val="none"/>
                <w:shd w:val="clear" w:color="auto" w:fill="auto"/>
                <w:lang w:val="en-US" w:eastAsia="zh-CN"/>
              </w:rPr>
              <w:t>通过地表漫流</w:t>
            </w:r>
            <w:r>
              <w:rPr>
                <w:rFonts w:hint="eastAsia" w:ascii="Times New Roman" w:hAnsi="Times New Roman" w:eastAsia="宋体" w:cs="Times New Roman"/>
                <w:color w:val="auto"/>
                <w:sz w:val="24"/>
                <w:szCs w:val="21"/>
                <w:highlight w:val="none"/>
                <w:shd w:val="clear" w:color="auto" w:fill="auto"/>
                <w:lang w:eastAsia="zh-CN"/>
              </w:rPr>
              <w:t>对土壤及地下水环境产生明显不利影响</w:t>
            </w:r>
            <w:r>
              <w:rPr>
                <w:rFonts w:hint="eastAsia"/>
                <w:color w:val="auto"/>
                <w:highlight w:val="none"/>
                <w:lang w:eastAsia="zh-CN"/>
              </w:rPr>
              <w:t>。</w:t>
            </w:r>
          </w:p>
          <w:p w14:paraId="1DDD84CC">
            <w:pPr>
              <w:bidi w:val="0"/>
              <w:rPr>
                <w:rFonts w:hint="eastAsia"/>
                <w:color w:val="auto"/>
                <w:highlight w:val="none"/>
              </w:rPr>
            </w:pPr>
            <w:r>
              <w:rPr>
                <w:rFonts w:hint="eastAsia"/>
                <w:color w:val="auto"/>
                <w:highlight w:val="none"/>
                <w:lang w:eastAsia="zh-CN"/>
              </w:rPr>
              <w:t>本项目</w:t>
            </w:r>
            <w:r>
              <w:rPr>
                <w:rFonts w:hint="eastAsia"/>
                <w:color w:val="auto"/>
                <w:highlight w:val="none"/>
                <w:lang w:val="en-US" w:eastAsia="zh-CN"/>
              </w:rPr>
              <w:t>建成后对地下水、土壤的污染源</w:t>
            </w:r>
            <w:r>
              <w:rPr>
                <w:rFonts w:hint="eastAsia"/>
                <w:color w:val="auto"/>
                <w:highlight w:val="none"/>
                <w:lang w:eastAsia="zh-CN"/>
              </w:rPr>
              <w:t>主要</w:t>
            </w:r>
            <w:r>
              <w:rPr>
                <w:rFonts w:hint="eastAsia"/>
                <w:color w:val="auto"/>
                <w:highlight w:val="none"/>
                <w:lang w:val="en-US" w:eastAsia="zh-CN"/>
              </w:rPr>
              <w:t>为</w:t>
            </w:r>
            <w:r>
              <w:rPr>
                <w:rFonts w:hint="eastAsia"/>
                <w:color w:val="auto"/>
                <w:highlight w:val="none"/>
                <w:lang w:eastAsia="zh-CN"/>
              </w:rPr>
              <w:t>危废间</w:t>
            </w:r>
            <w:r>
              <w:rPr>
                <w:rFonts w:hint="eastAsia"/>
                <w:color w:val="auto"/>
                <w:highlight w:val="none"/>
                <w:lang w:val="en-US" w:eastAsia="zh-CN"/>
              </w:rPr>
              <w:t>储存的危险废物，油漆库储存的漆料，喷漆房，</w:t>
            </w:r>
            <w:r>
              <w:rPr>
                <w:rFonts w:hint="eastAsia"/>
                <w:color w:val="auto"/>
                <w:highlight w:val="none"/>
                <w:lang w:eastAsia="zh-CN"/>
              </w:rPr>
              <w:t>可能因泄漏导致垂直入渗污染地下水、土壤，本项目</w:t>
            </w:r>
            <w:r>
              <w:rPr>
                <w:rFonts w:hint="eastAsia"/>
                <w:color w:val="auto"/>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highlight w:val="none"/>
                <w:lang w:eastAsia="zh-CN"/>
              </w:rPr>
              <w:t>，做好防渗措施</w:t>
            </w:r>
            <w:r>
              <w:rPr>
                <w:rFonts w:hint="eastAsia"/>
                <w:color w:val="auto"/>
                <w:highlight w:val="none"/>
              </w:rPr>
              <w:t>，避免由于泄漏造成物料下渗污染地下水。</w:t>
            </w:r>
          </w:p>
          <w:p w14:paraId="636C7E6B">
            <w:pPr>
              <w:bidi w:val="0"/>
              <w:rPr>
                <w:rFonts w:hint="eastAsia"/>
                <w:color w:val="auto"/>
              </w:rPr>
            </w:pPr>
            <w:r>
              <w:rPr>
                <w:rFonts w:hint="eastAsia"/>
                <w:color w:val="auto"/>
                <w:lang w:val="en-US" w:eastAsia="zh-CN"/>
              </w:rPr>
              <w:t>危废间、油漆库、喷漆房</w:t>
            </w:r>
            <w:r>
              <w:rPr>
                <w:rFonts w:hint="eastAsia"/>
                <w:color w:val="auto"/>
              </w:rPr>
              <w:t>为重点防渗区，</w:t>
            </w:r>
            <w:r>
              <w:rPr>
                <w:rFonts w:hint="eastAsia"/>
                <w:color w:val="auto"/>
                <w:lang w:val="en-US" w:eastAsia="zh-CN"/>
              </w:rPr>
              <w:t>打磨房、烘干房等其他生产区域</w:t>
            </w:r>
            <w:r>
              <w:rPr>
                <w:rFonts w:hint="eastAsia"/>
                <w:color w:val="auto"/>
              </w:rPr>
              <w:t>为一般防渗区</w:t>
            </w:r>
            <w:r>
              <w:rPr>
                <w:rFonts w:hint="eastAsia"/>
                <w:color w:val="auto"/>
                <w:lang w:eastAsia="zh-CN"/>
              </w:rPr>
              <w:t>，</w:t>
            </w:r>
            <w:r>
              <w:rPr>
                <w:rFonts w:hint="eastAsia"/>
                <w:color w:val="auto"/>
                <w:lang w:val="en-US" w:eastAsia="zh-CN"/>
              </w:rPr>
              <w:t>综合楼、厂区地面为简单防渗区</w:t>
            </w:r>
            <w:r>
              <w:rPr>
                <w:rFonts w:hint="eastAsia"/>
                <w:color w:val="auto"/>
              </w:rPr>
              <w:t>。</w:t>
            </w:r>
          </w:p>
          <w:p w14:paraId="1BE76D37">
            <w:pPr>
              <w:bidi w:val="0"/>
              <w:rPr>
                <w:rFonts w:hint="default"/>
                <w:color w:val="auto"/>
                <w:sz w:val="24"/>
                <w:szCs w:val="24"/>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w:t>
            </w:r>
            <w:r>
              <w:rPr>
                <w:color w:val="auto"/>
                <w:sz w:val="24"/>
                <w:szCs w:val="24"/>
                <w:highlight w:val="none"/>
              </w:rPr>
              <w:t>该分区需要做</w:t>
            </w:r>
            <w:r>
              <w:rPr>
                <w:rFonts w:hint="eastAsia"/>
                <w:color w:val="auto"/>
                <w:sz w:val="24"/>
                <w:szCs w:val="24"/>
                <w:highlight w:val="none"/>
              </w:rPr>
              <w:t>防</w:t>
            </w:r>
            <w:r>
              <w:rPr>
                <w:color w:val="auto"/>
                <w:sz w:val="24"/>
                <w:szCs w:val="24"/>
                <w:highlight w:val="none"/>
              </w:rPr>
              <w:t>渗处理，</w:t>
            </w:r>
            <w:r>
              <w:rPr>
                <w:rFonts w:hint="eastAsia"/>
                <w:color w:val="auto"/>
                <w:sz w:val="24"/>
                <w:szCs w:val="24"/>
                <w:highlight w:val="none"/>
                <w:lang w:val="en-US" w:eastAsia="zh-CN"/>
              </w:rPr>
              <w:t>油漆库、喷漆房</w:t>
            </w:r>
            <w:r>
              <w:rPr>
                <w:rFonts w:hint="eastAsia"/>
                <w:color w:val="auto"/>
                <w:sz w:val="24"/>
                <w:szCs w:val="24"/>
                <w:highlight w:val="none"/>
              </w:rPr>
              <w:t>地面</w:t>
            </w:r>
            <w:r>
              <w:rPr>
                <w:color w:val="auto"/>
                <w:sz w:val="24"/>
                <w:szCs w:val="24"/>
                <w:highlight w:val="none"/>
              </w:rPr>
              <w:t>采取抗渗水泥</w:t>
            </w:r>
            <w:r>
              <w:rPr>
                <w:rFonts w:hint="eastAsia"/>
                <w:color w:val="auto"/>
                <w:sz w:val="24"/>
                <w:szCs w:val="24"/>
                <w:highlight w:val="none"/>
              </w:rPr>
              <w:t>（</w:t>
            </w:r>
            <w:r>
              <w:rPr>
                <w:color w:val="auto"/>
                <w:sz w:val="24"/>
                <w:szCs w:val="24"/>
                <w:highlight w:val="none"/>
              </w:rPr>
              <w:t>20cm</w:t>
            </w:r>
            <w:r>
              <w:rPr>
                <w:rFonts w:hint="eastAsia"/>
                <w:color w:val="auto"/>
                <w:sz w:val="24"/>
                <w:szCs w:val="24"/>
                <w:highlight w:val="none"/>
              </w:rPr>
              <w:t>）+</w:t>
            </w:r>
            <w:r>
              <w:rPr>
                <w:color w:val="auto"/>
                <w:sz w:val="24"/>
                <w:szCs w:val="24"/>
                <w:highlight w:val="none"/>
              </w:rPr>
              <w:t>土工膜（2mm）防渗</w:t>
            </w:r>
            <w:r>
              <w:rPr>
                <w:rFonts w:hint="eastAsia"/>
                <w:color w:val="auto"/>
                <w:sz w:val="24"/>
                <w:szCs w:val="24"/>
                <w:highlight w:val="none"/>
              </w:rPr>
              <w:t>，</w:t>
            </w:r>
            <w:r>
              <w:rPr>
                <w:color w:val="auto"/>
                <w:sz w:val="24"/>
                <w:szCs w:val="24"/>
                <w:highlight w:val="none"/>
              </w:rPr>
              <w:t>防渗层渗透系数≤10</w:t>
            </w:r>
            <w:r>
              <w:rPr>
                <w:color w:val="auto"/>
                <w:sz w:val="24"/>
                <w:szCs w:val="24"/>
                <w:highlight w:val="none"/>
                <w:vertAlign w:val="superscript"/>
              </w:rPr>
              <w:t>-</w:t>
            </w:r>
            <w:r>
              <w:rPr>
                <w:rFonts w:hint="eastAsia"/>
                <w:color w:val="auto"/>
                <w:sz w:val="24"/>
                <w:szCs w:val="24"/>
                <w:highlight w:val="none"/>
                <w:vertAlign w:val="superscript"/>
              </w:rPr>
              <w:t>7</w:t>
            </w:r>
            <w:r>
              <w:rPr>
                <w:color w:val="auto"/>
                <w:sz w:val="24"/>
                <w:szCs w:val="24"/>
                <w:highlight w:val="none"/>
              </w:rPr>
              <w:t>cm/s</w:t>
            </w:r>
            <w:r>
              <w:rPr>
                <w:rFonts w:hint="eastAsia"/>
                <w:color w:val="auto"/>
                <w:sz w:val="24"/>
                <w:szCs w:val="24"/>
                <w:highlight w:val="none"/>
              </w:rPr>
              <w:t>；危废间</w:t>
            </w:r>
            <w:r>
              <w:rPr>
                <w:color w:val="auto"/>
                <w:sz w:val="24"/>
                <w:szCs w:val="24"/>
                <w:highlight w:val="none"/>
              </w:rPr>
              <w:t>地面与裙脚采取表面防渗措施</w:t>
            </w:r>
            <w:r>
              <w:rPr>
                <w:rFonts w:hint="eastAsia"/>
                <w:color w:val="auto"/>
                <w:sz w:val="24"/>
                <w:szCs w:val="24"/>
                <w:highlight w:val="none"/>
              </w:rPr>
              <w:t>，</w:t>
            </w:r>
            <w:r>
              <w:rPr>
                <w:color w:val="auto"/>
                <w:sz w:val="24"/>
                <w:szCs w:val="24"/>
                <w:highlight w:val="none"/>
              </w:rPr>
              <w:t>表面防渗材料与所接触的物料或污染物相容，可采用抗渗混凝土、高密度聚乙烯膜、钠基膨润土防水毯或其他防渗性能等效的材料</w:t>
            </w:r>
            <w:r>
              <w:rPr>
                <w:rFonts w:hint="eastAsia"/>
                <w:color w:val="auto"/>
                <w:sz w:val="24"/>
                <w:szCs w:val="24"/>
                <w:highlight w:val="none"/>
              </w:rPr>
              <w:t>，</w:t>
            </w:r>
            <w:r>
              <w:rPr>
                <w:color w:val="auto"/>
                <w:sz w:val="24"/>
                <w:szCs w:val="24"/>
                <w:highlight w:val="none"/>
              </w:rPr>
              <w:t>贮存的危险废物直接接触地面的，进行基础防渗，防渗层为至少1m厚黏土层（渗透系数不大于10</w:t>
            </w:r>
            <w:r>
              <w:rPr>
                <w:color w:val="auto"/>
                <w:sz w:val="24"/>
                <w:szCs w:val="24"/>
                <w:highlight w:val="none"/>
                <w:vertAlign w:val="superscript"/>
              </w:rPr>
              <w:t>-7</w:t>
            </w:r>
            <w:r>
              <w:rPr>
                <w:color w:val="auto"/>
                <w:sz w:val="24"/>
                <w:szCs w:val="24"/>
                <w:highlight w:val="none"/>
              </w:rPr>
              <w:t>cm/s），或至少2mm厚高密度聚乙烯膜等人工防渗材料（渗透系数不大于10</w:t>
            </w:r>
            <w:r>
              <w:rPr>
                <w:color w:val="auto"/>
                <w:sz w:val="24"/>
                <w:szCs w:val="24"/>
                <w:highlight w:val="none"/>
                <w:vertAlign w:val="superscript"/>
              </w:rPr>
              <w:t>-10</w:t>
            </w:r>
            <w:r>
              <w:rPr>
                <w:color w:val="auto"/>
                <w:sz w:val="24"/>
                <w:szCs w:val="24"/>
                <w:highlight w:val="none"/>
              </w:rPr>
              <w:t>cm/s），或其他防渗性能等效的材料</w:t>
            </w:r>
            <w:r>
              <w:rPr>
                <w:rFonts w:hint="eastAsia"/>
                <w:color w:val="auto"/>
                <w:sz w:val="24"/>
                <w:szCs w:val="24"/>
                <w:highlight w:val="none"/>
              </w:rPr>
              <w:t>。</w:t>
            </w:r>
          </w:p>
          <w:p w14:paraId="41042E4F">
            <w:pPr>
              <w:bidi w:val="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color w:val="auto"/>
                <w:sz w:val="24"/>
                <w:szCs w:val="24"/>
                <w:highlight w:val="none"/>
                <w:lang w:val="en-US" w:eastAsia="zh-CN"/>
              </w:rPr>
              <w:t>打磨房、烘干房等其他生产区域</w:t>
            </w:r>
            <w:r>
              <w:rPr>
                <w:rFonts w:ascii="Times New Roman" w:hAnsi="Times New Roman" w:eastAsia="宋体"/>
                <w:color w:val="auto"/>
                <w:sz w:val="24"/>
                <w:szCs w:val="24"/>
                <w:highlight w:val="none"/>
              </w:rPr>
              <w:t>进行基础防渗处理，需满足等效黏土防渗层Mb≥</w:t>
            </w:r>
            <w:r>
              <w:rPr>
                <w:rFonts w:hint="eastAsia"/>
                <w:color w:val="auto"/>
                <w:sz w:val="24"/>
                <w:szCs w:val="24"/>
                <w:highlight w:val="none"/>
                <w:lang w:val="en-US" w:eastAsia="zh-CN"/>
              </w:rPr>
              <w:t>1.5</w:t>
            </w:r>
            <w:r>
              <w:rPr>
                <w:rFonts w:ascii="Times New Roman" w:hAnsi="Times New Roman" w:eastAsia="宋体"/>
                <w:color w:val="auto"/>
                <w:sz w:val="24"/>
                <w:szCs w:val="24"/>
                <w:highlight w:val="none"/>
              </w:rPr>
              <w:t>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r>
              <w:rPr>
                <w:rFonts w:hint="eastAsia"/>
                <w:color w:val="auto"/>
                <w:sz w:val="24"/>
                <w:szCs w:val="24"/>
                <w:highlight w:val="none"/>
                <w:lang w:eastAsia="zh-CN"/>
              </w:rPr>
              <w:t>。</w:t>
            </w:r>
          </w:p>
          <w:p w14:paraId="64FE5CA0">
            <w:pPr>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③</w:t>
            </w:r>
            <w:r>
              <w:rPr>
                <w:rFonts w:hint="eastAsia"/>
                <w:color w:val="auto"/>
                <w:sz w:val="24"/>
                <w:szCs w:val="24"/>
                <w:highlight w:val="none"/>
                <w:lang w:val="en-US" w:eastAsia="zh-CN"/>
              </w:rPr>
              <w:t>简单防渗区：办公区地面硬化，综合楼、厂区地面非硬即绿。</w:t>
            </w:r>
          </w:p>
          <w:p w14:paraId="5F29D633">
            <w:pPr>
              <w:rPr>
                <w:rFonts w:hint="eastAsia"/>
                <w:color w:val="auto"/>
                <w:sz w:val="24"/>
                <w:szCs w:val="24"/>
                <w:highlight w:val="none"/>
              </w:rPr>
            </w:pPr>
            <w:r>
              <w:rPr>
                <w:rFonts w:hint="eastAsia"/>
                <w:color w:val="auto"/>
                <w:sz w:val="24"/>
                <w:szCs w:val="24"/>
                <w:highlight w:val="none"/>
                <w:lang w:eastAsia="zh-CN"/>
              </w:rPr>
              <w:t>综上，</w:t>
            </w:r>
            <w:r>
              <w:rPr>
                <w:rFonts w:hint="eastAsia"/>
                <w:color w:val="auto"/>
                <w:sz w:val="24"/>
                <w:szCs w:val="24"/>
                <w:highlight w:val="none"/>
              </w:rPr>
              <w:t>本项目</w:t>
            </w:r>
            <w:r>
              <w:rPr>
                <w:rFonts w:hint="eastAsia"/>
                <w:color w:val="auto"/>
                <w:sz w:val="24"/>
                <w:szCs w:val="24"/>
                <w:highlight w:val="none"/>
                <w:lang w:eastAsia="zh-CN"/>
              </w:rPr>
              <w:t>采取上述防控措施后，</w:t>
            </w:r>
            <w:r>
              <w:rPr>
                <w:rFonts w:hint="eastAsia"/>
                <w:color w:val="auto"/>
                <w:sz w:val="24"/>
                <w:szCs w:val="24"/>
                <w:highlight w:val="none"/>
              </w:rPr>
              <w:t>对区域</w:t>
            </w:r>
            <w:r>
              <w:rPr>
                <w:rFonts w:hint="eastAsia"/>
                <w:color w:val="auto"/>
                <w:sz w:val="24"/>
                <w:szCs w:val="24"/>
                <w:highlight w:val="none"/>
                <w:lang w:eastAsia="zh-CN"/>
              </w:rPr>
              <w:t>地下水、土壤</w:t>
            </w:r>
            <w:r>
              <w:rPr>
                <w:rFonts w:hint="eastAsia"/>
                <w:color w:val="auto"/>
                <w:sz w:val="24"/>
                <w:szCs w:val="24"/>
                <w:highlight w:val="none"/>
              </w:rPr>
              <w:t>环境影响较小。</w:t>
            </w:r>
          </w:p>
          <w:p w14:paraId="03D39658">
            <w:pPr>
              <w:bidi w:val="0"/>
              <w:rPr>
                <w:rFonts w:hint="eastAsia"/>
                <w:color w:val="auto"/>
                <w:highlight w:val="none"/>
              </w:rPr>
            </w:pPr>
            <w:r>
              <w:rPr>
                <w:rFonts w:hint="eastAsia"/>
                <w:color w:val="auto"/>
                <w:highlight w:val="none"/>
                <w:lang w:val="en-US" w:eastAsia="zh-CN"/>
              </w:rPr>
              <w:t>由于本项目使用油性漆，产生的有机废气可通过大气沉降对土壤、地下水环境造成影响，为及时了解本项目是否对地下水和土壤造成了影响，本次评价参照</w:t>
            </w:r>
            <w:r>
              <w:rPr>
                <w:rFonts w:hint="eastAsia"/>
                <w:color w:val="auto"/>
                <w:highlight w:val="none"/>
                <w:u w:val="none"/>
                <w:lang w:val="en-US" w:eastAsia="zh-CN"/>
              </w:rPr>
              <w:t>《环境影响评价技术导则 土壤环境（试行）》（HJ 964</w:t>
            </w:r>
            <w:r>
              <w:rPr>
                <w:rFonts w:hint="eastAsia" w:ascii="宋体" w:hAnsi="宋体" w:eastAsia="宋体" w:cs="宋体"/>
                <w:color w:val="auto"/>
                <w:highlight w:val="none"/>
                <w:u w:val="none"/>
                <w:lang w:val="en-US" w:eastAsia="zh-CN"/>
              </w:rPr>
              <w:t>－</w:t>
            </w:r>
            <w:r>
              <w:rPr>
                <w:rFonts w:hint="eastAsia"/>
                <w:color w:val="auto"/>
                <w:highlight w:val="none"/>
                <w:u w:val="none"/>
                <w:lang w:val="en-US" w:eastAsia="zh-CN"/>
              </w:rPr>
              <w:t>2018）、《环境影响评价技术导则 地下水环境》（HJ 610</w:t>
            </w:r>
            <w:r>
              <w:rPr>
                <w:rFonts w:hint="eastAsia" w:ascii="宋体" w:hAnsi="宋体" w:eastAsia="宋体" w:cs="宋体"/>
                <w:color w:val="auto"/>
                <w:highlight w:val="none"/>
                <w:u w:val="none"/>
                <w:lang w:val="en-US" w:eastAsia="zh-CN"/>
              </w:rPr>
              <w:t>－</w:t>
            </w:r>
            <w:r>
              <w:rPr>
                <w:rFonts w:hint="eastAsia"/>
                <w:color w:val="auto"/>
                <w:highlight w:val="none"/>
                <w:u w:val="none"/>
                <w:lang w:val="en-US" w:eastAsia="zh-CN"/>
              </w:rPr>
              <w:t>2016）和《工业企业土壤和地下水自行监测技术指南（试行）》（HJ 1209</w:t>
            </w:r>
            <w:r>
              <w:rPr>
                <w:rFonts w:hint="eastAsia" w:ascii="宋体" w:hAnsi="宋体" w:eastAsia="宋体" w:cs="宋体"/>
                <w:color w:val="auto"/>
                <w:highlight w:val="none"/>
                <w:u w:val="none"/>
                <w:lang w:val="en-US" w:eastAsia="zh-CN"/>
              </w:rPr>
              <w:t>－</w:t>
            </w:r>
            <w:r>
              <w:rPr>
                <w:rFonts w:hint="eastAsia"/>
                <w:color w:val="auto"/>
                <w:highlight w:val="none"/>
                <w:u w:val="none"/>
                <w:lang w:val="en-US" w:eastAsia="zh-CN"/>
              </w:rPr>
              <w:t>2021）要求</w:t>
            </w:r>
            <w:r>
              <w:rPr>
                <w:rFonts w:hint="eastAsia"/>
                <w:color w:val="auto"/>
                <w:highlight w:val="none"/>
                <w:lang w:val="en-US" w:eastAsia="zh-CN"/>
              </w:rPr>
              <w:t>对地下水、土壤进行跟踪监测，因</w:t>
            </w:r>
            <w:r>
              <w:rPr>
                <w:rFonts w:hint="eastAsia"/>
                <w:color w:val="auto"/>
                <w:highlight w:val="none"/>
                <w:u w:val="none"/>
                <w:lang w:val="en-US" w:eastAsia="zh-CN"/>
              </w:rPr>
              <w:t>中信重工开诚智能装备有限公司不属于土壤污染重点监管单位，本次评价仅参照《环境影响评价技术导则 土壤环境（试行）》（HJ 964</w:t>
            </w:r>
            <w:r>
              <w:rPr>
                <w:rFonts w:hint="eastAsia" w:ascii="宋体" w:hAnsi="宋体" w:eastAsia="宋体" w:cs="宋体"/>
                <w:color w:val="auto"/>
                <w:highlight w:val="none"/>
                <w:u w:val="none"/>
                <w:lang w:val="en-US" w:eastAsia="zh-CN"/>
              </w:rPr>
              <w:t>－</w:t>
            </w:r>
            <w:r>
              <w:rPr>
                <w:rFonts w:hint="eastAsia"/>
                <w:color w:val="auto"/>
                <w:highlight w:val="none"/>
                <w:u w:val="none"/>
                <w:lang w:val="en-US" w:eastAsia="zh-CN"/>
              </w:rPr>
              <w:t>2018）和《环境影响评价技术导则 地下水环境》（HJ 610-2016）进行土壤、地下水自行监测</w:t>
            </w:r>
            <w:r>
              <w:rPr>
                <w:rFonts w:hint="eastAsia"/>
                <w:color w:val="auto"/>
                <w:highlight w:val="none"/>
                <w:lang w:val="en-US" w:eastAsia="zh-CN"/>
              </w:rPr>
              <w:t>。本项目属于《</w:t>
            </w:r>
            <w:r>
              <w:rPr>
                <w:rFonts w:hint="eastAsia"/>
                <w:color w:val="auto"/>
                <w:highlight w:val="none"/>
                <w:u w:val="none"/>
                <w:lang w:val="en-US" w:eastAsia="zh-CN"/>
              </w:rPr>
              <w:t>环境影响评价技术导则 地下水环境》（HJ 610-2016）附录A中I金属制品</w:t>
            </w:r>
            <w:r>
              <w:rPr>
                <w:rFonts w:hint="eastAsia" w:ascii="宋体" w:hAnsi="宋体" w:eastAsia="宋体" w:cs="宋体"/>
                <w:color w:val="auto"/>
                <w:highlight w:val="none"/>
                <w:u w:val="none"/>
                <w:lang w:val="en-US" w:eastAsia="zh-CN"/>
              </w:rPr>
              <w:t>－</w:t>
            </w:r>
            <w:r>
              <w:rPr>
                <w:rFonts w:hint="eastAsia"/>
                <w:color w:val="auto"/>
                <w:highlight w:val="none"/>
                <w:u w:val="none"/>
                <w:lang w:val="en-US" w:eastAsia="zh-CN"/>
              </w:rPr>
              <w:t>金属制品加工制造</w:t>
            </w:r>
            <w:r>
              <w:rPr>
                <w:rFonts w:hint="eastAsia" w:ascii="宋体" w:hAnsi="宋体" w:eastAsia="宋体" w:cs="宋体"/>
                <w:color w:val="auto"/>
                <w:highlight w:val="none"/>
                <w:u w:val="none"/>
                <w:lang w:val="en-US" w:eastAsia="zh-CN"/>
              </w:rPr>
              <w:t>－</w:t>
            </w:r>
            <w:r>
              <w:rPr>
                <w:rFonts w:hint="eastAsia" w:ascii="宋体" w:hAnsi="宋体" w:cs="宋体"/>
                <w:color w:val="auto"/>
                <w:highlight w:val="none"/>
                <w:u w:val="none"/>
                <w:lang w:val="en-US" w:eastAsia="zh-CN"/>
              </w:rPr>
              <w:t>编制报告表的项目，属于</w:t>
            </w:r>
            <w:r>
              <w:rPr>
                <w:rFonts w:hint="default" w:ascii="Times New Roman" w:hAnsi="Times New Roman" w:cs="Times New Roman"/>
                <w:color w:val="auto"/>
                <w:highlight w:val="none"/>
                <w:u w:val="none"/>
                <w:lang w:val="en-US" w:eastAsia="zh-CN"/>
              </w:rPr>
              <w:t>Ⅳ</w:t>
            </w:r>
            <w:r>
              <w:rPr>
                <w:rFonts w:hint="eastAsia" w:ascii="Times New Roman" w:hAnsi="Times New Roman" w:cs="Times New Roman"/>
                <w:color w:val="auto"/>
                <w:highlight w:val="none"/>
                <w:u w:val="none"/>
                <w:lang w:val="en-US" w:eastAsia="zh-CN"/>
              </w:rPr>
              <w:t>类项目，根据</w:t>
            </w:r>
            <w:r>
              <w:rPr>
                <w:rFonts w:hint="eastAsia"/>
                <w:color w:val="auto"/>
                <w:highlight w:val="none"/>
                <w:lang w:val="en-US" w:eastAsia="zh-CN"/>
              </w:rPr>
              <w:t>《</w:t>
            </w:r>
            <w:r>
              <w:rPr>
                <w:rFonts w:hint="eastAsia"/>
                <w:color w:val="auto"/>
                <w:highlight w:val="none"/>
                <w:u w:val="none"/>
                <w:lang w:val="en-US" w:eastAsia="zh-CN"/>
              </w:rPr>
              <w:t>环境影响评价技术导则 地下水环境》（HJ 610-2016），</w:t>
            </w:r>
            <w:r>
              <w:rPr>
                <w:rFonts w:hint="default" w:ascii="Times New Roman" w:hAnsi="Times New Roman" w:cs="Times New Roman"/>
                <w:color w:val="auto"/>
                <w:highlight w:val="none"/>
                <w:u w:val="none"/>
                <w:lang w:val="en-US" w:eastAsia="zh-CN"/>
              </w:rPr>
              <w:t>Ⅳ</w:t>
            </w:r>
            <w:r>
              <w:rPr>
                <w:rFonts w:hint="eastAsia" w:ascii="Times New Roman" w:hAnsi="Times New Roman" w:cs="Times New Roman"/>
                <w:color w:val="auto"/>
                <w:highlight w:val="none"/>
                <w:u w:val="none"/>
                <w:lang w:val="en-US" w:eastAsia="zh-CN"/>
              </w:rPr>
              <w:t>类建设项目不开展地下水环境影响评价</w:t>
            </w:r>
            <w:r>
              <w:rPr>
                <w:rFonts w:hint="eastAsia" w:cs="Times New Roman"/>
                <w:color w:val="auto"/>
                <w:highlight w:val="none"/>
                <w:u w:val="none"/>
                <w:lang w:val="en-US" w:eastAsia="zh-CN"/>
              </w:rPr>
              <w:t>，因此，本项目不设置地下水监测计划；本项目属于《</w:t>
            </w:r>
            <w:r>
              <w:rPr>
                <w:rFonts w:hint="eastAsia"/>
                <w:color w:val="auto"/>
                <w:highlight w:val="none"/>
                <w:u w:val="none"/>
                <w:lang w:val="en-US" w:eastAsia="zh-CN"/>
              </w:rPr>
              <w:t>环境影响评价技术导则 土壤环境（试行）》（HJ 964</w:t>
            </w:r>
            <w:r>
              <w:rPr>
                <w:rFonts w:hint="eastAsia" w:ascii="宋体" w:hAnsi="宋体" w:eastAsia="宋体" w:cs="宋体"/>
                <w:color w:val="auto"/>
                <w:highlight w:val="none"/>
                <w:u w:val="none"/>
                <w:lang w:val="en-US" w:eastAsia="zh-CN"/>
              </w:rPr>
              <w:t>－</w:t>
            </w:r>
            <w:r>
              <w:rPr>
                <w:rFonts w:hint="eastAsia"/>
                <w:color w:val="auto"/>
                <w:highlight w:val="none"/>
                <w:u w:val="none"/>
                <w:lang w:val="en-US" w:eastAsia="zh-CN"/>
              </w:rPr>
              <w:t>2018）附录A中制造业</w:t>
            </w:r>
            <w:r>
              <w:rPr>
                <w:rFonts w:hint="eastAsia" w:ascii="宋体" w:hAnsi="宋体" w:eastAsia="宋体" w:cs="宋体"/>
                <w:color w:val="auto"/>
                <w:highlight w:val="none"/>
                <w:u w:val="none"/>
                <w:lang w:val="en-US" w:eastAsia="zh-CN"/>
              </w:rPr>
              <w:t>－设备制造、金属制品、汽车制造及其他用品制造－</w:t>
            </w:r>
            <w:r>
              <w:rPr>
                <w:rFonts w:hint="eastAsia" w:ascii="宋体" w:hAnsi="宋体" w:cs="宋体"/>
                <w:color w:val="auto"/>
                <w:highlight w:val="none"/>
                <w:u w:val="none"/>
                <w:lang w:val="en-US" w:eastAsia="zh-CN"/>
              </w:rPr>
              <w:t>使用有机涂层的项目，属于</w:t>
            </w:r>
            <w:r>
              <w:rPr>
                <w:rFonts w:hint="default" w:ascii="Times New Roman" w:hAnsi="Times New Roman" w:cs="Times New Roman"/>
                <w:color w:val="auto"/>
                <w:highlight w:val="none"/>
                <w:u w:val="none"/>
                <w:lang w:val="en-US" w:eastAsia="zh-CN"/>
              </w:rPr>
              <w:t>Ⅰ</w:t>
            </w:r>
            <w:r>
              <w:rPr>
                <w:rFonts w:hint="eastAsia" w:ascii="Times New Roman" w:hAnsi="Times New Roman" w:cs="Times New Roman"/>
                <w:color w:val="auto"/>
                <w:highlight w:val="none"/>
                <w:u w:val="none"/>
                <w:lang w:val="en-US" w:eastAsia="zh-CN"/>
              </w:rPr>
              <w:t>类项目</w:t>
            </w:r>
            <w:r>
              <w:rPr>
                <w:rFonts w:hint="eastAsia" w:cs="Times New Roman"/>
                <w:color w:val="auto"/>
                <w:highlight w:val="none"/>
                <w:u w:val="none"/>
                <w:lang w:val="en-US" w:eastAsia="zh-CN"/>
              </w:rPr>
              <w:t>，企业占地面积为</w:t>
            </w:r>
            <w:r>
              <w:rPr>
                <w:rFonts w:hint="eastAsia"/>
                <w:color w:val="auto"/>
                <w:sz w:val="24"/>
                <w:szCs w:val="24"/>
                <w:highlight w:val="none"/>
                <w:lang w:val="en-US" w:eastAsia="zh-CN"/>
              </w:rPr>
              <w:t>46668.08</w:t>
            </w:r>
            <w:r>
              <w:rPr>
                <w:rFonts w:hint="eastAsia" w:cs="Times New Roman"/>
                <w:color w:val="auto"/>
                <w:highlight w:val="none"/>
                <w:u w:val="none"/>
                <w:lang w:val="en-US" w:eastAsia="zh-CN"/>
              </w:rPr>
              <w:t>m</w:t>
            </w:r>
            <w:r>
              <w:rPr>
                <w:rFonts w:hint="eastAsia" w:cs="Times New Roman"/>
                <w:color w:val="auto"/>
                <w:highlight w:val="none"/>
                <w:u w:val="none"/>
                <w:vertAlign w:val="superscript"/>
                <w:lang w:val="en-US" w:eastAsia="zh-CN"/>
              </w:rPr>
              <w:t>2</w:t>
            </w:r>
            <w:r>
              <w:rPr>
                <w:rFonts w:hint="eastAsia" w:cs="Times New Roman"/>
                <w:color w:val="auto"/>
                <w:highlight w:val="none"/>
                <w:u w:val="none"/>
                <w:lang w:val="en-US" w:eastAsia="zh-CN"/>
              </w:rPr>
              <w:t>，为小型占地，土壤环境敏感程度为敏感，土壤评价等级为一级评价，本次评价参照《</w:t>
            </w:r>
            <w:r>
              <w:rPr>
                <w:rFonts w:hint="eastAsia"/>
                <w:color w:val="auto"/>
                <w:highlight w:val="none"/>
                <w:u w:val="none"/>
                <w:lang w:val="en-US" w:eastAsia="zh-CN"/>
              </w:rPr>
              <w:t>环境影响评价技术导则 土壤环境（试行）》（HJ 964</w:t>
            </w:r>
            <w:r>
              <w:rPr>
                <w:rFonts w:hint="eastAsia" w:ascii="宋体" w:hAnsi="宋体" w:eastAsia="宋体" w:cs="宋体"/>
                <w:color w:val="auto"/>
                <w:highlight w:val="none"/>
                <w:u w:val="none"/>
                <w:lang w:val="en-US" w:eastAsia="zh-CN"/>
              </w:rPr>
              <w:t>－</w:t>
            </w:r>
            <w:r>
              <w:rPr>
                <w:rFonts w:hint="eastAsia"/>
                <w:color w:val="auto"/>
                <w:highlight w:val="none"/>
                <w:u w:val="none"/>
                <w:lang w:val="en-US" w:eastAsia="zh-CN"/>
              </w:rPr>
              <w:t>2018）中一级评价项目进行土壤自行监测。结合本项目实际情况，提出如下土壤跟踪监测计划，详见下表</w:t>
            </w:r>
            <w:r>
              <w:rPr>
                <w:rFonts w:hint="eastAsia"/>
                <w:color w:val="auto"/>
                <w:highlight w:val="none"/>
                <w:lang w:val="en-US" w:eastAsia="zh-CN"/>
              </w:rPr>
              <w:t>。</w:t>
            </w:r>
          </w:p>
          <w:p w14:paraId="0EACF101">
            <w:pPr>
              <w:pStyle w:val="18"/>
              <w:spacing w:line="480" w:lineRule="exact"/>
              <w:rPr>
                <w:rFonts w:hint="eastAsia" w:eastAsia="宋体"/>
                <w:color w:val="auto"/>
                <w:highlight w:val="none"/>
              </w:rPr>
            </w:pPr>
            <w:r>
              <w:rPr>
                <w:rFonts w:hint="eastAsia" w:eastAsia="宋体"/>
                <w:color w:val="auto"/>
                <w:highlight w:val="none"/>
              </w:rPr>
              <w:t>表</w:t>
            </w:r>
            <w:r>
              <w:rPr>
                <w:rFonts w:hint="eastAsia"/>
                <w:color w:val="auto"/>
                <w:highlight w:val="none"/>
                <w:lang w:val="en-US" w:eastAsia="zh-CN"/>
              </w:rPr>
              <w:t xml:space="preserve">63  </w:t>
            </w:r>
            <w:r>
              <w:rPr>
                <w:rFonts w:hint="eastAsia" w:eastAsia="宋体"/>
                <w:color w:val="auto"/>
                <w:highlight w:val="none"/>
              </w:rPr>
              <w:t>土壤跟踪监测计划一览表</w:t>
            </w:r>
          </w:p>
          <w:tbl>
            <w:tblPr>
              <w:tblStyle w:val="25"/>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481"/>
              <w:gridCol w:w="2291"/>
              <w:gridCol w:w="1262"/>
              <w:gridCol w:w="1678"/>
            </w:tblGrid>
            <w:tr w14:paraId="4D613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678" w:type="dxa"/>
                  <w:tcBorders>
                    <w:tl2br w:val="nil"/>
                    <w:tr2bl w:val="nil"/>
                  </w:tcBorders>
                  <w:vAlign w:val="center"/>
                </w:tcPr>
                <w:p w14:paraId="01E8B9B6">
                  <w:pPr>
                    <w:pStyle w:val="31"/>
                    <w:keepNext w:val="0"/>
                    <w:keepLines w:val="0"/>
                    <w:pageBreakBefore w:val="0"/>
                    <w:widowControl w:val="0"/>
                    <w:kinsoku/>
                    <w:wordWrap/>
                    <w:overflowPunct/>
                    <w:topLinePunct w:val="0"/>
                    <w:autoSpaceDE/>
                    <w:autoSpaceDN/>
                    <w:bidi w:val="0"/>
                    <w:adjustRightInd/>
                    <w:spacing w:before="0" w:after="0"/>
                    <w:textAlignment w:val="auto"/>
                    <w:rPr>
                      <w:rFonts w:hint="eastAsia"/>
                      <w:color w:val="auto"/>
                      <w:sz w:val="21"/>
                      <w:szCs w:val="21"/>
                      <w:highlight w:val="none"/>
                      <w:lang w:val="en-US" w:eastAsia="zh-CN"/>
                    </w:rPr>
                  </w:pPr>
                  <w:r>
                    <w:rPr>
                      <w:rFonts w:hint="eastAsia"/>
                      <w:color w:val="auto"/>
                      <w:sz w:val="21"/>
                      <w:szCs w:val="21"/>
                      <w:highlight w:val="none"/>
                      <w:lang w:val="en-US" w:eastAsia="zh-CN"/>
                    </w:rPr>
                    <w:t>类别</w:t>
                  </w:r>
                </w:p>
              </w:tc>
              <w:tc>
                <w:tcPr>
                  <w:tcW w:w="1481" w:type="dxa"/>
                  <w:tcBorders>
                    <w:tl2br w:val="nil"/>
                    <w:tr2bl w:val="nil"/>
                  </w:tcBorders>
                  <w:vAlign w:val="center"/>
                </w:tcPr>
                <w:p w14:paraId="4C56DCE5">
                  <w:pPr>
                    <w:pStyle w:val="31"/>
                    <w:keepNext w:val="0"/>
                    <w:keepLines w:val="0"/>
                    <w:pageBreakBefore w:val="0"/>
                    <w:widowControl w:val="0"/>
                    <w:kinsoku/>
                    <w:wordWrap/>
                    <w:overflowPunct/>
                    <w:topLinePunct w:val="0"/>
                    <w:autoSpaceDE/>
                    <w:autoSpaceDN/>
                    <w:bidi w:val="0"/>
                    <w:adjustRightInd/>
                    <w:spacing w:before="0"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监测点位</w:t>
                  </w:r>
                </w:p>
              </w:tc>
              <w:tc>
                <w:tcPr>
                  <w:tcW w:w="2291" w:type="dxa"/>
                  <w:tcBorders>
                    <w:tl2br w:val="nil"/>
                    <w:tr2bl w:val="nil"/>
                  </w:tcBorders>
                  <w:vAlign w:val="center"/>
                </w:tcPr>
                <w:p w14:paraId="7AFEBB57">
                  <w:pPr>
                    <w:pStyle w:val="31"/>
                    <w:keepNext w:val="0"/>
                    <w:keepLines w:val="0"/>
                    <w:pageBreakBefore w:val="0"/>
                    <w:widowControl w:val="0"/>
                    <w:kinsoku/>
                    <w:wordWrap/>
                    <w:overflowPunct/>
                    <w:topLinePunct w:val="0"/>
                    <w:autoSpaceDE/>
                    <w:autoSpaceDN/>
                    <w:bidi w:val="0"/>
                    <w:adjustRightInd/>
                    <w:spacing w:before="0"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监测指标</w:t>
                  </w:r>
                </w:p>
              </w:tc>
              <w:tc>
                <w:tcPr>
                  <w:tcW w:w="1262" w:type="dxa"/>
                  <w:tcBorders>
                    <w:tl2br w:val="nil"/>
                    <w:tr2bl w:val="nil"/>
                  </w:tcBorders>
                  <w:vAlign w:val="center"/>
                </w:tcPr>
                <w:p w14:paraId="16413780">
                  <w:pPr>
                    <w:pStyle w:val="31"/>
                    <w:keepNext w:val="0"/>
                    <w:keepLines w:val="0"/>
                    <w:pageBreakBefore w:val="0"/>
                    <w:widowControl w:val="0"/>
                    <w:kinsoku/>
                    <w:wordWrap/>
                    <w:overflowPunct/>
                    <w:topLinePunct w:val="0"/>
                    <w:autoSpaceDE/>
                    <w:autoSpaceDN/>
                    <w:bidi w:val="0"/>
                    <w:adjustRightInd/>
                    <w:spacing w:before="0"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采样深度</w:t>
                  </w:r>
                </w:p>
              </w:tc>
              <w:tc>
                <w:tcPr>
                  <w:tcW w:w="1678" w:type="dxa"/>
                  <w:tcBorders>
                    <w:tl2br w:val="nil"/>
                    <w:tr2bl w:val="nil"/>
                  </w:tcBorders>
                  <w:vAlign w:val="center"/>
                </w:tcPr>
                <w:p w14:paraId="4F36119E">
                  <w:pPr>
                    <w:pStyle w:val="31"/>
                    <w:keepNext w:val="0"/>
                    <w:keepLines w:val="0"/>
                    <w:pageBreakBefore w:val="0"/>
                    <w:widowControl w:val="0"/>
                    <w:kinsoku/>
                    <w:wordWrap/>
                    <w:overflowPunct/>
                    <w:topLinePunct w:val="0"/>
                    <w:autoSpaceDE/>
                    <w:autoSpaceDN/>
                    <w:bidi w:val="0"/>
                    <w:adjustRightInd/>
                    <w:spacing w:before="0"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监测频次</w:t>
                  </w:r>
                </w:p>
              </w:tc>
            </w:tr>
            <w:tr w14:paraId="23A17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78" w:type="dxa"/>
                  <w:tcBorders>
                    <w:tl2br w:val="nil"/>
                    <w:tr2bl w:val="nil"/>
                  </w:tcBorders>
                  <w:vAlign w:val="center"/>
                </w:tcPr>
                <w:p w14:paraId="6831ACA3">
                  <w:pPr>
                    <w:pStyle w:val="31"/>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土壤</w:t>
                  </w:r>
                </w:p>
              </w:tc>
              <w:tc>
                <w:tcPr>
                  <w:tcW w:w="1481" w:type="dxa"/>
                  <w:tcBorders>
                    <w:tl2br w:val="nil"/>
                    <w:tr2bl w:val="nil"/>
                  </w:tcBorders>
                  <w:vAlign w:val="center"/>
                </w:tcPr>
                <w:p w14:paraId="13D6FC90">
                  <w:pPr>
                    <w:pStyle w:val="31"/>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1#厂房南侧</w:t>
                  </w:r>
                </w:p>
              </w:tc>
              <w:tc>
                <w:tcPr>
                  <w:tcW w:w="2291" w:type="dxa"/>
                  <w:tcBorders>
                    <w:tl2br w:val="nil"/>
                    <w:tr2bl w:val="nil"/>
                  </w:tcBorders>
                  <w:vAlign w:val="center"/>
                </w:tcPr>
                <w:p w14:paraId="262D8687">
                  <w:pPr>
                    <w:pStyle w:val="31"/>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石油烃、甲苯、二甲苯</w:t>
                  </w:r>
                </w:p>
              </w:tc>
              <w:tc>
                <w:tcPr>
                  <w:tcW w:w="1262" w:type="dxa"/>
                  <w:tcBorders>
                    <w:tl2br w:val="nil"/>
                    <w:tr2bl w:val="nil"/>
                  </w:tcBorders>
                  <w:vAlign w:val="center"/>
                </w:tcPr>
                <w:p w14:paraId="384A0D82">
                  <w:pPr>
                    <w:pStyle w:val="31"/>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0-0.5m</w:t>
                  </w:r>
                </w:p>
              </w:tc>
              <w:tc>
                <w:tcPr>
                  <w:tcW w:w="1678" w:type="dxa"/>
                  <w:tcBorders>
                    <w:tl2br w:val="nil"/>
                    <w:tr2bl w:val="nil"/>
                  </w:tcBorders>
                  <w:vAlign w:val="center"/>
                </w:tcPr>
                <w:p w14:paraId="150F8E4E">
                  <w:pPr>
                    <w:pStyle w:val="31"/>
                    <w:keepNext w:val="0"/>
                    <w:keepLines w:val="0"/>
                    <w:pageBreakBefore w:val="0"/>
                    <w:widowControl w:val="0"/>
                    <w:kinsoku/>
                    <w:wordWrap/>
                    <w:overflowPunct/>
                    <w:topLinePunct w:val="0"/>
                    <w:autoSpaceDE/>
                    <w:autoSpaceDN/>
                    <w:bidi w:val="0"/>
                    <w:adjustRightInd/>
                    <w:snapToGrid w:val="0"/>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1次/3年</w:t>
                  </w:r>
                </w:p>
              </w:tc>
            </w:tr>
          </w:tbl>
          <w:p w14:paraId="160DC02E">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textAlignment w:val="auto"/>
              <w:rPr>
                <w:rFonts w:hint="eastAsia"/>
                <w:b/>
                <w:bCs/>
                <w:color w:val="auto"/>
                <w:highlight w:val="none"/>
                <w:lang w:val="en-US" w:eastAsia="zh-CN"/>
              </w:rPr>
            </w:pPr>
            <w:r>
              <w:rPr>
                <w:rFonts w:hint="eastAsia"/>
                <w:b/>
                <w:bCs/>
                <w:color w:val="auto"/>
                <w:highlight w:val="none"/>
                <w:lang w:val="en-US" w:eastAsia="zh-CN"/>
              </w:rPr>
              <w:t>6、生态</w:t>
            </w:r>
          </w:p>
          <w:p w14:paraId="42B4E53B">
            <w:pPr>
              <w:bidi w:val="0"/>
              <w:rPr>
                <w:rFonts w:hint="eastAsia"/>
                <w:color w:val="auto"/>
                <w:highlight w:val="none"/>
                <w:lang w:eastAsia="zh-CN"/>
              </w:rPr>
            </w:pPr>
            <w:r>
              <w:rPr>
                <w:rFonts w:hint="eastAsia"/>
                <w:color w:val="auto"/>
                <w:highlight w:val="none"/>
                <w:lang w:eastAsia="zh-CN"/>
              </w:rPr>
              <w:t>本项目</w:t>
            </w:r>
            <w:r>
              <w:rPr>
                <w:rFonts w:hint="eastAsia"/>
                <w:color w:val="auto"/>
                <w:highlight w:val="none"/>
                <w:lang w:val="en-US" w:eastAsia="zh-CN"/>
              </w:rPr>
              <w:t>在现有厂区内进行建设，不新增占地，</w:t>
            </w:r>
            <w:r>
              <w:rPr>
                <w:rFonts w:hint="eastAsia"/>
                <w:color w:val="auto"/>
                <w:highlight w:val="none"/>
                <w:lang w:eastAsia="zh-CN"/>
              </w:rPr>
              <w:t>用地范围内无生态环境保护目标，</w:t>
            </w:r>
            <w:r>
              <w:rPr>
                <w:rFonts w:hint="eastAsia"/>
                <w:color w:val="auto"/>
                <w:highlight w:val="none"/>
                <w:lang w:val="en-US" w:eastAsia="zh-CN"/>
              </w:rPr>
              <w:t>不会</w:t>
            </w:r>
            <w:r>
              <w:rPr>
                <w:rFonts w:hint="eastAsia"/>
                <w:color w:val="auto"/>
                <w:highlight w:val="none"/>
                <w:lang w:eastAsia="zh-CN"/>
              </w:rPr>
              <w:t>对区域生态环境</w:t>
            </w:r>
            <w:r>
              <w:rPr>
                <w:rFonts w:hint="eastAsia"/>
                <w:color w:val="auto"/>
                <w:highlight w:val="none"/>
                <w:lang w:val="en-US" w:eastAsia="zh-CN"/>
              </w:rPr>
              <w:t>造成明显不利</w:t>
            </w:r>
            <w:r>
              <w:rPr>
                <w:rFonts w:hint="eastAsia"/>
                <w:color w:val="auto"/>
                <w:highlight w:val="none"/>
                <w:lang w:eastAsia="zh-CN"/>
              </w:rPr>
              <w:t>影响。</w:t>
            </w:r>
          </w:p>
          <w:p w14:paraId="2877D861">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7、环境风险</w:t>
            </w:r>
          </w:p>
          <w:p w14:paraId="4517DE60">
            <w:pPr>
              <w:bidi w:val="0"/>
              <w:rPr>
                <w:rFonts w:hint="eastAsia"/>
                <w:b/>
                <w:bCs/>
                <w:color w:val="auto"/>
                <w:highlight w:val="none"/>
                <w:lang w:val="en-US" w:eastAsia="zh-CN"/>
              </w:rPr>
            </w:pPr>
            <w:r>
              <w:rPr>
                <w:rFonts w:hint="eastAsia"/>
                <w:b/>
                <w:bCs/>
                <w:color w:val="auto"/>
                <w:highlight w:val="none"/>
                <w:lang w:val="en-US" w:eastAsia="zh-CN"/>
              </w:rPr>
              <w:t>7.1环境风险的识别</w:t>
            </w:r>
          </w:p>
          <w:p w14:paraId="07A9186D">
            <w:pPr>
              <w:bidi w:val="0"/>
              <w:rPr>
                <w:rFonts w:hint="default"/>
                <w:color w:val="auto"/>
                <w:highlight w:val="none"/>
                <w:lang w:val="en-US" w:eastAsia="zh-CN"/>
              </w:rPr>
            </w:pPr>
            <w:r>
              <w:rPr>
                <w:rFonts w:hint="eastAsia" w:ascii="Times New Roman" w:hAnsi="Times New Roman" w:eastAsia="宋体" w:cs="Times New Roman"/>
                <w:caps w:val="0"/>
                <w:color w:val="auto"/>
                <w:spacing w:val="0"/>
                <w:kern w:val="2"/>
                <w:position w:val="0"/>
                <w:sz w:val="24"/>
                <w:szCs w:val="24"/>
                <w:highlight w:val="none"/>
                <w:lang w:val="en-US" w:eastAsia="zh-CN" w:bidi="ar"/>
              </w:rPr>
              <w:t>对照《危险化学品分类信息表》（2015年）、</w:t>
            </w:r>
            <w:r>
              <w:rPr>
                <w:rFonts w:hint="default" w:ascii="Times New Roman" w:hAnsi="Times New Roman" w:eastAsia="宋体" w:cs="Times New Roman"/>
                <w:caps w:val="0"/>
                <w:color w:val="auto"/>
                <w:spacing w:val="0"/>
                <w:kern w:val="2"/>
                <w:position w:val="0"/>
                <w:sz w:val="24"/>
                <w:szCs w:val="24"/>
                <w:highlight w:val="none"/>
                <w:lang w:val="en-US" w:eastAsia="zh-CN" w:bidi="ar"/>
              </w:rPr>
              <w:t>《建设项目环境风险评价技术导则》（HJ169-2018）附录B.1、《化学品分类和标签规范第18部分：急性毒性》（GB30000.18-2013）和《化学品分类和标签规范第28部分：对水生环境的危害》（GB30000.28-2013）</w:t>
            </w:r>
            <w:r>
              <w:rPr>
                <w:rFonts w:hint="eastAsia" w:ascii="Times New Roman" w:hAnsi="Times New Roman" w:eastAsia="宋体" w:cs="Times New Roman"/>
                <w:caps w:val="0"/>
                <w:color w:val="auto"/>
                <w:spacing w:val="0"/>
                <w:kern w:val="2"/>
                <w:position w:val="0"/>
                <w:sz w:val="24"/>
                <w:szCs w:val="24"/>
                <w:highlight w:val="none"/>
                <w:lang w:val="en-US" w:eastAsia="zh-CN" w:bidi="ar"/>
              </w:rPr>
              <w:t>，</w:t>
            </w:r>
            <w:r>
              <w:rPr>
                <w:rFonts w:hint="default"/>
                <w:color w:val="auto"/>
                <w:highlight w:val="none"/>
                <w:lang w:val="en-US" w:eastAsia="zh-CN"/>
              </w:rPr>
              <w:t>本项目的风险物质主要为</w:t>
            </w:r>
            <w:r>
              <w:rPr>
                <w:rFonts w:hint="eastAsia"/>
                <w:color w:val="auto"/>
                <w:highlight w:val="none"/>
                <w:lang w:val="en-US" w:eastAsia="zh-CN"/>
              </w:rPr>
              <w:t>漆料（含底漆、面漆、耐弧漆、稀释剂）中的甲苯、乙苯、二甲苯、正丁醇、1-丁烯、三甲苯、环己酮，废稀释剂中的甲苯、二甲苯、三甲苯、环己酮</w:t>
            </w:r>
            <w:r>
              <w:rPr>
                <w:rFonts w:hint="default"/>
                <w:color w:val="auto"/>
                <w:highlight w:val="none"/>
                <w:lang w:val="en-US" w:eastAsia="zh-CN"/>
              </w:rPr>
              <w:t>，</w:t>
            </w:r>
            <w:r>
              <w:rPr>
                <w:rFonts w:hint="eastAsia"/>
                <w:color w:val="auto"/>
                <w:highlight w:val="none"/>
                <w:lang w:val="en-US" w:eastAsia="zh-CN"/>
              </w:rPr>
              <w:t>漆料、废稀释剂</w:t>
            </w:r>
            <w:r>
              <w:rPr>
                <w:rFonts w:hint="default"/>
                <w:color w:val="auto"/>
                <w:highlight w:val="none"/>
                <w:lang w:val="en-US" w:eastAsia="zh-CN"/>
              </w:rPr>
              <w:t>在储存、使用过程中可能发生泄漏事故。</w:t>
            </w:r>
            <w:r>
              <w:rPr>
                <w:rFonts w:hint="eastAsia"/>
                <w:color w:val="auto"/>
                <w:highlight w:val="none"/>
                <w:lang w:val="en-US" w:eastAsia="zh-CN"/>
              </w:rPr>
              <w:t>漆料密闭桶装储存于油漆库，废稀释剂桶装加盖储存于危废间。</w:t>
            </w:r>
          </w:p>
          <w:p w14:paraId="6570A9AA">
            <w:pPr>
              <w:pStyle w:val="33"/>
              <w:bidi w:val="0"/>
              <w:rPr>
                <w:rFonts w:hint="default" w:ascii="Times New Roman" w:hAnsi="Times New Roman" w:eastAsia="宋体" w:cs="Times New Roman"/>
                <w:b/>
                <w:bCs/>
                <w:color w:val="auto"/>
                <w:szCs w:val="21"/>
                <w:highlight w:val="none"/>
                <w:shd w:val="clear" w:color="auto" w:fill="auto"/>
                <w:lang w:val="en-US" w:eastAsia="zh-CN"/>
              </w:rPr>
            </w:pPr>
            <w:r>
              <w:rPr>
                <w:rFonts w:hint="default"/>
                <w:color w:val="auto"/>
                <w:highlight w:val="none"/>
                <w:lang w:val="zh-CN" w:eastAsia="zh-CN"/>
              </w:rPr>
              <w:t>表</w:t>
            </w:r>
            <w:r>
              <w:rPr>
                <w:rFonts w:hint="eastAsia"/>
                <w:color w:val="auto"/>
                <w:highlight w:val="none"/>
                <w:lang w:val="en-US" w:eastAsia="zh-CN"/>
              </w:rPr>
              <w:t>64  本项目风险物质识别及影响途径</w:t>
            </w:r>
            <w:r>
              <w:rPr>
                <w:rFonts w:hint="eastAsia"/>
                <w:color w:val="auto"/>
                <w:highlight w:val="none"/>
                <w:lang w:val="zh-CN" w:eastAsia="zh-CN"/>
              </w:rPr>
              <w:t>一览</w:t>
            </w:r>
            <w:r>
              <w:rPr>
                <w:rFonts w:hint="default"/>
                <w:color w:val="auto"/>
                <w:highlight w:val="none"/>
                <w:lang w:val="zh-CN" w:eastAsia="zh-CN"/>
              </w:rPr>
              <w:t>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84"/>
              <w:gridCol w:w="1216"/>
              <w:gridCol w:w="723"/>
              <w:gridCol w:w="886"/>
              <w:gridCol w:w="860"/>
              <w:gridCol w:w="2086"/>
              <w:gridCol w:w="873"/>
              <w:gridCol w:w="1262"/>
            </w:tblGrid>
            <w:tr w14:paraId="2221E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1700" w:type="dxa"/>
                  <w:gridSpan w:val="2"/>
                  <w:tcBorders>
                    <w:tl2br w:val="nil"/>
                    <w:tr2bl w:val="nil"/>
                  </w:tcBorders>
                  <w:noWrap w:val="0"/>
                  <w:tcMar>
                    <w:top w:w="15" w:type="dxa"/>
                    <w:left w:w="15" w:type="dxa"/>
                    <w:right w:w="15" w:type="dxa"/>
                  </w:tcMar>
                  <w:vAlign w:val="center"/>
                </w:tcPr>
                <w:p w14:paraId="5F2B22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风险物质名称</w:t>
                  </w:r>
                </w:p>
              </w:tc>
              <w:tc>
                <w:tcPr>
                  <w:tcW w:w="723" w:type="dxa"/>
                  <w:tcBorders>
                    <w:tl2br w:val="nil"/>
                    <w:tr2bl w:val="nil"/>
                  </w:tcBorders>
                  <w:noWrap w:val="0"/>
                  <w:tcMar>
                    <w:top w:w="15" w:type="dxa"/>
                    <w:left w:w="15" w:type="dxa"/>
                    <w:right w:w="15" w:type="dxa"/>
                  </w:tcMar>
                  <w:vAlign w:val="center"/>
                </w:tcPr>
                <w:p w14:paraId="6CE6DE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贮存</w:t>
                  </w:r>
                  <w:r>
                    <w:rPr>
                      <w:rFonts w:hint="eastAsia" w:ascii="Times New Roman" w:hAnsi="Times New Roman" w:eastAsia="宋体" w:cs="Times New Roman"/>
                      <w:color w:val="auto"/>
                      <w:sz w:val="21"/>
                      <w:szCs w:val="21"/>
                      <w:highlight w:val="none"/>
                      <w:shd w:val="clear" w:color="auto" w:fill="auto"/>
                      <w:lang w:eastAsia="zh-CN"/>
                    </w:rPr>
                    <w:t>场所</w:t>
                  </w:r>
                </w:p>
              </w:tc>
              <w:tc>
                <w:tcPr>
                  <w:tcW w:w="886" w:type="dxa"/>
                  <w:tcBorders>
                    <w:tl2br w:val="nil"/>
                    <w:tr2bl w:val="nil"/>
                  </w:tcBorders>
                  <w:noWrap w:val="0"/>
                  <w:tcMar>
                    <w:top w:w="15" w:type="dxa"/>
                    <w:left w:w="15" w:type="dxa"/>
                    <w:right w:w="15" w:type="dxa"/>
                  </w:tcMar>
                  <w:vAlign w:val="center"/>
                </w:tcPr>
                <w:p w14:paraId="1FE2E3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最大储存量</w:t>
                  </w:r>
                  <w:r>
                    <w:rPr>
                      <w:rFonts w:hint="eastAsia" w:eastAsia="宋体" w:cs="Times New Roman"/>
                      <w:color w:val="auto"/>
                      <w:sz w:val="21"/>
                      <w:szCs w:val="21"/>
                      <w:highlight w:val="none"/>
                      <w:shd w:val="clear" w:color="auto" w:fill="auto"/>
                      <w:lang w:val="en-US" w:eastAsia="zh-CN"/>
                    </w:rPr>
                    <w:t>（t）</w:t>
                  </w:r>
                </w:p>
              </w:tc>
              <w:tc>
                <w:tcPr>
                  <w:tcW w:w="860" w:type="dxa"/>
                  <w:tcBorders>
                    <w:tl2br w:val="nil"/>
                    <w:tr2bl w:val="nil"/>
                  </w:tcBorders>
                  <w:noWrap w:val="0"/>
                  <w:tcMar>
                    <w:top w:w="15" w:type="dxa"/>
                    <w:left w:w="15" w:type="dxa"/>
                    <w:right w:w="15" w:type="dxa"/>
                  </w:tcMar>
                  <w:vAlign w:val="center"/>
                </w:tcPr>
                <w:p w14:paraId="13A848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临界量（t）</w:t>
                  </w:r>
                </w:p>
              </w:tc>
              <w:tc>
                <w:tcPr>
                  <w:tcW w:w="2086" w:type="dxa"/>
                  <w:tcBorders>
                    <w:tl2br w:val="nil"/>
                    <w:tr2bl w:val="nil"/>
                  </w:tcBorders>
                  <w:noWrap w:val="0"/>
                  <w:tcMar>
                    <w:top w:w="15" w:type="dxa"/>
                    <w:left w:w="15" w:type="dxa"/>
                    <w:right w:w="15" w:type="dxa"/>
                  </w:tcMar>
                  <w:vAlign w:val="center"/>
                </w:tcPr>
                <w:p w14:paraId="3B9936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临界量值来源</w:t>
                  </w:r>
                </w:p>
              </w:tc>
              <w:tc>
                <w:tcPr>
                  <w:tcW w:w="873" w:type="dxa"/>
                  <w:tcBorders>
                    <w:tl2br w:val="nil"/>
                    <w:tr2bl w:val="nil"/>
                  </w:tcBorders>
                  <w:noWrap w:val="0"/>
                  <w:tcMar>
                    <w:top w:w="15" w:type="dxa"/>
                    <w:left w:w="15" w:type="dxa"/>
                    <w:right w:w="15" w:type="dxa"/>
                  </w:tcMar>
                  <w:vAlign w:val="center"/>
                </w:tcPr>
                <w:p w14:paraId="5CEB40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Q值</w:t>
                  </w:r>
                </w:p>
              </w:tc>
              <w:tc>
                <w:tcPr>
                  <w:tcW w:w="1262" w:type="dxa"/>
                  <w:tcBorders>
                    <w:tl2br w:val="nil"/>
                    <w:tr2bl w:val="nil"/>
                  </w:tcBorders>
                  <w:noWrap w:val="0"/>
                  <w:tcMar>
                    <w:top w:w="15" w:type="dxa"/>
                    <w:left w:w="15" w:type="dxa"/>
                    <w:right w:w="15" w:type="dxa"/>
                  </w:tcMar>
                  <w:vAlign w:val="center"/>
                </w:tcPr>
                <w:p w14:paraId="281D2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影响</w:t>
                  </w:r>
                  <w:r>
                    <w:rPr>
                      <w:rFonts w:hint="eastAsia" w:cs="Times New Roman"/>
                      <w:color w:val="auto"/>
                      <w:sz w:val="21"/>
                      <w:szCs w:val="21"/>
                      <w:highlight w:val="none"/>
                      <w:shd w:val="clear" w:color="auto" w:fill="auto"/>
                      <w:lang w:val="en-US" w:eastAsia="zh-CN"/>
                    </w:rPr>
                    <w:t>途径</w:t>
                  </w:r>
                </w:p>
              </w:tc>
            </w:tr>
            <w:tr w14:paraId="5D289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restart"/>
                  <w:tcBorders>
                    <w:tl2br w:val="nil"/>
                    <w:tr2bl w:val="nil"/>
                  </w:tcBorders>
                  <w:noWrap w:val="0"/>
                  <w:tcMar>
                    <w:top w:w="15" w:type="dxa"/>
                    <w:left w:w="15" w:type="dxa"/>
                    <w:right w:w="15" w:type="dxa"/>
                  </w:tcMar>
                  <w:vAlign w:val="center"/>
                </w:tcPr>
                <w:p w14:paraId="7787E2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底漆</w:t>
                  </w:r>
                </w:p>
              </w:tc>
              <w:tc>
                <w:tcPr>
                  <w:tcW w:w="1216" w:type="dxa"/>
                  <w:tcBorders>
                    <w:tl2br w:val="nil"/>
                    <w:tr2bl w:val="nil"/>
                  </w:tcBorders>
                  <w:noWrap w:val="0"/>
                  <w:tcMar>
                    <w:top w:w="15" w:type="dxa"/>
                    <w:left w:w="15" w:type="dxa"/>
                    <w:right w:w="15" w:type="dxa"/>
                  </w:tcMar>
                  <w:vAlign w:val="center"/>
                </w:tcPr>
                <w:p w14:paraId="6F1434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A组分（二甲苯）</w:t>
                  </w:r>
                </w:p>
              </w:tc>
              <w:tc>
                <w:tcPr>
                  <w:tcW w:w="723" w:type="dxa"/>
                  <w:vMerge w:val="restart"/>
                  <w:tcBorders>
                    <w:tl2br w:val="nil"/>
                    <w:tr2bl w:val="nil"/>
                  </w:tcBorders>
                  <w:noWrap w:val="0"/>
                  <w:tcMar>
                    <w:top w:w="15" w:type="dxa"/>
                    <w:left w:w="15" w:type="dxa"/>
                    <w:right w:w="15" w:type="dxa"/>
                  </w:tcMar>
                  <w:vAlign w:val="center"/>
                </w:tcPr>
                <w:p w14:paraId="390205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油漆库</w:t>
                  </w:r>
                </w:p>
              </w:tc>
              <w:tc>
                <w:tcPr>
                  <w:tcW w:w="886" w:type="dxa"/>
                  <w:tcBorders>
                    <w:tl2br w:val="nil"/>
                    <w:tr2bl w:val="nil"/>
                  </w:tcBorders>
                  <w:noWrap w:val="0"/>
                  <w:tcMar>
                    <w:top w:w="15" w:type="dxa"/>
                    <w:left w:w="15" w:type="dxa"/>
                    <w:right w:w="15" w:type="dxa"/>
                  </w:tcMar>
                  <w:vAlign w:val="center"/>
                </w:tcPr>
                <w:p w14:paraId="331A2F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w:t>
                  </w:r>
                </w:p>
              </w:tc>
              <w:tc>
                <w:tcPr>
                  <w:tcW w:w="860" w:type="dxa"/>
                  <w:tcBorders>
                    <w:tl2br w:val="nil"/>
                    <w:tr2bl w:val="nil"/>
                  </w:tcBorders>
                  <w:noWrap w:val="0"/>
                  <w:tcMar>
                    <w:top w:w="15" w:type="dxa"/>
                    <w:left w:w="15" w:type="dxa"/>
                    <w:right w:w="15" w:type="dxa"/>
                  </w:tcMar>
                  <w:vAlign w:val="center"/>
                </w:tcPr>
                <w:p w14:paraId="20F48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00B918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HJ169-2018中附录B表B.1- 108二甲苯</w:t>
                  </w:r>
                </w:p>
              </w:tc>
              <w:tc>
                <w:tcPr>
                  <w:tcW w:w="873" w:type="dxa"/>
                  <w:tcBorders>
                    <w:tl2br w:val="nil"/>
                    <w:tr2bl w:val="nil"/>
                  </w:tcBorders>
                  <w:noWrap w:val="0"/>
                  <w:tcMar>
                    <w:top w:w="15" w:type="dxa"/>
                    <w:left w:w="15" w:type="dxa"/>
                    <w:right w:w="15" w:type="dxa"/>
                  </w:tcMar>
                  <w:vAlign w:val="center"/>
                </w:tcPr>
                <w:p w14:paraId="20B852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0.005</w:t>
                  </w:r>
                </w:p>
              </w:tc>
              <w:tc>
                <w:tcPr>
                  <w:tcW w:w="1262" w:type="dxa"/>
                  <w:vMerge w:val="restart"/>
                  <w:tcBorders>
                    <w:tl2br w:val="nil"/>
                    <w:tr2bl w:val="nil"/>
                  </w:tcBorders>
                  <w:noWrap w:val="0"/>
                  <w:tcMar>
                    <w:top w:w="15" w:type="dxa"/>
                    <w:left w:w="15" w:type="dxa"/>
                    <w:right w:w="15" w:type="dxa"/>
                  </w:tcMar>
                  <w:vAlign w:val="center"/>
                </w:tcPr>
                <w:p w14:paraId="266AD9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泄漏漫流至地面下渗影响土壤及地下水环境</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引起火灾产生废气、消防废水等</w:t>
                  </w:r>
                </w:p>
              </w:tc>
            </w:tr>
            <w:tr w14:paraId="733AB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1" w:hRule="atLeast"/>
                <w:jc w:val="center"/>
              </w:trPr>
              <w:tc>
                <w:tcPr>
                  <w:tcW w:w="484" w:type="dxa"/>
                  <w:vMerge w:val="continue"/>
                  <w:tcBorders>
                    <w:tl2br w:val="nil"/>
                    <w:tr2bl w:val="nil"/>
                  </w:tcBorders>
                  <w:noWrap w:val="0"/>
                  <w:tcMar>
                    <w:top w:w="15" w:type="dxa"/>
                    <w:left w:w="15" w:type="dxa"/>
                    <w:right w:w="15" w:type="dxa"/>
                  </w:tcMar>
                  <w:vAlign w:val="center"/>
                </w:tcPr>
                <w:p w14:paraId="448BDC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3ECE21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A组分（正丁醇）</w:t>
                  </w:r>
                </w:p>
              </w:tc>
              <w:tc>
                <w:tcPr>
                  <w:tcW w:w="723" w:type="dxa"/>
                  <w:vMerge w:val="continue"/>
                  <w:tcBorders>
                    <w:tl2br w:val="nil"/>
                    <w:tr2bl w:val="nil"/>
                  </w:tcBorders>
                  <w:noWrap w:val="0"/>
                  <w:tcMar>
                    <w:top w:w="15" w:type="dxa"/>
                    <w:left w:w="15" w:type="dxa"/>
                    <w:right w:w="15" w:type="dxa"/>
                  </w:tcMar>
                  <w:vAlign w:val="center"/>
                </w:tcPr>
                <w:p w14:paraId="31F79E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651294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w:t>
                  </w:r>
                </w:p>
              </w:tc>
              <w:tc>
                <w:tcPr>
                  <w:tcW w:w="860" w:type="dxa"/>
                  <w:tcBorders>
                    <w:tl2br w:val="nil"/>
                    <w:tr2bl w:val="nil"/>
                  </w:tcBorders>
                  <w:noWrap w:val="0"/>
                  <w:tcMar>
                    <w:top w:w="15" w:type="dxa"/>
                    <w:left w:w="15" w:type="dxa"/>
                    <w:right w:w="15" w:type="dxa"/>
                  </w:tcMar>
                  <w:vAlign w:val="center"/>
                </w:tcPr>
                <w:p w14:paraId="6906EE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w:t>
                  </w:r>
                </w:p>
              </w:tc>
              <w:tc>
                <w:tcPr>
                  <w:tcW w:w="2086" w:type="dxa"/>
                  <w:tcBorders>
                    <w:tl2br w:val="nil"/>
                    <w:tr2bl w:val="nil"/>
                  </w:tcBorders>
                  <w:noWrap w:val="0"/>
                  <w:tcMar>
                    <w:top w:w="15" w:type="dxa"/>
                    <w:left w:w="15" w:type="dxa"/>
                    <w:right w:w="15" w:type="dxa"/>
                  </w:tcMar>
                  <w:vAlign w:val="center"/>
                </w:tcPr>
                <w:p w14:paraId="4017D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HJ169-2018中附录B表B.2- 1健康危险急性毒性物质（类别1）</w:t>
                  </w:r>
                </w:p>
              </w:tc>
              <w:tc>
                <w:tcPr>
                  <w:tcW w:w="873" w:type="dxa"/>
                  <w:tcBorders>
                    <w:tl2br w:val="nil"/>
                    <w:tr2bl w:val="nil"/>
                  </w:tcBorders>
                  <w:noWrap w:val="0"/>
                  <w:tcMar>
                    <w:top w:w="15" w:type="dxa"/>
                    <w:left w:w="15" w:type="dxa"/>
                    <w:right w:w="15" w:type="dxa"/>
                  </w:tcMar>
                  <w:vAlign w:val="center"/>
                </w:tcPr>
                <w:p w14:paraId="04027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w:t>
                  </w:r>
                </w:p>
              </w:tc>
              <w:tc>
                <w:tcPr>
                  <w:tcW w:w="1262" w:type="dxa"/>
                  <w:vMerge w:val="continue"/>
                  <w:tcBorders>
                    <w:tl2br w:val="nil"/>
                    <w:tr2bl w:val="nil"/>
                  </w:tcBorders>
                  <w:noWrap w:val="0"/>
                  <w:tcMar>
                    <w:top w:w="15" w:type="dxa"/>
                    <w:left w:w="15" w:type="dxa"/>
                    <w:right w:w="15" w:type="dxa"/>
                  </w:tcMar>
                  <w:vAlign w:val="center"/>
                </w:tcPr>
                <w:p w14:paraId="717283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33339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484" w:type="dxa"/>
                  <w:vMerge w:val="continue"/>
                  <w:tcBorders>
                    <w:tl2br w:val="nil"/>
                    <w:tr2bl w:val="nil"/>
                  </w:tcBorders>
                  <w:noWrap w:val="0"/>
                  <w:tcMar>
                    <w:top w:w="15" w:type="dxa"/>
                    <w:left w:w="15" w:type="dxa"/>
                    <w:right w:w="15" w:type="dxa"/>
                  </w:tcMar>
                  <w:vAlign w:val="center"/>
                </w:tcPr>
                <w:p w14:paraId="6A6285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40673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A组分（乙苯）</w:t>
                  </w:r>
                </w:p>
              </w:tc>
              <w:tc>
                <w:tcPr>
                  <w:tcW w:w="723" w:type="dxa"/>
                  <w:vMerge w:val="continue"/>
                  <w:tcBorders>
                    <w:tl2br w:val="nil"/>
                    <w:tr2bl w:val="nil"/>
                  </w:tcBorders>
                  <w:noWrap w:val="0"/>
                  <w:tcMar>
                    <w:top w:w="15" w:type="dxa"/>
                    <w:left w:w="15" w:type="dxa"/>
                    <w:right w:w="15" w:type="dxa"/>
                  </w:tcMar>
                  <w:vAlign w:val="center"/>
                </w:tcPr>
                <w:p w14:paraId="08F521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1B9326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0.015</w:t>
                  </w:r>
                </w:p>
              </w:tc>
              <w:tc>
                <w:tcPr>
                  <w:tcW w:w="860" w:type="dxa"/>
                  <w:tcBorders>
                    <w:tl2br w:val="nil"/>
                    <w:tr2bl w:val="nil"/>
                  </w:tcBorders>
                  <w:noWrap w:val="0"/>
                  <w:tcMar>
                    <w:top w:w="15" w:type="dxa"/>
                    <w:left w:w="15" w:type="dxa"/>
                    <w:right w:w="15" w:type="dxa"/>
                  </w:tcMar>
                  <w:vAlign w:val="center"/>
                </w:tcPr>
                <w:p w14:paraId="70BE39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63FA1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HJ169-2018中附录B表B.1- 343乙苯</w:t>
                  </w:r>
                </w:p>
              </w:tc>
              <w:tc>
                <w:tcPr>
                  <w:tcW w:w="873" w:type="dxa"/>
                  <w:tcBorders>
                    <w:tl2br w:val="nil"/>
                    <w:tr2bl w:val="nil"/>
                  </w:tcBorders>
                  <w:noWrap w:val="0"/>
                  <w:tcMar>
                    <w:top w:w="15" w:type="dxa"/>
                    <w:left w:w="15" w:type="dxa"/>
                    <w:right w:w="15" w:type="dxa"/>
                  </w:tcMar>
                  <w:vAlign w:val="center"/>
                </w:tcPr>
                <w:p w14:paraId="0A929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0.0015</w:t>
                  </w:r>
                </w:p>
              </w:tc>
              <w:tc>
                <w:tcPr>
                  <w:tcW w:w="1262" w:type="dxa"/>
                  <w:vMerge w:val="continue"/>
                  <w:tcBorders>
                    <w:tl2br w:val="nil"/>
                    <w:tr2bl w:val="nil"/>
                  </w:tcBorders>
                  <w:noWrap w:val="0"/>
                  <w:tcMar>
                    <w:top w:w="15" w:type="dxa"/>
                    <w:left w:w="15" w:type="dxa"/>
                    <w:right w:w="15" w:type="dxa"/>
                  </w:tcMar>
                  <w:vAlign w:val="center"/>
                </w:tcPr>
                <w:p w14:paraId="06B30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35B47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484" w:type="dxa"/>
                  <w:vMerge w:val="continue"/>
                  <w:tcBorders>
                    <w:tl2br w:val="nil"/>
                    <w:tr2bl w:val="nil"/>
                  </w:tcBorders>
                  <w:noWrap w:val="0"/>
                  <w:tcMar>
                    <w:top w:w="15" w:type="dxa"/>
                    <w:left w:w="15" w:type="dxa"/>
                    <w:right w:w="15" w:type="dxa"/>
                  </w:tcMar>
                  <w:vAlign w:val="center"/>
                </w:tcPr>
                <w:p w14:paraId="74D259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53A4BD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B组分（二甲苯）</w:t>
                  </w:r>
                </w:p>
              </w:tc>
              <w:tc>
                <w:tcPr>
                  <w:tcW w:w="723" w:type="dxa"/>
                  <w:vMerge w:val="continue"/>
                  <w:tcBorders>
                    <w:tl2br w:val="nil"/>
                    <w:tr2bl w:val="nil"/>
                  </w:tcBorders>
                  <w:noWrap w:val="0"/>
                  <w:tcMar>
                    <w:top w:w="15" w:type="dxa"/>
                    <w:left w:w="15" w:type="dxa"/>
                    <w:right w:w="15" w:type="dxa"/>
                  </w:tcMar>
                  <w:vAlign w:val="center"/>
                </w:tcPr>
                <w:p w14:paraId="686A74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36699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w:t>
                  </w:r>
                </w:p>
              </w:tc>
              <w:tc>
                <w:tcPr>
                  <w:tcW w:w="860" w:type="dxa"/>
                  <w:tcBorders>
                    <w:tl2br w:val="nil"/>
                    <w:tr2bl w:val="nil"/>
                  </w:tcBorders>
                  <w:noWrap w:val="0"/>
                  <w:tcMar>
                    <w:top w:w="15" w:type="dxa"/>
                    <w:left w:w="15" w:type="dxa"/>
                    <w:right w:w="15" w:type="dxa"/>
                  </w:tcMar>
                  <w:vAlign w:val="center"/>
                </w:tcPr>
                <w:p w14:paraId="15D41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2F62B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HJ169-2018中附录B表B.1- 108二甲苯</w:t>
                  </w:r>
                </w:p>
              </w:tc>
              <w:tc>
                <w:tcPr>
                  <w:tcW w:w="873" w:type="dxa"/>
                  <w:tcBorders>
                    <w:tl2br w:val="nil"/>
                    <w:tr2bl w:val="nil"/>
                  </w:tcBorders>
                  <w:noWrap w:val="0"/>
                  <w:tcMar>
                    <w:top w:w="15" w:type="dxa"/>
                    <w:left w:w="15" w:type="dxa"/>
                    <w:right w:w="15" w:type="dxa"/>
                  </w:tcMar>
                  <w:vAlign w:val="center"/>
                </w:tcPr>
                <w:p w14:paraId="138E8E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0.005</w:t>
                  </w:r>
                </w:p>
              </w:tc>
              <w:tc>
                <w:tcPr>
                  <w:tcW w:w="1262" w:type="dxa"/>
                  <w:vMerge w:val="continue"/>
                  <w:tcBorders>
                    <w:tl2br w:val="nil"/>
                    <w:tr2bl w:val="nil"/>
                  </w:tcBorders>
                  <w:noWrap w:val="0"/>
                  <w:tcMar>
                    <w:top w:w="15" w:type="dxa"/>
                    <w:left w:w="15" w:type="dxa"/>
                    <w:right w:w="15" w:type="dxa"/>
                  </w:tcMar>
                  <w:vAlign w:val="center"/>
                </w:tcPr>
                <w:p w14:paraId="527333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178F1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84" w:type="dxa"/>
                  <w:vMerge w:val="continue"/>
                  <w:tcBorders>
                    <w:tl2br w:val="nil"/>
                    <w:tr2bl w:val="nil"/>
                  </w:tcBorders>
                  <w:noWrap w:val="0"/>
                  <w:tcMar>
                    <w:top w:w="15" w:type="dxa"/>
                    <w:left w:w="15" w:type="dxa"/>
                    <w:right w:w="15" w:type="dxa"/>
                  </w:tcMar>
                  <w:vAlign w:val="center"/>
                </w:tcPr>
                <w:p w14:paraId="1EB1B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011B71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B组分（乙苯）</w:t>
                  </w:r>
                </w:p>
              </w:tc>
              <w:tc>
                <w:tcPr>
                  <w:tcW w:w="723" w:type="dxa"/>
                  <w:vMerge w:val="continue"/>
                  <w:tcBorders>
                    <w:tl2br w:val="nil"/>
                    <w:tr2bl w:val="nil"/>
                  </w:tcBorders>
                  <w:noWrap w:val="0"/>
                  <w:tcMar>
                    <w:top w:w="15" w:type="dxa"/>
                    <w:left w:w="15" w:type="dxa"/>
                    <w:right w:w="15" w:type="dxa"/>
                  </w:tcMar>
                  <w:vAlign w:val="center"/>
                </w:tcPr>
                <w:p w14:paraId="54A5F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4764C7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0.025</w:t>
                  </w:r>
                </w:p>
              </w:tc>
              <w:tc>
                <w:tcPr>
                  <w:tcW w:w="860" w:type="dxa"/>
                  <w:tcBorders>
                    <w:tl2br w:val="nil"/>
                    <w:tr2bl w:val="nil"/>
                  </w:tcBorders>
                  <w:noWrap w:val="0"/>
                  <w:tcMar>
                    <w:top w:w="15" w:type="dxa"/>
                    <w:left w:w="15" w:type="dxa"/>
                    <w:right w:w="15" w:type="dxa"/>
                  </w:tcMar>
                  <w:vAlign w:val="center"/>
                </w:tcPr>
                <w:p w14:paraId="34CBFC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06412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HJ169-2018中附录B表B.1- 343乙苯</w:t>
                  </w:r>
                </w:p>
              </w:tc>
              <w:tc>
                <w:tcPr>
                  <w:tcW w:w="873" w:type="dxa"/>
                  <w:tcBorders>
                    <w:tl2br w:val="nil"/>
                    <w:tr2bl w:val="nil"/>
                  </w:tcBorders>
                  <w:noWrap w:val="0"/>
                  <w:tcMar>
                    <w:top w:w="15" w:type="dxa"/>
                    <w:left w:w="15" w:type="dxa"/>
                    <w:right w:w="15" w:type="dxa"/>
                  </w:tcMar>
                  <w:vAlign w:val="center"/>
                </w:tcPr>
                <w:p w14:paraId="1BEE4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0.0025</w:t>
                  </w:r>
                </w:p>
              </w:tc>
              <w:tc>
                <w:tcPr>
                  <w:tcW w:w="1262" w:type="dxa"/>
                  <w:vMerge w:val="continue"/>
                  <w:tcBorders>
                    <w:tl2br w:val="nil"/>
                    <w:tr2bl w:val="nil"/>
                  </w:tcBorders>
                  <w:noWrap w:val="0"/>
                  <w:tcMar>
                    <w:top w:w="15" w:type="dxa"/>
                    <w:left w:w="15" w:type="dxa"/>
                    <w:right w:w="15" w:type="dxa"/>
                  </w:tcMar>
                  <w:vAlign w:val="center"/>
                </w:tcPr>
                <w:p w14:paraId="762E40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65A55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484" w:type="dxa"/>
                  <w:vMerge w:val="restart"/>
                  <w:tcBorders>
                    <w:tl2br w:val="nil"/>
                    <w:tr2bl w:val="nil"/>
                  </w:tcBorders>
                  <w:noWrap w:val="0"/>
                  <w:tcMar>
                    <w:top w:w="15" w:type="dxa"/>
                    <w:left w:w="15" w:type="dxa"/>
                    <w:right w:w="15" w:type="dxa"/>
                  </w:tcMar>
                  <w:vAlign w:val="center"/>
                </w:tcPr>
                <w:p w14:paraId="5C228E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面漆</w:t>
                  </w:r>
                </w:p>
              </w:tc>
              <w:tc>
                <w:tcPr>
                  <w:tcW w:w="1216" w:type="dxa"/>
                  <w:tcBorders>
                    <w:tl2br w:val="nil"/>
                    <w:tr2bl w:val="nil"/>
                  </w:tcBorders>
                  <w:noWrap w:val="0"/>
                  <w:tcMar>
                    <w:top w:w="15" w:type="dxa"/>
                    <w:left w:w="15" w:type="dxa"/>
                    <w:right w:w="15" w:type="dxa"/>
                  </w:tcMar>
                  <w:vAlign w:val="center"/>
                </w:tcPr>
                <w:p w14:paraId="7D4DFC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A组分（二甲苯）</w:t>
                  </w:r>
                </w:p>
              </w:tc>
              <w:tc>
                <w:tcPr>
                  <w:tcW w:w="723" w:type="dxa"/>
                  <w:vMerge w:val="continue"/>
                  <w:tcBorders>
                    <w:tl2br w:val="nil"/>
                    <w:tr2bl w:val="nil"/>
                  </w:tcBorders>
                  <w:noWrap w:val="0"/>
                  <w:tcMar>
                    <w:top w:w="15" w:type="dxa"/>
                    <w:left w:w="15" w:type="dxa"/>
                    <w:right w:w="15" w:type="dxa"/>
                  </w:tcMar>
                  <w:vAlign w:val="center"/>
                </w:tcPr>
                <w:p w14:paraId="0C8787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1F1E61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0.11</w:t>
                  </w:r>
                </w:p>
              </w:tc>
              <w:tc>
                <w:tcPr>
                  <w:tcW w:w="860" w:type="dxa"/>
                  <w:tcBorders>
                    <w:tl2br w:val="nil"/>
                    <w:tr2bl w:val="nil"/>
                  </w:tcBorders>
                  <w:noWrap w:val="0"/>
                  <w:tcMar>
                    <w:top w:w="15" w:type="dxa"/>
                    <w:left w:w="15" w:type="dxa"/>
                    <w:right w:w="15" w:type="dxa"/>
                  </w:tcMar>
                  <w:vAlign w:val="center"/>
                </w:tcPr>
                <w:p w14:paraId="3A6375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5DD3A6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HJ169-2018中附录B表B.1- 108二甲苯</w:t>
                  </w:r>
                </w:p>
              </w:tc>
              <w:tc>
                <w:tcPr>
                  <w:tcW w:w="873" w:type="dxa"/>
                  <w:tcBorders>
                    <w:tl2br w:val="nil"/>
                    <w:tr2bl w:val="nil"/>
                  </w:tcBorders>
                  <w:noWrap w:val="0"/>
                  <w:tcMar>
                    <w:top w:w="15" w:type="dxa"/>
                    <w:left w:w="15" w:type="dxa"/>
                    <w:right w:w="15" w:type="dxa"/>
                  </w:tcMar>
                  <w:vAlign w:val="center"/>
                </w:tcPr>
                <w:p w14:paraId="03A53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0.011</w:t>
                  </w:r>
                </w:p>
              </w:tc>
              <w:tc>
                <w:tcPr>
                  <w:tcW w:w="1262" w:type="dxa"/>
                  <w:vMerge w:val="continue"/>
                  <w:tcBorders>
                    <w:tl2br w:val="nil"/>
                    <w:tr2bl w:val="nil"/>
                  </w:tcBorders>
                  <w:noWrap w:val="0"/>
                  <w:tcMar>
                    <w:top w:w="15" w:type="dxa"/>
                    <w:left w:w="15" w:type="dxa"/>
                    <w:right w:w="15" w:type="dxa"/>
                  </w:tcMar>
                  <w:vAlign w:val="center"/>
                </w:tcPr>
                <w:p w14:paraId="202D8B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20C96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484" w:type="dxa"/>
                  <w:vMerge w:val="continue"/>
                  <w:tcBorders>
                    <w:tl2br w:val="nil"/>
                    <w:tr2bl w:val="nil"/>
                  </w:tcBorders>
                  <w:noWrap w:val="0"/>
                  <w:tcMar>
                    <w:top w:w="15" w:type="dxa"/>
                    <w:left w:w="15" w:type="dxa"/>
                    <w:right w:w="15" w:type="dxa"/>
                  </w:tcMar>
                  <w:vAlign w:val="center"/>
                </w:tcPr>
                <w:p w14:paraId="40373D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043E0A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A组分（乙苯）</w:t>
                  </w:r>
                </w:p>
              </w:tc>
              <w:tc>
                <w:tcPr>
                  <w:tcW w:w="723" w:type="dxa"/>
                  <w:vMerge w:val="continue"/>
                  <w:tcBorders>
                    <w:tl2br w:val="nil"/>
                    <w:tr2bl w:val="nil"/>
                  </w:tcBorders>
                  <w:noWrap w:val="0"/>
                  <w:tcMar>
                    <w:top w:w="15" w:type="dxa"/>
                    <w:left w:w="15" w:type="dxa"/>
                    <w:right w:w="15" w:type="dxa"/>
                  </w:tcMar>
                  <w:vAlign w:val="center"/>
                </w:tcPr>
                <w:p w14:paraId="2BC1FD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7DDF59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0.025</w:t>
                  </w:r>
                </w:p>
              </w:tc>
              <w:tc>
                <w:tcPr>
                  <w:tcW w:w="860" w:type="dxa"/>
                  <w:tcBorders>
                    <w:tl2br w:val="nil"/>
                    <w:tr2bl w:val="nil"/>
                  </w:tcBorders>
                  <w:noWrap w:val="0"/>
                  <w:tcMar>
                    <w:top w:w="15" w:type="dxa"/>
                    <w:left w:w="15" w:type="dxa"/>
                    <w:right w:w="15" w:type="dxa"/>
                  </w:tcMar>
                  <w:vAlign w:val="center"/>
                </w:tcPr>
                <w:p w14:paraId="2288FC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2071D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HJ169-2018中附录B表B.1- 343乙苯</w:t>
                  </w:r>
                </w:p>
              </w:tc>
              <w:tc>
                <w:tcPr>
                  <w:tcW w:w="873" w:type="dxa"/>
                  <w:tcBorders>
                    <w:tl2br w:val="nil"/>
                    <w:tr2bl w:val="nil"/>
                  </w:tcBorders>
                  <w:noWrap w:val="0"/>
                  <w:tcMar>
                    <w:top w:w="15" w:type="dxa"/>
                    <w:left w:w="15" w:type="dxa"/>
                    <w:right w:w="15" w:type="dxa"/>
                  </w:tcMar>
                  <w:vAlign w:val="center"/>
                </w:tcPr>
                <w:p w14:paraId="25E0AB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0.0025</w:t>
                  </w:r>
                </w:p>
              </w:tc>
              <w:tc>
                <w:tcPr>
                  <w:tcW w:w="1262" w:type="dxa"/>
                  <w:vMerge w:val="continue"/>
                  <w:tcBorders>
                    <w:tl2br w:val="nil"/>
                    <w:tr2bl w:val="nil"/>
                  </w:tcBorders>
                  <w:noWrap w:val="0"/>
                  <w:tcMar>
                    <w:top w:w="15" w:type="dxa"/>
                    <w:left w:w="15" w:type="dxa"/>
                    <w:right w:w="15" w:type="dxa"/>
                  </w:tcMar>
                  <w:vAlign w:val="center"/>
                </w:tcPr>
                <w:p w14:paraId="59A05D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32EE7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continue"/>
                  <w:tcBorders>
                    <w:tl2br w:val="nil"/>
                    <w:tr2bl w:val="nil"/>
                  </w:tcBorders>
                  <w:noWrap w:val="0"/>
                  <w:tcMar>
                    <w:top w:w="15" w:type="dxa"/>
                    <w:left w:w="15" w:type="dxa"/>
                    <w:right w:w="15" w:type="dxa"/>
                  </w:tcMar>
                  <w:vAlign w:val="center"/>
                </w:tcPr>
                <w:p w14:paraId="052BFE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1C1969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A组分（甲苯）</w:t>
                  </w:r>
                </w:p>
              </w:tc>
              <w:tc>
                <w:tcPr>
                  <w:tcW w:w="723" w:type="dxa"/>
                  <w:vMerge w:val="continue"/>
                  <w:tcBorders>
                    <w:tl2br w:val="nil"/>
                    <w:tr2bl w:val="nil"/>
                  </w:tcBorders>
                  <w:noWrap w:val="0"/>
                  <w:tcMar>
                    <w:top w:w="15" w:type="dxa"/>
                    <w:left w:w="15" w:type="dxa"/>
                    <w:right w:w="15" w:type="dxa"/>
                  </w:tcMar>
                  <w:vAlign w:val="center"/>
                </w:tcPr>
                <w:p w14:paraId="6F4835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4BAB57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0.0015</w:t>
                  </w:r>
                </w:p>
              </w:tc>
              <w:tc>
                <w:tcPr>
                  <w:tcW w:w="860" w:type="dxa"/>
                  <w:tcBorders>
                    <w:tl2br w:val="nil"/>
                    <w:tr2bl w:val="nil"/>
                  </w:tcBorders>
                  <w:noWrap w:val="0"/>
                  <w:tcMar>
                    <w:top w:w="15" w:type="dxa"/>
                    <w:left w:w="15" w:type="dxa"/>
                    <w:right w:w="15" w:type="dxa"/>
                  </w:tcMar>
                  <w:vAlign w:val="center"/>
                </w:tcPr>
                <w:p w14:paraId="50F48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52C139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HJ169-2018中附录B表B.1- 165甲苯</w:t>
                  </w:r>
                </w:p>
              </w:tc>
              <w:tc>
                <w:tcPr>
                  <w:tcW w:w="873" w:type="dxa"/>
                  <w:tcBorders>
                    <w:tl2br w:val="nil"/>
                    <w:tr2bl w:val="nil"/>
                  </w:tcBorders>
                  <w:noWrap w:val="0"/>
                  <w:tcMar>
                    <w:top w:w="15" w:type="dxa"/>
                    <w:left w:w="15" w:type="dxa"/>
                    <w:right w:w="15" w:type="dxa"/>
                  </w:tcMar>
                  <w:vAlign w:val="center"/>
                </w:tcPr>
                <w:p w14:paraId="2CD9A5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0.00015</w:t>
                  </w:r>
                </w:p>
              </w:tc>
              <w:tc>
                <w:tcPr>
                  <w:tcW w:w="1262" w:type="dxa"/>
                  <w:vMerge w:val="continue"/>
                  <w:tcBorders>
                    <w:tl2br w:val="nil"/>
                    <w:tr2bl w:val="nil"/>
                  </w:tcBorders>
                  <w:noWrap w:val="0"/>
                  <w:tcMar>
                    <w:top w:w="15" w:type="dxa"/>
                    <w:left w:w="15" w:type="dxa"/>
                    <w:right w:w="15" w:type="dxa"/>
                  </w:tcMar>
                  <w:vAlign w:val="center"/>
                </w:tcPr>
                <w:p w14:paraId="64C6DE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0F3B7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continue"/>
                  <w:tcBorders>
                    <w:tl2br w:val="nil"/>
                    <w:tr2bl w:val="nil"/>
                  </w:tcBorders>
                  <w:noWrap w:val="0"/>
                  <w:tcMar>
                    <w:top w:w="15" w:type="dxa"/>
                    <w:left w:w="15" w:type="dxa"/>
                    <w:right w:w="15" w:type="dxa"/>
                  </w:tcMar>
                  <w:vAlign w:val="center"/>
                </w:tcPr>
                <w:p w14:paraId="2B1CD4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46E559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B组分（二甲苯）</w:t>
                  </w:r>
                </w:p>
              </w:tc>
              <w:tc>
                <w:tcPr>
                  <w:tcW w:w="723" w:type="dxa"/>
                  <w:vMerge w:val="continue"/>
                  <w:tcBorders>
                    <w:tl2br w:val="nil"/>
                    <w:tr2bl w:val="nil"/>
                  </w:tcBorders>
                  <w:noWrap w:val="0"/>
                  <w:tcMar>
                    <w:top w:w="15" w:type="dxa"/>
                    <w:left w:w="15" w:type="dxa"/>
                    <w:right w:w="15" w:type="dxa"/>
                  </w:tcMar>
                  <w:vAlign w:val="center"/>
                </w:tcPr>
                <w:p w14:paraId="6DA39A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2EE4D1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w:t>
                  </w:r>
                </w:p>
              </w:tc>
              <w:tc>
                <w:tcPr>
                  <w:tcW w:w="860" w:type="dxa"/>
                  <w:tcBorders>
                    <w:tl2br w:val="nil"/>
                    <w:tr2bl w:val="nil"/>
                  </w:tcBorders>
                  <w:noWrap w:val="0"/>
                  <w:tcMar>
                    <w:top w:w="15" w:type="dxa"/>
                    <w:left w:w="15" w:type="dxa"/>
                    <w:right w:w="15" w:type="dxa"/>
                  </w:tcMar>
                  <w:vAlign w:val="center"/>
                </w:tcPr>
                <w:p w14:paraId="3AAB3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14910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HJ169-2018中附录B表B.1- 108二甲苯</w:t>
                  </w:r>
                </w:p>
              </w:tc>
              <w:tc>
                <w:tcPr>
                  <w:tcW w:w="873" w:type="dxa"/>
                  <w:tcBorders>
                    <w:tl2br w:val="nil"/>
                    <w:tr2bl w:val="nil"/>
                  </w:tcBorders>
                  <w:noWrap w:val="0"/>
                  <w:tcMar>
                    <w:top w:w="15" w:type="dxa"/>
                    <w:left w:w="15" w:type="dxa"/>
                    <w:right w:w="15" w:type="dxa"/>
                  </w:tcMar>
                  <w:vAlign w:val="center"/>
                </w:tcPr>
                <w:p w14:paraId="48786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0.001</w:t>
                  </w:r>
                </w:p>
              </w:tc>
              <w:tc>
                <w:tcPr>
                  <w:tcW w:w="1262" w:type="dxa"/>
                  <w:vMerge w:val="continue"/>
                  <w:tcBorders>
                    <w:tl2br w:val="nil"/>
                    <w:tr2bl w:val="nil"/>
                  </w:tcBorders>
                  <w:noWrap w:val="0"/>
                  <w:tcMar>
                    <w:top w:w="15" w:type="dxa"/>
                    <w:left w:w="15" w:type="dxa"/>
                    <w:right w:w="15" w:type="dxa"/>
                  </w:tcMar>
                  <w:vAlign w:val="center"/>
                </w:tcPr>
                <w:p w14:paraId="0CC0FE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09FAB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continue"/>
                  <w:tcBorders>
                    <w:tl2br w:val="nil"/>
                    <w:tr2bl w:val="nil"/>
                  </w:tcBorders>
                  <w:noWrap w:val="0"/>
                  <w:tcMar>
                    <w:top w:w="15" w:type="dxa"/>
                    <w:left w:w="15" w:type="dxa"/>
                    <w:right w:w="15" w:type="dxa"/>
                  </w:tcMar>
                  <w:vAlign w:val="center"/>
                </w:tcPr>
                <w:p w14:paraId="7F5B02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1C7209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B组分（乙苯）</w:t>
                  </w:r>
                </w:p>
              </w:tc>
              <w:tc>
                <w:tcPr>
                  <w:tcW w:w="723" w:type="dxa"/>
                  <w:vMerge w:val="continue"/>
                  <w:tcBorders>
                    <w:tl2br w:val="nil"/>
                    <w:tr2bl w:val="nil"/>
                  </w:tcBorders>
                  <w:noWrap w:val="0"/>
                  <w:tcMar>
                    <w:top w:w="15" w:type="dxa"/>
                    <w:left w:w="15" w:type="dxa"/>
                    <w:right w:w="15" w:type="dxa"/>
                  </w:tcMar>
                  <w:vAlign w:val="center"/>
                </w:tcPr>
                <w:p w14:paraId="67F7E6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45F4CB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0.005</w:t>
                  </w:r>
                </w:p>
              </w:tc>
              <w:tc>
                <w:tcPr>
                  <w:tcW w:w="860" w:type="dxa"/>
                  <w:tcBorders>
                    <w:tl2br w:val="nil"/>
                    <w:tr2bl w:val="nil"/>
                  </w:tcBorders>
                  <w:noWrap w:val="0"/>
                  <w:tcMar>
                    <w:top w:w="15" w:type="dxa"/>
                    <w:left w:w="15" w:type="dxa"/>
                    <w:right w:w="15" w:type="dxa"/>
                  </w:tcMar>
                  <w:vAlign w:val="center"/>
                </w:tcPr>
                <w:p w14:paraId="58FA8F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017556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HJ169-2018中附录B表B.1- 343乙苯</w:t>
                  </w:r>
                </w:p>
              </w:tc>
              <w:tc>
                <w:tcPr>
                  <w:tcW w:w="873" w:type="dxa"/>
                  <w:tcBorders>
                    <w:tl2br w:val="nil"/>
                    <w:tr2bl w:val="nil"/>
                  </w:tcBorders>
                  <w:noWrap w:val="0"/>
                  <w:tcMar>
                    <w:top w:w="15" w:type="dxa"/>
                    <w:left w:w="15" w:type="dxa"/>
                    <w:right w:w="15" w:type="dxa"/>
                  </w:tcMar>
                  <w:vAlign w:val="center"/>
                </w:tcPr>
                <w:p w14:paraId="3EA339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0.0005</w:t>
                  </w:r>
                </w:p>
              </w:tc>
              <w:tc>
                <w:tcPr>
                  <w:tcW w:w="1262" w:type="dxa"/>
                  <w:vMerge w:val="continue"/>
                  <w:tcBorders>
                    <w:tl2br w:val="nil"/>
                    <w:tr2bl w:val="nil"/>
                  </w:tcBorders>
                  <w:noWrap w:val="0"/>
                  <w:tcMar>
                    <w:top w:w="15" w:type="dxa"/>
                    <w:left w:w="15" w:type="dxa"/>
                    <w:right w:w="15" w:type="dxa"/>
                  </w:tcMar>
                  <w:vAlign w:val="center"/>
                </w:tcPr>
                <w:p w14:paraId="738422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70FE7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700" w:type="dxa"/>
                  <w:gridSpan w:val="2"/>
                  <w:tcBorders>
                    <w:tl2br w:val="nil"/>
                    <w:tr2bl w:val="nil"/>
                  </w:tcBorders>
                  <w:noWrap w:val="0"/>
                  <w:tcMar>
                    <w:top w:w="15" w:type="dxa"/>
                    <w:left w:w="15" w:type="dxa"/>
                    <w:right w:w="15" w:type="dxa"/>
                  </w:tcMar>
                  <w:vAlign w:val="center"/>
                </w:tcPr>
                <w:p w14:paraId="61A703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耐弧漆（1-丁烯）</w:t>
                  </w:r>
                </w:p>
              </w:tc>
              <w:tc>
                <w:tcPr>
                  <w:tcW w:w="723" w:type="dxa"/>
                  <w:vMerge w:val="continue"/>
                  <w:tcBorders>
                    <w:tl2br w:val="nil"/>
                    <w:tr2bl w:val="nil"/>
                  </w:tcBorders>
                  <w:noWrap w:val="0"/>
                  <w:tcMar>
                    <w:top w:w="15" w:type="dxa"/>
                    <w:left w:w="15" w:type="dxa"/>
                    <w:right w:w="15" w:type="dxa"/>
                  </w:tcMar>
                  <w:vAlign w:val="center"/>
                </w:tcPr>
                <w:p w14:paraId="5EBA90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484DE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w:t>
                  </w:r>
                </w:p>
              </w:tc>
              <w:tc>
                <w:tcPr>
                  <w:tcW w:w="860" w:type="dxa"/>
                  <w:tcBorders>
                    <w:tl2br w:val="nil"/>
                    <w:tr2bl w:val="nil"/>
                  </w:tcBorders>
                  <w:noWrap w:val="0"/>
                  <w:tcMar>
                    <w:top w:w="15" w:type="dxa"/>
                    <w:left w:w="15" w:type="dxa"/>
                    <w:right w:w="15" w:type="dxa"/>
                  </w:tcMar>
                  <w:vAlign w:val="center"/>
                </w:tcPr>
                <w:p w14:paraId="1C3333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364128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HJ169-2018中附录B表B.1-181-丁烯</w:t>
                  </w:r>
                </w:p>
              </w:tc>
              <w:tc>
                <w:tcPr>
                  <w:tcW w:w="873" w:type="dxa"/>
                  <w:tcBorders>
                    <w:tl2br w:val="nil"/>
                    <w:tr2bl w:val="nil"/>
                  </w:tcBorders>
                  <w:noWrap w:val="0"/>
                  <w:tcMar>
                    <w:top w:w="15" w:type="dxa"/>
                    <w:left w:w="15" w:type="dxa"/>
                    <w:right w:w="15" w:type="dxa"/>
                  </w:tcMar>
                  <w:vAlign w:val="center"/>
                </w:tcPr>
                <w:p w14:paraId="63CB87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0.001</w:t>
                  </w:r>
                </w:p>
              </w:tc>
              <w:tc>
                <w:tcPr>
                  <w:tcW w:w="1262" w:type="dxa"/>
                  <w:vMerge w:val="continue"/>
                  <w:tcBorders>
                    <w:tl2br w:val="nil"/>
                    <w:tr2bl w:val="nil"/>
                  </w:tcBorders>
                  <w:noWrap w:val="0"/>
                  <w:tcMar>
                    <w:top w:w="15" w:type="dxa"/>
                    <w:left w:w="15" w:type="dxa"/>
                    <w:right w:w="15" w:type="dxa"/>
                  </w:tcMar>
                  <w:vAlign w:val="center"/>
                </w:tcPr>
                <w:p w14:paraId="52F28B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6FF10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restart"/>
                  <w:tcBorders>
                    <w:tl2br w:val="nil"/>
                    <w:tr2bl w:val="nil"/>
                  </w:tcBorders>
                  <w:noWrap w:val="0"/>
                  <w:tcMar>
                    <w:top w:w="15" w:type="dxa"/>
                    <w:left w:w="15" w:type="dxa"/>
                    <w:right w:w="15" w:type="dxa"/>
                  </w:tcMar>
                  <w:vAlign w:val="center"/>
                </w:tcPr>
                <w:p w14:paraId="12D2E3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稀释剂</w:t>
                  </w:r>
                </w:p>
              </w:tc>
              <w:tc>
                <w:tcPr>
                  <w:tcW w:w="1216" w:type="dxa"/>
                  <w:tcBorders>
                    <w:tl2br w:val="nil"/>
                    <w:tr2bl w:val="nil"/>
                  </w:tcBorders>
                  <w:noWrap w:val="0"/>
                  <w:tcMar>
                    <w:top w:w="15" w:type="dxa"/>
                    <w:left w:w="15" w:type="dxa"/>
                    <w:right w:w="15" w:type="dxa"/>
                  </w:tcMar>
                  <w:vAlign w:val="center"/>
                </w:tcPr>
                <w:p w14:paraId="5ABC2B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二甲苯</w:t>
                  </w:r>
                </w:p>
              </w:tc>
              <w:tc>
                <w:tcPr>
                  <w:tcW w:w="723" w:type="dxa"/>
                  <w:vMerge w:val="continue"/>
                  <w:tcBorders>
                    <w:tl2br w:val="nil"/>
                    <w:tr2bl w:val="nil"/>
                  </w:tcBorders>
                  <w:noWrap w:val="0"/>
                  <w:tcMar>
                    <w:top w:w="15" w:type="dxa"/>
                    <w:left w:w="15" w:type="dxa"/>
                    <w:right w:w="15" w:type="dxa"/>
                  </w:tcMar>
                  <w:vAlign w:val="center"/>
                </w:tcPr>
                <w:p w14:paraId="5B2C50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7B2899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0.175</w:t>
                  </w:r>
                </w:p>
              </w:tc>
              <w:tc>
                <w:tcPr>
                  <w:tcW w:w="860" w:type="dxa"/>
                  <w:tcBorders>
                    <w:tl2br w:val="nil"/>
                    <w:tr2bl w:val="nil"/>
                  </w:tcBorders>
                  <w:noWrap w:val="0"/>
                  <w:tcMar>
                    <w:top w:w="15" w:type="dxa"/>
                    <w:left w:w="15" w:type="dxa"/>
                    <w:right w:w="15" w:type="dxa"/>
                  </w:tcMar>
                  <w:vAlign w:val="center"/>
                </w:tcPr>
                <w:p w14:paraId="167F15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6F7761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HJ169-2018中附录B表B.1- 108二甲苯</w:t>
                  </w:r>
                </w:p>
              </w:tc>
              <w:tc>
                <w:tcPr>
                  <w:tcW w:w="873" w:type="dxa"/>
                  <w:tcBorders>
                    <w:tl2br w:val="nil"/>
                    <w:tr2bl w:val="nil"/>
                  </w:tcBorders>
                  <w:noWrap w:val="0"/>
                  <w:tcMar>
                    <w:top w:w="15" w:type="dxa"/>
                    <w:left w:w="15" w:type="dxa"/>
                    <w:right w:w="15" w:type="dxa"/>
                  </w:tcMar>
                  <w:vAlign w:val="center"/>
                </w:tcPr>
                <w:p w14:paraId="5BE035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0.0175</w:t>
                  </w:r>
                </w:p>
              </w:tc>
              <w:tc>
                <w:tcPr>
                  <w:tcW w:w="1262" w:type="dxa"/>
                  <w:vMerge w:val="continue"/>
                  <w:tcBorders>
                    <w:tl2br w:val="nil"/>
                    <w:tr2bl w:val="nil"/>
                  </w:tcBorders>
                  <w:noWrap w:val="0"/>
                  <w:tcMar>
                    <w:top w:w="15" w:type="dxa"/>
                    <w:left w:w="15" w:type="dxa"/>
                    <w:right w:w="15" w:type="dxa"/>
                  </w:tcMar>
                  <w:vAlign w:val="center"/>
                </w:tcPr>
                <w:p w14:paraId="5E4933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5D852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continue"/>
                  <w:tcBorders>
                    <w:tl2br w:val="nil"/>
                    <w:tr2bl w:val="nil"/>
                  </w:tcBorders>
                  <w:noWrap w:val="0"/>
                  <w:tcMar>
                    <w:top w:w="15" w:type="dxa"/>
                    <w:left w:w="15" w:type="dxa"/>
                    <w:right w:w="15" w:type="dxa"/>
                  </w:tcMar>
                  <w:vAlign w:val="center"/>
                </w:tcPr>
                <w:p w14:paraId="19579D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452CAD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甲苯</w:t>
                  </w:r>
                </w:p>
              </w:tc>
              <w:tc>
                <w:tcPr>
                  <w:tcW w:w="723" w:type="dxa"/>
                  <w:vMerge w:val="continue"/>
                  <w:tcBorders>
                    <w:tl2br w:val="nil"/>
                    <w:tr2bl w:val="nil"/>
                  </w:tcBorders>
                  <w:noWrap w:val="0"/>
                  <w:tcMar>
                    <w:top w:w="15" w:type="dxa"/>
                    <w:left w:w="15" w:type="dxa"/>
                    <w:right w:w="15" w:type="dxa"/>
                  </w:tcMar>
                  <w:vAlign w:val="center"/>
                </w:tcPr>
                <w:p w14:paraId="35C824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665E10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0.075</w:t>
                  </w:r>
                </w:p>
              </w:tc>
              <w:tc>
                <w:tcPr>
                  <w:tcW w:w="860" w:type="dxa"/>
                  <w:tcBorders>
                    <w:tl2br w:val="nil"/>
                    <w:tr2bl w:val="nil"/>
                  </w:tcBorders>
                  <w:noWrap w:val="0"/>
                  <w:tcMar>
                    <w:top w:w="15" w:type="dxa"/>
                    <w:left w:w="15" w:type="dxa"/>
                    <w:right w:w="15" w:type="dxa"/>
                  </w:tcMar>
                  <w:vAlign w:val="center"/>
                </w:tcPr>
                <w:p w14:paraId="2553B5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63F1EB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HJ169-2018中附录B表B.1- 165甲苯</w:t>
                  </w:r>
                </w:p>
              </w:tc>
              <w:tc>
                <w:tcPr>
                  <w:tcW w:w="873" w:type="dxa"/>
                  <w:tcBorders>
                    <w:tl2br w:val="nil"/>
                    <w:tr2bl w:val="nil"/>
                  </w:tcBorders>
                  <w:noWrap w:val="0"/>
                  <w:tcMar>
                    <w:top w:w="15" w:type="dxa"/>
                    <w:left w:w="15" w:type="dxa"/>
                    <w:right w:w="15" w:type="dxa"/>
                  </w:tcMar>
                  <w:vAlign w:val="center"/>
                </w:tcPr>
                <w:p w14:paraId="1CFCFB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0.0075</w:t>
                  </w:r>
                </w:p>
              </w:tc>
              <w:tc>
                <w:tcPr>
                  <w:tcW w:w="1262" w:type="dxa"/>
                  <w:vMerge w:val="continue"/>
                  <w:tcBorders>
                    <w:tl2br w:val="nil"/>
                    <w:tr2bl w:val="nil"/>
                  </w:tcBorders>
                  <w:noWrap w:val="0"/>
                  <w:tcMar>
                    <w:top w:w="15" w:type="dxa"/>
                    <w:left w:w="15" w:type="dxa"/>
                    <w:right w:w="15" w:type="dxa"/>
                  </w:tcMar>
                  <w:vAlign w:val="center"/>
                </w:tcPr>
                <w:p w14:paraId="30B5D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74721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continue"/>
                  <w:tcBorders>
                    <w:tl2br w:val="nil"/>
                    <w:tr2bl w:val="nil"/>
                  </w:tcBorders>
                  <w:noWrap w:val="0"/>
                  <w:tcMar>
                    <w:top w:w="15" w:type="dxa"/>
                    <w:left w:w="15" w:type="dxa"/>
                    <w:right w:w="15" w:type="dxa"/>
                  </w:tcMar>
                  <w:vAlign w:val="center"/>
                </w:tcPr>
                <w:p w14:paraId="36E17D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0CD464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三甲苯</w:t>
                  </w:r>
                </w:p>
              </w:tc>
              <w:tc>
                <w:tcPr>
                  <w:tcW w:w="723" w:type="dxa"/>
                  <w:vMerge w:val="continue"/>
                  <w:tcBorders>
                    <w:tl2br w:val="nil"/>
                    <w:tr2bl w:val="nil"/>
                  </w:tcBorders>
                  <w:noWrap w:val="0"/>
                  <w:tcMar>
                    <w:top w:w="15" w:type="dxa"/>
                    <w:left w:w="15" w:type="dxa"/>
                    <w:right w:w="15" w:type="dxa"/>
                  </w:tcMar>
                  <w:vAlign w:val="center"/>
                </w:tcPr>
                <w:p w14:paraId="60093F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09A79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w:t>
                  </w:r>
                </w:p>
              </w:tc>
              <w:tc>
                <w:tcPr>
                  <w:tcW w:w="860" w:type="dxa"/>
                  <w:tcBorders>
                    <w:tl2br w:val="nil"/>
                    <w:tr2bl w:val="nil"/>
                  </w:tcBorders>
                  <w:noWrap w:val="0"/>
                  <w:tcMar>
                    <w:top w:w="15" w:type="dxa"/>
                    <w:left w:w="15" w:type="dxa"/>
                    <w:right w:w="15" w:type="dxa"/>
                  </w:tcMar>
                  <w:vAlign w:val="center"/>
                </w:tcPr>
                <w:p w14:paraId="09DA3F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50</w:t>
                  </w:r>
                </w:p>
              </w:tc>
              <w:tc>
                <w:tcPr>
                  <w:tcW w:w="2086" w:type="dxa"/>
                  <w:tcBorders>
                    <w:tl2br w:val="nil"/>
                    <w:tr2bl w:val="nil"/>
                  </w:tcBorders>
                  <w:noWrap w:val="0"/>
                  <w:tcMar>
                    <w:top w:w="15" w:type="dxa"/>
                    <w:left w:w="15" w:type="dxa"/>
                    <w:right w:w="15" w:type="dxa"/>
                  </w:tcMar>
                  <w:vAlign w:val="center"/>
                </w:tcPr>
                <w:p w14:paraId="62A40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HJ169-2018中附录B表B.2- 2健康危险急性毒性物质（类别2，类别3）</w:t>
                  </w:r>
                </w:p>
              </w:tc>
              <w:tc>
                <w:tcPr>
                  <w:tcW w:w="873" w:type="dxa"/>
                  <w:tcBorders>
                    <w:tl2br w:val="nil"/>
                    <w:tr2bl w:val="nil"/>
                  </w:tcBorders>
                  <w:noWrap w:val="0"/>
                  <w:tcMar>
                    <w:top w:w="15" w:type="dxa"/>
                    <w:left w:w="15" w:type="dxa"/>
                    <w:right w:w="15" w:type="dxa"/>
                  </w:tcMar>
                  <w:vAlign w:val="center"/>
                </w:tcPr>
                <w:p w14:paraId="676B7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0.001</w:t>
                  </w:r>
                </w:p>
              </w:tc>
              <w:tc>
                <w:tcPr>
                  <w:tcW w:w="1262" w:type="dxa"/>
                  <w:vMerge w:val="continue"/>
                  <w:tcBorders>
                    <w:tl2br w:val="nil"/>
                    <w:tr2bl w:val="nil"/>
                  </w:tcBorders>
                  <w:noWrap w:val="0"/>
                  <w:tcMar>
                    <w:top w:w="15" w:type="dxa"/>
                    <w:left w:w="15" w:type="dxa"/>
                    <w:right w:w="15" w:type="dxa"/>
                  </w:tcMar>
                  <w:vAlign w:val="center"/>
                </w:tcPr>
                <w:p w14:paraId="0FD46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7346C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continue"/>
                  <w:tcBorders>
                    <w:tl2br w:val="nil"/>
                    <w:tr2bl w:val="nil"/>
                  </w:tcBorders>
                  <w:noWrap w:val="0"/>
                  <w:tcMar>
                    <w:top w:w="15" w:type="dxa"/>
                    <w:left w:w="15" w:type="dxa"/>
                    <w:right w:w="15" w:type="dxa"/>
                  </w:tcMar>
                  <w:vAlign w:val="center"/>
                </w:tcPr>
                <w:p w14:paraId="3BDDDF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5F0286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环己酮</w:t>
                  </w:r>
                </w:p>
              </w:tc>
              <w:tc>
                <w:tcPr>
                  <w:tcW w:w="723" w:type="dxa"/>
                  <w:vMerge w:val="continue"/>
                  <w:tcBorders>
                    <w:tl2br w:val="nil"/>
                    <w:tr2bl w:val="nil"/>
                  </w:tcBorders>
                  <w:noWrap w:val="0"/>
                  <w:tcMar>
                    <w:top w:w="15" w:type="dxa"/>
                    <w:left w:w="15" w:type="dxa"/>
                    <w:right w:w="15" w:type="dxa"/>
                  </w:tcMar>
                  <w:vAlign w:val="center"/>
                </w:tcPr>
                <w:p w14:paraId="4AD5D9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0E547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w:t>
                  </w:r>
                </w:p>
              </w:tc>
              <w:tc>
                <w:tcPr>
                  <w:tcW w:w="860" w:type="dxa"/>
                  <w:tcBorders>
                    <w:tl2br w:val="nil"/>
                    <w:tr2bl w:val="nil"/>
                  </w:tcBorders>
                  <w:noWrap w:val="0"/>
                  <w:tcMar>
                    <w:top w:w="15" w:type="dxa"/>
                    <w:left w:w="15" w:type="dxa"/>
                    <w:right w:w="15" w:type="dxa"/>
                  </w:tcMar>
                  <w:vAlign w:val="center"/>
                </w:tcPr>
                <w:p w14:paraId="67F31F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5334A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HJ169-2018中附录B表B.1- 155环己酮</w:t>
                  </w:r>
                </w:p>
              </w:tc>
              <w:tc>
                <w:tcPr>
                  <w:tcW w:w="873" w:type="dxa"/>
                  <w:tcBorders>
                    <w:tl2br w:val="nil"/>
                    <w:tr2bl w:val="nil"/>
                  </w:tcBorders>
                  <w:noWrap w:val="0"/>
                  <w:tcMar>
                    <w:top w:w="15" w:type="dxa"/>
                    <w:left w:w="15" w:type="dxa"/>
                    <w:right w:w="15" w:type="dxa"/>
                  </w:tcMar>
                  <w:vAlign w:val="center"/>
                </w:tcPr>
                <w:p w14:paraId="1D640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0.005</w:t>
                  </w:r>
                </w:p>
              </w:tc>
              <w:tc>
                <w:tcPr>
                  <w:tcW w:w="1262" w:type="dxa"/>
                  <w:vMerge w:val="continue"/>
                  <w:tcBorders>
                    <w:tl2br w:val="nil"/>
                    <w:tr2bl w:val="nil"/>
                  </w:tcBorders>
                  <w:noWrap w:val="0"/>
                  <w:tcMar>
                    <w:top w:w="15" w:type="dxa"/>
                    <w:left w:w="15" w:type="dxa"/>
                    <w:right w:w="15" w:type="dxa"/>
                  </w:tcMar>
                  <w:vAlign w:val="center"/>
                </w:tcPr>
                <w:p w14:paraId="586D33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110D5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restart"/>
                  <w:tcBorders>
                    <w:tl2br w:val="nil"/>
                    <w:tr2bl w:val="nil"/>
                  </w:tcBorders>
                  <w:noWrap w:val="0"/>
                  <w:tcMar>
                    <w:top w:w="15" w:type="dxa"/>
                    <w:left w:w="15" w:type="dxa"/>
                    <w:right w:w="15" w:type="dxa"/>
                  </w:tcMar>
                  <w:vAlign w:val="center"/>
                </w:tcPr>
                <w:p w14:paraId="4E011B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废稀释剂</w:t>
                  </w:r>
                </w:p>
              </w:tc>
              <w:tc>
                <w:tcPr>
                  <w:tcW w:w="1216" w:type="dxa"/>
                  <w:tcBorders>
                    <w:tl2br w:val="nil"/>
                    <w:tr2bl w:val="nil"/>
                  </w:tcBorders>
                  <w:noWrap w:val="0"/>
                  <w:tcMar>
                    <w:top w:w="15" w:type="dxa"/>
                    <w:left w:w="15" w:type="dxa"/>
                    <w:right w:w="15" w:type="dxa"/>
                  </w:tcMar>
                  <w:vAlign w:val="center"/>
                </w:tcPr>
                <w:p w14:paraId="2D9731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二甲苯</w:t>
                  </w:r>
                </w:p>
              </w:tc>
              <w:tc>
                <w:tcPr>
                  <w:tcW w:w="723" w:type="dxa"/>
                  <w:vMerge w:val="restart"/>
                  <w:tcBorders>
                    <w:tl2br w:val="nil"/>
                    <w:tr2bl w:val="nil"/>
                  </w:tcBorders>
                  <w:noWrap w:val="0"/>
                  <w:tcMar>
                    <w:top w:w="15" w:type="dxa"/>
                    <w:left w:w="15" w:type="dxa"/>
                    <w:right w:w="15" w:type="dxa"/>
                  </w:tcMar>
                  <w:vAlign w:val="center"/>
                </w:tcPr>
                <w:p w14:paraId="1C2441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危废间</w:t>
                  </w:r>
                </w:p>
              </w:tc>
              <w:tc>
                <w:tcPr>
                  <w:tcW w:w="886" w:type="dxa"/>
                  <w:tcBorders>
                    <w:tl2br w:val="nil"/>
                    <w:tr2bl w:val="nil"/>
                  </w:tcBorders>
                  <w:noWrap w:val="0"/>
                  <w:tcMar>
                    <w:top w:w="15" w:type="dxa"/>
                    <w:left w:w="15" w:type="dxa"/>
                    <w:right w:w="15" w:type="dxa"/>
                  </w:tcMar>
                  <w:vAlign w:val="center"/>
                </w:tcPr>
                <w:p w14:paraId="4167FA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0.1278</w:t>
                  </w:r>
                </w:p>
              </w:tc>
              <w:tc>
                <w:tcPr>
                  <w:tcW w:w="860" w:type="dxa"/>
                  <w:tcBorders>
                    <w:tl2br w:val="nil"/>
                    <w:tr2bl w:val="nil"/>
                  </w:tcBorders>
                  <w:noWrap w:val="0"/>
                  <w:tcMar>
                    <w:top w:w="15" w:type="dxa"/>
                    <w:left w:w="15" w:type="dxa"/>
                    <w:right w:w="15" w:type="dxa"/>
                  </w:tcMar>
                  <w:vAlign w:val="center"/>
                </w:tcPr>
                <w:p w14:paraId="25F6B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0B291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HJ169-2018中附录B表B.1- 108二甲苯</w:t>
                  </w:r>
                </w:p>
              </w:tc>
              <w:tc>
                <w:tcPr>
                  <w:tcW w:w="873" w:type="dxa"/>
                  <w:tcBorders>
                    <w:tl2br w:val="nil"/>
                    <w:tr2bl w:val="nil"/>
                  </w:tcBorders>
                  <w:noWrap w:val="0"/>
                  <w:tcMar>
                    <w:top w:w="15" w:type="dxa"/>
                    <w:left w:w="15" w:type="dxa"/>
                    <w:right w:w="15" w:type="dxa"/>
                  </w:tcMar>
                  <w:vAlign w:val="center"/>
                </w:tcPr>
                <w:p w14:paraId="38C7CA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0.01278</w:t>
                  </w:r>
                </w:p>
              </w:tc>
              <w:tc>
                <w:tcPr>
                  <w:tcW w:w="1262" w:type="dxa"/>
                  <w:vMerge w:val="continue"/>
                  <w:tcBorders>
                    <w:tl2br w:val="nil"/>
                    <w:tr2bl w:val="nil"/>
                  </w:tcBorders>
                  <w:noWrap w:val="0"/>
                  <w:tcMar>
                    <w:top w:w="15" w:type="dxa"/>
                    <w:left w:w="15" w:type="dxa"/>
                    <w:right w:w="15" w:type="dxa"/>
                  </w:tcMar>
                  <w:vAlign w:val="center"/>
                </w:tcPr>
                <w:p w14:paraId="07EAA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2EA40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continue"/>
                  <w:tcBorders>
                    <w:tl2br w:val="nil"/>
                    <w:tr2bl w:val="nil"/>
                  </w:tcBorders>
                  <w:noWrap w:val="0"/>
                  <w:tcMar>
                    <w:top w:w="15" w:type="dxa"/>
                    <w:left w:w="15" w:type="dxa"/>
                    <w:right w:w="15" w:type="dxa"/>
                  </w:tcMar>
                  <w:vAlign w:val="center"/>
                </w:tcPr>
                <w:p w14:paraId="5F3001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1ED22A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甲苯</w:t>
                  </w:r>
                </w:p>
              </w:tc>
              <w:tc>
                <w:tcPr>
                  <w:tcW w:w="723" w:type="dxa"/>
                  <w:vMerge w:val="continue"/>
                  <w:tcBorders>
                    <w:tl2br w:val="nil"/>
                    <w:tr2bl w:val="nil"/>
                  </w:tcBorders>
                  <w:noWrap w:val="0"/>
                  <w:tcMar>
                    <w:top w:w="15" w:type="dxa"/>
                    <w:left w:w="15" w:type="dxa"/>
                    <w:right w:w="15" w:type="dxa"/>
                  </w:tcMar>
                  <w:vAlign w:val="center"/>
                </w:tcPr>
                <w:p w14:paraId="5A54F6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536504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0.0548</w:t>
                  </w:r>
                </w:p>
              </w:tc>
              <w:tc>
                <w:tcPr>
                  <w:tcW w:w="860" w:type="dxa"/>
                  <w:tcBorders>
                    <w:tl2br w:val="nil"/>
                    <w:tr2bl w:val="nil"/>
                  </w:tcBorders>
                  <w:noWrap w:val="0"/>
                  <w:tcMar>
                    <w:top w:w="15" w:type="dxa"/>
                    <w:left w:w="15" w:type="dxa"/>
                    <w:right w:w="15" w:type="dxa"/>
                  </w:tcMar>
                  <w:vAlign w:val="center"/>
                </w:tcPr>
                <w:p w14:paraId="62DBC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5563ED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HJ169-2018中附录B表B.1- 165甲苯</w:t>
                  </w:r>
                </w:p>
              </w:tc>
              <w:tc>
                <w:tcPr>
                  <w:tcW w:w="873" w:type="dxa"/>
                  <w:tcBorders>
                    <w:tl2br w:val="nil"/>
                    <w:tr2bl w:val="nil"/>
                  </w:tcBorders>
                  <w:noWrap w:val="0"/>
                  <w:tcMar>
                    <w:top w:w="15" w:type="dxa"/>
                    <w:left w:w="15" w:type="dxa"/>
                    <w:right w:w="15" w:type="dxa"/>
                  </w:tcMar>
                  <w:vAlign w:val="center"/>
                </w:tcPr>
                <w:p w14:paraId="4F5DA6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0.00548</w:t>
                  </w:r>
                </w:p>
              </w:tc>
              <w:tc>
                <w:tcPr>
                  <w:tcW w:w="1262" w:type="dxa"/>
                  <w:vMerge w:val="continue"/>
                  <w:tcBorders>
                    <w:tl2br w:val="nil"/>
                    <w:tr2bl w:val="nil"/>
                  </w:tcBorders>
                  <w:noWrap w:val="0"/>
                  <w:tcMar>
                    <w:top w:w="15" w:type="dxa"/>
                    <w:left w:w="15" w:type="dxa"/>
                    <w:right w:w="15" w:type="dxa"/>
                  </w:tcMar>
                  <w:vAlign w:val="center"/>
                </w:tcPr>
                <w:p w14:paraId="35529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42B69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continue"/>
                  <w:tcBorders>
                    <w:tl2br w:val="nil"/>
                    <w:tr2bl w:val="nil"/>
                  </w:tcBorders>
                  <w:noWrap w:val="0"/>
                  <w:tcMar>
                    <w:top w:w="15" w:type="dxa"/>
                    <w:left w:w="15" w:type="dxa"/>
                    <w:right w:w="15" w:type="dxa"/>
                  </w:tcMar>
                  <w:vAlign w:val="center"/>
                </w:tcPr>
                <w:p w14:paraId="0285CA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3902A9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三甲苯</w:t>
                  </w:r>
                </w:p>
              </w:tc>
              <w:tc>
                <w:tcPr>
                  <w:tcW w:w="723" w:type="dxa"/>
                  <w:vMerge w:val="continue"/>
                  <w:tcBorders>
                    <w:tl2br w:val="nil"/>
                    <w:tr2bl w:val="nil"/>
                  </w:tcBorders>
                  <w:noWrap w:val="0"/>
                  <w:tcMar>
                    <w:top w:w="15" w:type="dxa"/>
                    <w:left w:w="15" w:type="dxa"/>
                    <w:right w:w="15" w:type="dxa"/>
                  </w:tcMar>
                  <w:vAlign w:val="center"/>
                </w:tcPr>
                <w:p w14:paraId="68AE2C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18D16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0.0365</w:t>
                  </w:r>
                </w:p>
              </w:tc>
              <w:tc>
                <w:tcPr>
                  <w:tcW w:w="860" w:type="dxa"/>
                  <w:tcBorders>
                    <w:tl2br w:val="nil"/>
                    <w:tr2bl w:val="nil"/>
                  </w:tcBorders>
                  <w:noWrap w:val="0"/>
                  <w:tcMar>
                    <w:top w:w="15" w:type="dxa"/>
                    <w:left w:w="15" w:type="dxa"/>
                    <w:right w:w="15" w:type="dxa"/>
                  </w:tcMar>
                  <w:vAlign w:val="center"/>
                </w:tcPr>
                <w:p w14:paraId="343368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50</w:t>
                  </w:r>
                </w:p>
              </w:tc>
              <w:tc>
                <w:tcPr>
                  <w:tcW w:w="2086" w:type="dxa"/>
                  <w:tcBorders>
                    <w:tl2br w:val="nil"/>
                    <w:tr2bl w:val="nil"/>
                  </w:tcBorders>
                  <w:noWrap w:val="0"/>
                  <w:tcMar>
                    <w:top w:w="15" w:type="dxa"/>
                    <w:left w:w="15" w:type="dxa"/>
                    <w:right w:w="15" w:type="dxa"/>
                  </w:tcMar>
                  <w:vAlign w:val="center"/>
                </w:tcPr>
                <w:p w14:paraId="79E8F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HJ169-2018中附录B表B.2- 2健康危险急性毒性物质（类别2，类别3）</w:t>
                  </w:r>
                </w:p>
              </w:tc>
              <w:tc>
                <w:tcPr>
                  <w:tcW w:w="873" w:type="dxa"/>
                  <w:tcBorders>
                    <w:tl2br w:val="nil"/>
                    <w:tr2bl w:val="nil"/>
                  </w:tcBorders>
                  <w:noWrap w:val="0"/>
                  <w:tcMar>
                    <w:top w:w="15" w:type="dxa"/>
                    <w:left w:w="15" w:type="dxa"/>
                    <w:right w:w="15" w:type="dxa"/>
                  </w:tcMar>
                  <w:vAlign w:val="center"/>
                </w:tcPr>
                <w:p w14:paraId="1F0AC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0.00073</w:t>
                  </w:r>
                </w:p>
              </w:tc>
              <w:tc>
                <w:tcPr>
                  <w:tcW w:w="1262" w:type="dxa"/>
                  <w:vMerge w:val="continue"/>
                  <w:tcBorders>
                    <w:tl2br w:val="nil"/>
                    <w:tr2bl w:val="nil"/>
                  </w:tcBorders>
                  <w:noWrap w:val="0"/>
                  <w:tcMar>
                    <w:top w:w="15" w:type="dxa"/>
                    <w:left w:w="15" w:type="dxa"/>
                    <w:right w:w="15" w:type="dxa"/>
                  </w:tcMar>
                  <w:vAlign w:val="center"/>
                </w:tcPr>
                <w:p w14:paraId="159943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315A5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484" w:type="dxa"/>
                  <w:vMerge w:val="continue"/>
                  <w:tcBorders>
                    <w:tl2br w:val="nil"/>
                    <w:tr2bl w:val="nil"/>
                  </w:tcBorders>
                  <w:noWrap w:val="0"/>
                  <w:tcMar>
                    <w:top w:w="15" w:type="dxa"/>
                    <w:left w:w="15" w:type="dxa"/>
                    <w:right w:w="15" w:type="dxa"/>
                  </w:tcMar>
                  <w:vAlign w:val="center"/>
                </w:tcPr>
                <w:p w14:paraId="5ECFDF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1216" w:type="dxa"/>
                  <w:tcBorders>
                    <w:tl2br w:val="nil"/>
                    <w:tr2bl w:val="nil"/>
                  </w:tcBorders>
                  <w:noWrap w:val="0"/>
                  <w:tcMar>
                    <w:top w:w="15" w:type="dxa"/>
                    <w:left w:w="15" w:type="dxa"/>
                    <w:right w:w="15" w:type="dxa"/>
                  </w:tcMar>
                  <w:vAlign w:val="center"/>
                </w:tcPr>
                <w:p w14:paraId="7AC828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环己酮</w:t>
                  </w:r>
                </w:p>
              </w:tc>
              <w:tc>
                <w:tcPr>
                  <w:tcW w:w="723" w:type="dxa"/>
                  <w:vMerge w:val="continue"/>
                  <w:tcBorders>
                    <w:tl2br w:val="nil"/>
                    <w:tr2bl w:val="nil"/>
                  </w:tcBorders>
                  <w:noWrap w:val="0"/>
                  <w:tcMar>
                    <w:top w:w="15" w:type="dxa"/>
                    <w:left w:w="15" w:type="dxa"/>
                    <w:right w:w="15" w:type="dxa"/>
                  </w:tcMar>
                  <w:vAlign w:val="center"/>
                </w:tcPr>
                <w:p w14:paraId="294945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886" w:type="dxa"/>
                  <w:tcBorders>
                    <w:tl2br w:val="nil"/>
                    <w:tr2bl w:val="nil"/>
                  </w:tcBorders>
                  <w:noWrap w:val="0"/>
                  <w:tcMar>
                    <w:top w:w="15" w:type="dxa"/>
                    <w:left w:w="15" w:type="dxa"/>
                    <w:right w:w="15" w:type="dxa"/>
                  </w:tcMar>
                  <w:vAlign w:val="center"/>
                </w:tcPr>
                <w:p w14:paraId="354F5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0.0365</w:t>
                  </w:r>
                </w:p>
              </w:tc>
              <w:tc>
                <w:tcPr>
                  <w:tcW w:w="860" w:type="dxa"/>
                  <w:tcBorders>
                    <w:tl2br w:val="nil"/>
                    <w:tr2bl w:val="nil"/>
                  </w:tcBorders>
                  <w:noWrap w:val="0"/>
                  <w:tcMar>
                    <w:top w:w="15" w:type="dxa"/>
                    <w:left w:w="15" w:type="dxa"/>
                    <w:right w:w="15" w:type="dxa"/>
                  </w:tcMar>
                  <w:vAlign w:val="center"/>
                </w:tcPr>
                <w:p w14:paraId="255CE3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w:t>
                  </w:r>
                </w:p>
              </w:tc>
              <w:tc>
                <w:tcPr>
                  <w:tcW w:w="2086" w:type="dxa"/>
                  <w:tcBorders>
                    <w:tl2br w:val="nil"/>
                    <w:tr2bl w:val="nil"/>
                  </w:tcBorders>
                  <w:noWrap w:val="0"/>
                  <w:tcMar>
                    <w:top w:w="15" w:type="dxa"/>
                    <w:left w:w="15" w:type="dxa"/>
                    <w:right w:w="15" w:type="dxa"/>
                  </w:tcMar>
                  <w:vAlign w:val="center"/>
                </w:tcPr>
                <w:p w14:paraId="31EF9A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HJ169-2018中附录B表B.1- 155环己酮</w:t>
                  </w:r>
                </w:p>
              </w:tc>
              <w:tc>
                <w:tcPr>
                  <w:tcW w:w="873" w:type="dxa"/>
                  <w:tcBorders>
                    <w:tl2br w:val="nil"/>
                    <w:tr2bl w:val="nil"/>
                  </w:tcBorders>
                  <w:noWrap w:val="0"/>
                  <w:tcMar>
                    <w:top w:w="15" w:type="dxa"/>
                    <w:left w:w="15" w:type="dxa"/>
                    <w:right w:w="15" w:type="dxa"/>
                  </w:tcMar>
                  <w:vAlign w:val="center"/>
                </w:tcPr>
                <w:p w14:paraId="0AC50D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0.00365</w:t>
                  </w:r>
                </w:p>
              </w:tc>
              <w:tc>
                <w:tcPr>
                  <w:tcW w:w="1262" w:type="dxa"/>
                  <w:vMerge w:val="continue"/>
                  <w:tcBorders>
                    <w:tl2br w:val="nil"/>
                    <w:tr2bl w:val="nil"/>
                  </w:tcBorders>
                  <w:noWrap w:val="0"/>
                  <w:tcMar>
                    <w:top w:w="15" w:type="dxa"/>
                    <w:left w:w="15" w:type="dxa"/>
                    <w:right w:w="15" w:type="dxa"/>
                  </w:tcMar>
                  <w:vAlign w:val="center"/>
                </w:tcPr>
                <w:p w14:paraId="0C810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14:paraId="21974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700" w:type="dxa"/>
                  <w:gridSpan w:val="2"/>
                  <w:tcBorders>
                    <w:tl2br w:val="nil"/>
                    <w:tr2bl w:val="nil"/>
                  </w:tcBorders>
                  <w:noWrap w:val="0"/>
                  <w:tcMar>
                    <w:top w:w="15" w:type="dxa"/>
                    <w:left w:w="15" w:type="dxa"/>
                    <w:right w:w="15" w:type="dxa"/>
                  </w:tcMar>
                  <w:vAlign w:val="center"/>
                </w:tcPr>
                <w:p w14:paraId="0BF396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合计</w:t>
                  </w:r>
                  <w:r>
                    <w:rPr>
                      <w:rFonts w:hint="default" w:ascii="Times New Roman" w:hAnsi="Times New Roman" w:cs="Times New Roman"/>
                      <w:color w:val="auto"/>
                      <w:sz w:val="21"/>
                      <w:szCs w:val="21"/>
                      <w:highlight w:val="none"/>
                      <w:shd w:val="clear" w:color="auto" w:fill="auto"/>
                      <w:lang w:val="en-US" w:eastAsia="zh-CN"/>
                    </w:rPr>
                    <w:t>∑</w:t>
                  </w:r>
                </w:p>
              </w:tc>
              <w:tc>
                <w:tcPr>
                  <w:tcW w:w="723" w:type="dxa"/>
                  <w:tcBorders>
                    <w:tl2br w:val="nil"/>
                    <w:tr2bl w:val="nil"/>
                  </w:tcBorders>
                  <w:noWrap w:val="0"/>
                  <w:tcMar>
                    <w:top w:w="15" w:type="dxa"/>
                    <w:left w:w="15" w:type="dxa"/>
                    <w:right w:w="15" w:type="dxa"/>
                  </w:tcMar>
                  <w:vAlign w:val="center"/>
                </w:tcPr>
                <w:p w14:paraId="69A3BE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w:t>
                  </w:r>
                </w:p>
              </w:tc>
              <w:tc>
                <w:tcPr>
                  <w:tcW w:w="886" w:type="dxa"/>
                  <w:tcBorders>
                    <w:tl2br w:val="nil"/>
                    <w:tr2bl w:val="nil"/>
                  </w:tcBorders>
                  <w:noWrap w:val="0"/>
                  <w:tcMar>
                    <w:top w:w="15" w:type="dxa"/>
                    <w:left w:w="15" w:type="dxa"/>
                    <w:right w:w="15" w:type="dxa"/>
                  </w:tcMar>
                  <w:vAlign w:val="center"/>
                </w:tcPr>
                <w:p w14:paraId="376231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w:t>
                  </w:r>
                </w:p>
              </w:tc>
              <w:tc>
                <w:tcPr>
                  <w:tcW w:w="860" w:type="dxa"/>
                  <w:tcBorders>
                    <w:tl2br w:val="nil"/>
                    <w:tr2bl w:val="nil"/>
                  </w:tcBorders>
                  <w:noWrap w:val="0"/>
                  <w:tcMar>
                    <w:top w:w="15" w:type="dxa"/>
                    <w:left w:w="15" w:type="dxa"/>
                    <w:right w:w="15" w:type="dxa"/>
                  </w:tcMar>
                  <w:vAlign w:val="center"/>
                </w:tcPr>
                <w:p w14:paraId="607C9F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w:t>
                  </w:r>
                </w:p>
              </w:tc>
              <w:tc>
                <w:tcPr>
                  <w:tcW w:w="2086" w:type="dxa"/>
                  <w:tcBorders>
                    <w:tl2br w:val="nil"/>
                    <w:tr2bl w:val="nil"/>
                  </w:tcBorders>
                  <w:noWrap w:val="0"/>
                  <w:tcMar>
                    <w:top w:w="15" w:type="dxa"/>
                    <w:left w:w="15" w:type="dxa"/>
                    <w:right w:w="15" w:type="dxa"/>
                  </w:tcMar>
                  <w:vAlign w:val="center"/>
                </w:tcPr>
                <w:p w14:paraId="5F037F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w:t>
                  </w:r>
                </w:p>
              </w:tc>
              <w:tc>
                <w:tcPr>
                  <w:tcW w:w="873" w:type="dxa"/>
                  <w:tcBorders>
                    <w:tl2br w:val="nil"/>
                    <w:tr2bl w:val="nil"/>
                  </w:tcBorders>
                  <w:noWrap w:val="0"/>
                  <w:tcMar>
                    <w:top w:w="15" w:type="dxa"/>
                    <w:left w:w="15" w:type="dxa"/>
                    <w:right w:w="15" w:type="dxa"/>
                  </w:tcMar>
                  <w:vAlign w:val="center"/>
                </w:tcPr>
                <w:p w14:paraId="2D54E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0.09379</w:t>
                  </w:r>
                </w:p>
              </w:tc>
              <w:tc>
                <w:tcPr>
                  <w:tcW w:w="1262" w:type="dxa"/>
                  <w:tcBorders>
                    <w:tl2br w:val="nil"/>
                    <w:tr2bl w:val="nil"/>
                  </w:tcBorders>
                  <w:noWrap w:val="0"/>
                  <w:tcMar>
                    <w:top w:w="15" w:type="dxa"/>
                    <w:left w:w="15" w:type="dxa"/>
                    <w:right w:w="15" w:type="dxa"/>
                  </w:tcMar>
                  <w:vAlign w:val="center"/>
                </w:tcPr>
                <w:p w14:paraId="43F02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w:t>
                  </w:r>
                </w:p>
              </w:tc>
            </w:tr>
          </w:tbl>
          <w:p w14:paraId="679E7A3C">
            <w:pPr>
              <w:bidi w:val="0"/>
              <w:rPr>
                <w:rFonts w:hint="default"/>
                <w:color w:val="auto"/>
                <w:highlight w:val="none"/>
                <w:lang w:val="en-US" w:eastAsia="zh-CN"/>
              </w:rPr>
            </w:pPr>
            <w:r>
              <w:rPr>
                <w:rFonts w:hint="eastAsia"/>
                <w:color w:val="auto"/>
                <w:highlight w:val="none"/>
                <w:lang w:val="en-US" w:eastAsia="zh-CN"/>
              </w:rPr>
              <w:t>本项目</w:t>
            </w:r>
            <w:r>
              <w:rPr>
                <w:rFonts w:hint="default"/>
                <w:color w:val="auto"/>
                <w:highlight w:val="none"/>
              </w:rPr>
              <w:t>风险物质</w:t>
            </w:r>
            <w:r>
              <w:rPr>
                <w:rFonts w:hint="eastAsia"/>
                <w:color w:val="auto"/>
                <w:highlight w:val="none"/>
                <w:lang w:val="en-US" w:eastAsia="zh-CN"/>
              </w:rPr>
              <w:t>最大储存量</w:t>
            </w:r>
            <w:r>
              <w:rPr>
                <w:rFonts w:hint="default"/>
                <w:color w:val="auto"/>
                <w:highlight w:val="none"/>
              </w:rPr>
              <w:t>与临界量比值Q值</w:t>
            </w:r>
            <w:r>
              <w:rPr>
                <w:rFonts w:hint="eastAsia"/>
                <w:color w:val="auto"/>
                <w:highlight w:val="none"/>
                <w:lang w:val="en-US" w:eastAsia="zh-CN"/>
              </w:rPr>
              <w:t>及</w:t>
            </w:r>
            <w:r>
              <w:rPr>
                <w:rFonts w:hint="default" w:ascii="Times New Roman" w:hAnsi="Times New Roman" w:cs="Times New Roman"/>
                <w:color w:val="auto"/>
                <w:sz w:val="24"/>
                <w:szCs w:val="24"/>
                <w:highlight w:val="none"/>
                <w:shd w:val="clear" w:color="auto" w:fill="auto"/>
                <w:lang w:val="en-US" w:eastAsia="zh-CN"/>
              </w:rPr>
              <w:t>∑</w:t>
            </w:r>
            <w:r>
              <w:rPr>
                <w:rFonts w:hint="default"/>
                <w:color w:val="auto"/>
                <w:highlight w:val="none"/>
              </w:rPr>
              <w:t>Q</w:t>
            </w:r>
            <w:r>
              <w:rPr>
                <w:rFonts w:hint="eastAsia"/>
                <w:color w:val="auto"/>
                <w:highlight w:val="none"/>
                <w:lang w:val="en-US" w:eastAsia="zh-CN"/>
              </w:rPr>
              <w:t>均﹤1。</w:t>
            </w:r>
          </w:p>
          <w:p w14:paraId="24A0AA86">
            <w:pPr>
              <w:bidi w:val="0"/>
              <w:rPr>
                <w:rFonts w:hint="default"/>
                <w:color w:val="auto"/>
                <w:highlight w:val="none"/>
                <w:lang w:val="en-US" w:eastAsia="zh-CN"/>
              </w:rPr>
            </w:pPr>
            <w:r>
              <w:rPr>
                <w:rFonts w:hint="eastAsia"/>
                <w:color w:val="auto"/>
                <w:highlight w:val="none"/>
                <w:lang w:val="en-US" w:eastAsia="zh-CN"/>
              </w:rPr>
              <w:t>风险物质</w:t>
            </w:r>
            <w:r>
              <w:rPr>
                <w:rFonts w:hint="eastAsia"/>
                <w:color w:val="auto"/>
                <w:highlight w:val="none"/>
                <w:lang w:eastAsia="zh-CN"/>
              </w:rPr>
              <w:t>理化性质见下表。</w:t>
            </w:r>
          </w:p>
          <w:p w14:paraId="44A2FEAF">
            <w:pPr>
              <w:pStyle w:val="33"/>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表65  二甲苯的理化性质及危险性识别一览表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010"/>
              <w:gridCol w:w="1175"/>
              <w:gridCol w:w="2792"/>
              <w:gridCol w:w="1870"/>
            </w:tblGrid>
            <w:tr w14:paraId="6D9C7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523" w:type="dxa"/>
                  <w:tcBorders>
                    <w:tl2br w:val="nil"/>
                    <w:tr2bl w:val="nil"/>
                  </w:tcBorders>
                  <w:noWrap w:val="0"/>
                  <w:vAlign w:val="center"/>
                </w:tcPr>
                <w:p w14:paraId="2B1419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996" w:type="dxa"/>
                  <w:tcBorders>
                    <w:tl2br w:val="nil"/>
                    <w:tr2bl w:val="nil"/>
                  </w:tcBorders>
                  <w:noWrap w:val="0"/>
                  <w:vAlign w:val="center"/>
                </w:tcPr>
                <w:p w14:paraId="4297F3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159" w:type="dxa"/>
                  <w:tcBorders>
                    <w:tl2br w:val="nil"/>
                    <w:tr2bl w:val="nil"/>
                  </w:tcBorders>
                  <w:noWrap w:val="0"/>
                  <w:vAlign w:val="center"/>
                </w:tcPr>
                <w:p w14:paraId="0CFE67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2754" w:type="dxa"/>
                  <w:tcBorders>
                    <w:tl2br w:val="nil"/>
                    <w:tr2bl w:val="nil"/>
                  </w:tcBorders>
                  <w:noWrap w:val="0"/>
                  <w:vAlign w:val="center"/>
                </w:tcPr>
                <w:p w14:paraId="7D1443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危险性类别</w:t>
                  </w:r>
                </w:p>
              </w:tc>
              <w:tc>
                <w:tcPr>
                  <w:tcW w:w="1845" w:type="dxa"/>
                  <w:tcBorders>
                    <w:tl2br w:val="nil"/>
                    <w:tr2bl w:val="nil"/>
                  </w:tcBorders>
                  <w:noWrap w:val="0"/>
                  <w:vAlign w:val="center"/>
                </w:tcPr>
                <w:p w14:paraId="249DE3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熔点</w:t>
                  </w:r>
                </w:p>
              </w:tc>
            </w:tr>
            <w:tr w14:paraId="14084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523" w:type="dxa"/>
                  <w:tcBorders>
                    <w:tl2br w:val="nil"/>
                    <w:tr2bl w:val="nil"/>
                  </w:tcBorders>
                  <w:noWrap w:val="0"/>
                  <w:vAlign w:val="center"/>
                </w:tcPr>
                <w:p w14:paraId="5A70C5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二甲苯</w:t>
                  </w:r>
                </w:p>
              </w:tc>
              <w:tc>
                <w:tcPr>
                  <w:tcW w:w="996" w:type="dxa"/>
                  <w:tcBorders>
                    <w:tl2br w:val="nil"/>
                    <w:tr2bl w:val="nil"/>
                  </w:tcBorders>
                  <w:noWrap w:val="0"/>
                  <w:vAlign w:val="center"/>
                </w:tcPr>
                <w:p w14:paraId="42D061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w:t>
                  </w:r>
                  <w:r>
                    <w:rPr>
                      <w:rFonts w:hint="eastAsia" w:cs="Times New Roman"/>
                      <w:color w:val="auto"/>
                      <w:sz w:val="21"/>
                      <w:szCs w:val="21"/>
                      <w:highlight w:val="none"/>
                      <w:shd w:val="clear" w:color="auto" w:fill="auto"/>
                      <w:vertAlign w:val="subscript"/>
                      <w:lang w:val="en-US" w:eastAsia="zh-CN"/>
                    </w:rPr>
                    <w:t>8</w:t>
                  </w: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10</w:t>
                  </w:r>
                </w:p>
              </w:tc>
              <w:tc>
                <w:tcPr>
                  <w:tcW w:w="1159" w:type="dxa"/>
                  <w:tcBorders>
                    <w:tl2br w:val="nil"/>
                    <w:tr2bl w:val="nil"/>
                  </w:tcBorders>
                  <w:noWrap w:val="0"/>
                  <w:vAlign w:val="center"/>
                </w:tcPr>
                <w:p w14:paraId="72AAEB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106.17</w:t>
                  </w:r>
                </w:p>
              </w:tc>
              <w:tc>
                <w:tcPr>
                  <w:tcW w:w="2754" w:type="dxa"/>
                  <w:tcBorders>
                    <w:tl2br w:val="nil"/>
                    <w:tr2bl w:val="nil"/>
                  </w:tcBorders>
                  <w:noWrap w:val="0"/>
                  <w:vAlign w:val="center"/>
                </w:tcPr>
                <w:p w14:paraId="7484AE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易燃液体</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类别3</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皮肤腐蚀/刺激</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类别2</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危害水生环境-急性危害</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类别2</w:t>
                  </w:r>
                </w:p>
              </w:tc>
              <w:tc>
                <w:tcPr>
                  <w:tcW w:w="1845" w:type="dxa"/>
                  <w:tcBorders>
                    <w:tl2br w:val="nil"/>
                    <w:tr2bl w:val="nil"/>
                  </w:tcBorders>
                  <w:noWrap w:val="0"/>
                  <w:vAlign w:val="center"/>
                </w:tcPr>
                <w:p w14:paraId="357724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-25.5</w:t>
                  </w:r>
                  <w:r>
                    <w:rPr>
                      <w:rFonts w:hint="default" w:ascii="Times New Roman" w:hAnsi="Times New Roman" w:eastAsia="宋体" w:cs="Times New Roman"/>
                      <w:color w:val="auto"/>
                      <w:sz w:val="21"/>
                      <w:szCs w:val="21"/>
                      <w:highlight w:val="none"/>
                      <w:shd w:val="clear" w:color="auto" w:fill="auto"/>
                      <w:lang w:val="en-US" w:eastAsia="zh-CN"/>
                    </w:rPr>
                    <w:t>℃</w:t>
                  </w:r>
                </w:p>
              </w:tc>
            </w:tr>
            <w:tr w14:paraId="2EE40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23" w:type="dxa"/>
                  <w:tcBorders>
                    <w:tl2br w:val="nil"/>
                    <w:tr2bl w:val="nil"/>
                  </w:tcBorders>
                  <w:noWrap w:val="0"/>
                  <w:vAlign w:val="center"/>
                </w:tcPr>
                <w:p w14:paraId="0010CC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相对空气密度（空气=1）</w:t>
                  </w:r>
                </w:p>
              </w:tc>
              <w:tc>
                <w:tcPr>
                  <w:tcW w:w="996" w:type="dxa"/>
                  <w:tcBorders>
                    <w:tl2br w:val="nil"/>
                    <w:tr2bl w:val="nil"/>
                  </w:tcBorders>
                  <w:noWrap w:val="0"/>
                  <w:vAlign w:val="center"/>
                </w:tcPr>
                <w:p w14:paraId="10264E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沸点</w:t>
                  </w:r>
                </w:p>
              </w:tc>
              <w:tc>
                <w:tcPr>
                  <w:tcW w:w="1159" w:type="dxa"/>
                  <w:tcBorders>
                    <w:tl2br w:val="nil"/>
                    <w:tr2bl w:val="nil"/>
                  </w:tcBorders>
                  <w:noWrap w:val="0"/>
                  <w:vAlign w:val="center"/>
                </w:tcPr>
                <w:p w14:paraId="14E055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临界温度</w:t>
                  </w:r>
                </w:p>
              </w:tc>
              <w:tc>
                <w:tcPr>
                  <w:tcW w:w="2754" w:type="dxa"/>
                  <w:tcBorders>
                    <w:tl2br w:val="nil"/>
                    <w:tr2bl w:val="nil"/>
                  </w:tcBorders>
                  <w:noWrap w:val="0"/>
                  <w:vAlign w:val="center"/>
                </w:tcPr>
                <w:p w14:paraId="7BD470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w:t>
                  </w:r>
                  <w:r>
                    <w:rPr>
                      <w:rFonts w:hint="eastAsia" w:ascii="Times New Roman" w:hAnsi="Times New Roman" w:eastAsia="宋体" w:cs="Times New Roman"/>
                      <w:color w:val="auto"/>
                      <w:sz w:val="21"/>
                      <w:szCs w:val="21"/>
                      <w:highlight w:val="none"/>
                      <w:shd w:val="clear" w:color="auto" w:fill="auto"/>
                      <w:lang w:val="en-US" w:eastAsia="zh-CN"/>
                    </w:rPr>
                    <w:t>密度（水=1）</w:t>
                  </w:r>
                </w:p>
              </w:tc>
              <w:tc>
                <w:tcPr>
                  <w:tcW w:w="1845" w:type="dxa"/>
                  <w:tcBorders>
                    <w:tl2br w:val="nil"/>
                    <w:tr2bl w:val="nil"/>
                  </w:tcBorders>
                  <w:noWrap w:val="0"/>
                  <w:vAlign w:val="center"/>
                </w:tcPr>
                <w:p w14:paraId="07D32A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饱和蒸气压</w:t>
                  </w:r>
                </w:p>
              </w:tc>
            </w:tr>
            <w:tr w14:paraId="1660C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23" w:type="dxa"/>
                  <w:tcBorders>
                    <w:tl2br w:val="nil"/>
                    <w:tr2bl w:val="nil"/>
                  </w:tcBorders>
                  <w:noWrap w:val="0"/>
                  <w:vAlign w:val="center"/>
                </w:tcPr>
                <w:p w14:paraId="6CE9B6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3.66</w:t>
                  </w:r>
                </w:p>
              </w:tc>
              <w:tc>
                <w:tcPr>
                  <w:tcW w:w="996" w:type="dxa"/>
                  <w:tcBorders>
                    <w:tl2br w:val="nil"/>
                    <w:tr2bl w:val="nil"/>
                  </w:tcBorders>
                  <w:noWrap w:val="0"/>
                  <w:vAlign w:val="center"/>
                </w:tcPr>
                <w:p w14:paraId="0317B9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144.4</w:t>
                  </w:r>
                  <w:r>
                    <w:rPr>
                      <w:rFonts w:hint="default" w:ascii="Times New Roman" w:hAnsi="Times New Roman" w:cs="Times New Roman"/>
                      <w:color w:val="auto"/>
                      <w:sz w:val="21"/>
                      <w:szCs w:val="21"/>
                      <w:highlight w:val="none"/>
                      <w:shd w:val="clear" w:color="auto" w:fill="auto"/>
                      <w:lang w:val="en-US" w:eastAsia="zh-CN"/>
                    </w:rPr>
                    <w:t>℃</w:t>
                  </w:r>
                </w:p>
              </w:tc>
              <w:tc>
                <w:tcPr>
                  <w:tcW w:w="1159" w:type="dxa"/>
                  <w:tcBorders>
                    <w:tl2br w:val="nil"/>
                    <w:tr2bl w:val="nil"/>
                  </w:tcBorders>
                  <w:noWrap w:val="0"/>
                  <w:vAlign w:val="center"/>
                </w:tcPr>
                <w:p w14:paraId="7790E9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357.2</w:t>
                  </w:r>
                  <w:r>
                    <w:rPr>
                      <w:rFonts w:hint="default" w:ascii="Times New Roman" w:hAnsi="Times New Roman" w:cs="Times New Roman"/>
                      <w:color w:val="auto"/>
                      <w:sz w:val="21"/>
                      <w:szCs w:val="21"/>
                      <w:highlight w:val="none"/>
                      <w:shd w:val="clear" w:color="auto" w:fill="auto"/>
                      <w:lang w:val="en-US" w:eastAsia="zh-CN"/>
                    </w:rPr>
                    <w:t>℃</w:t>
                  </w:r>
                </w:p>
              </w:tc>
              <w:tc>
                <w:tcPr>
                  <w:tcW w:w="2754" w:type="dxa"/>
                  <w:tcBorders>
                    <w:tl2br w:val="nil"/>
                    <w:tr2bl w:val="nil"/>
                  </w:tcBorders>
                  <w:noWrap w:val="0"/>
                  <w:vAlign w:val="center"/>
                </w:tcPr>
                <w:p w14:paraId="2838D1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0.88</w:t>
                  </w:r>
                </w:p>
              </w:tc>
              <w:tc>
                <w:tcPr>
                  <w:tcW w:w="1845" w:type="dxa"/>
                  <w:tcBorders>
                    <w:tl2br w:val="nil"/>
                    <w:tr2bl w:val="nil"/>
                  </w:tcBorders>
                  <w:noWrap w:val="0"/>
                  <w:vAlign w:val="center"/>
                </w:tcPr>
                <w:p w14:paraId="3991DD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1.33（32</w:t>
                  </w:r>
                  <w:r>
                    <w:rPr>
                      <w:rFonts w:hint="default" w:ascii="Times New Roman" w:hAnsi="Times New Roman"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）kPa</w:t>
                  </w:r>
                </w:p>
              </w:tc>
            </w:tr>
            <w:tr w14:paraId="3D093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23" w:type="dxa"/>
                  <w:tcBorders>
                    <w:tl2br w:val="nil"/>
                    <w:tr2bl w:val="nil"/>
                  </w:tcBorders>
                  <w:noWrap w:val="0"/>
                  <w:vAlign w:val="center"/>
                </w:tcPr>
                <w:p w14:paraId="3E34CE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燃烧性</w:t>
                  </w:r>
                </w:p>
              </w:tc>
              <w:tc>
                <w:tcPr>
                  <w:tcW w:w="2155" w:type="dxa"/>
                  <w:gridSpan w:val="2"/>
                  <w:tcBorders>
                    <w:tl2br w:val="nil"/>
                    <w:tr2bl w:val="nil"/>
                  </w:tcBorders>
                  <w:noWrap w:val="0"/>
                  <w:vAlign w:val="center"/>
                </w:tcPr>
                <w:p w14:paraId="147D88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闪点</w:t>
                  </w:r>
                </w:p>
              </w:tc>
              <w:tc>
                <w:tcPr>
                  <w:tcW w:w="2754" w:type="dxa"/>
                  <w:tcBorders>
                    <w:tl2br w:val="nil"/>
                    <w:tr2bl w:val="nil"/>
                  </w:tcBorders>
                  <w:noWrap w:val="0"/>
                  <w:vAlign w:val="center"/>
                </w:tcPr>
                <w:p w14:paraId="1E0A47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自燃温度</w:t>
                  </w:r>
                </w:p>
              </w:tc>
              <w:tc>
                <w:tcPr>
                  <w:tcW w:w="1845" w:type="dxa"/>
                  <w:tcBorders>
                    <w:tl2br w:val="nil"/>
                    <w:tr2bl w:val="nil"/>
                  </w:tcBorders>
                  <w:noWrap w:val="0"/>
                  <w:vAlign w:val="center"/>
                </w:tcPr>
                <w:p w14:paraId="41E7EE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爆炸极限%</w:t>
                  </w:r>
                </w:p>
              </w:tc>
            </w:tr>
            <w:tr w14:paraId="38751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523" w:type="dxa"/>
                  <w:tcBorders>
                    <w:tl2br w:val="nil"/>
                    <w:tr2bl w:val="nil"/>
                  </w:tcBorders>
                  <w:noWrap w:val="0"/>
                  <w:vAlign w:val="center"/>
                </w:tcPr>
                <w:p w14:paraId="4EC4B2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易燃</w:t>
                  </w:r>
                </w:p>
              </w:tc>
              <w:tc>
                <w:tcPr>
                  <w:tcW w:w="2155" w:type="dxa"/>
                  <w:gridSpan w:val="2"/>
                  <w:tcBorders>
                    <w:tl2br w:val="nil"/>
                    <w:tr2bl w:val="nil"/>
                  </w:tcBorders>
                  <w:noWrap w:val="0"/>
                  <w:vAlign w:val="center"/>
                </w:tcPr>
                <w:p w14:paraId="0086B2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w:t>
                  </w:r>
                  <w:r>
                    <w:rPr>
                      <w:rFonts w:hint="default" w:ascii="Times New Roman" w:hAnsi="Times New Roman" w:cs="Times New Roman"/>
                      <w:color w:val="auto"/>
                      <w:sz w:val="21"/>
                      <w:szCs w:val="21"/>
                      <w:highlight w:val="none"/>
                      <w:shd w:val="clear" w:color="auto" w:fill="auto"/>
                      <w:lang w:val="en-US" w:eastAsia="zh-CN"/>
                    </w:rPr>
                    <w:t>℃</w:t>
                  </w:r>
                </w:p>
              </w:tc>
              <w:tc>
                <w:tcPr>
                  <w:tcW w:w="2754" w:type="dxa"/>
                  <w:tcBorders>
                    <w:tl2br w:val="nil"/>
                    <w:tr2bl w:val="nil"/>
                  </w:tcBorders>
                  <w:noWrap w:val="0"/>
                  <w:vAlign w:val="center"/>
                </w:tcPr>
                <w:p w14:paraId="7E060D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463</w:t>
                  </w:r>
                  <w:r>
                    <w:rPr>
                      <w:rFonts w:hint="default" w:ascii="Times New Roman" w:hAnsi="Times New Roman" w:cs="Times New Roman"/>
                      <w:color w:val="auto"/>
                      <w:sz w:val="21"/>
                      <w:szCs w:val="21"/>
                      <w:highlight w:val="none"/>
                      <w:shd w:val="clear" w:color="auto" w:fill="auto"/>
                      <w:lang w:val="en-US" w:eastAsia="zh-CN"/>
                    </w:rPr>
                    <w:t>℃</w:t>
                  </w:r>
                </w:p>
              </w:tc>
              <w:tc>
                <w:tcPr>
                  <w:tcW w:w="1845" w:type="dxa"/>
                  <w:tcBorders>
                    <w:tl2br w:val="nil"/>
                    <w:tr2bl w:val="nil"/>
                  </w:tcBorders>
                  <w:noWrap w:val="0"/>
                  <w:vAlign w:val="center"/>
                </w:tcPr>
                <w:p w14:paraId="78EEF3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下限1.0，上限7.0</w:t>
                  </w:r>
                </w:p>
              </w:tc>
            </w:tr>
            <w:tr w14:paraId="4E6A5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3" w:type="dxa"/>
                  <w:tcBorders>
                    <w:tl2br w:val="nil"/>
                    <w:tr2bl w:val="nil"/>
                  </w:tcBorders>
                  <w:noWrap w:val="0"/>
                  <w:vAlign w:val="center"/>
                </w:tcPr>
                <w:p w14:paraId="561E52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性</w:t>
                  </w:r>
                  <w:r>
                    <w:rPr>
                      <w:rFonts w:hint="eastAsia" w:ascii="Times New Roman" w:hAnsi="Times New Roman" w:eastAsia="宋体" w:cs="Times New Roman"/>
                      <w:color w:val="auto"/>
                      <w:sz w:val="21"/>
                      <w:szCs w:val="21"/>
                      <w:highlight w:val="none"/>
                      <w:shd w:val="clear" w:color="auto" w:fill="auto"/>
                      <w:lang w:val="en-US" w:eastAsia="zh-CN"/>
                    </w:rPr>
                    <w:t>状和溶解性</w:t>
                  </w:r>
                </w:p>
              </w:tc>
              <w:tc>
                <w:tcPr>
                  <w:tcW w:w="6754" w:type="dxa"/>
                  <w:gridSpan w:val="4"/>
                  <w:tcBorders>
                    <w:tl2br w:val="nil"/>
                    <w:tr2bl w:val="nil"/>
                  </w:tcBorders>
                  <w:noWrap w:val="0"/>
                  <w:vAlign w:val="center"/>
                </w:tcPr>
                <w:p w14:paraId="2B9DA5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无色透明液体，有类似甲苯的气味</w:t>
                  </w:r>
                  <w:r>
                    <w:rPr>
                      <w:rFonts w:hint="eastAsia" w:cs="Times New Roman"/>
                      <w:color w:val="auto"/>
                      <w:sz w:val="21"/>
                      <w:szCs w:val="21"/>
                      <w:highlight w:val="none"/>
                      <w:shd w:val="clear" w:color="auto" w:fill="auto"/>
                      <w:lang w:val="en-US" w:eastAsia="zh-CN"/>
                    </w:rPr>
                    <w:t>。</w:t>
                  </w:r>
                  <w:r>
                    <w:rPr>
                      <w:color w:val="auto"/>
                      <w:sz w:val="21"/>
                      <w:szCs w:val="21"/>
                    </w:rPr>
                    <w:t>不溶于水，可混溶于乙醇、乙醚、氯仿等多数有机溶剂。</w:t>
                  </w:r>
                </w:p>
              </w:tc>
            </w:tr>
            <w:tr w14:paraId="4B9CB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523" w:type="dxa"/>
                  <w:tcBorders>
                    <w:tl2br w:val="nil"/>
                    <w:tr2bl w:val="nil"/>
                  </w:tcBorders>
                  <w:noWrap w:val="0"/>
                  <w:vAlign w:val="center"/>
                </w:tcPr>
                <w:p w14:paraId="2B2209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危险特性</w:t>
                  </w:r>
                </w:p>
              </w:tc>
              <w:tc>
                <w:tcPr>
                  <w:tcW w:w="6754" w:type="dxa"/>
                  <w:gridSpan w:val="4"/>
                  <w:tcBorders>
                    <w:tl2br w:val="nil"/>
                    <w:tr2bl w:val="nil"/>
                  </w:tcBorders>
                  <w:noWrap w:val="0"/>
                  <w:vAlign w:val="center"/>
                </w:tcPr>
                <w:p w14:paraId="02842B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ascii="宋体" w:hAnsi="宋体" w:eastAsia="宋体" w:cs="宋体"/>
                      <w:color w:val="auto"/>
                      <w:sz w:val="21"/>
                      <w:szCs w:val="21"/>
                    </w:rPr>
                    <w:t>其蒸汽与空气形成爆炸性混合物，遇明火、高热能引起燃烧爆炸。与氧化剂能发生强烈反应。其蒸汽比空气重，能在较低处扩散到相当远的地方，遇火源引着回燃。若遇高热，容器内压增大，有开裂和爆炸的危险。流速过快，容易产生和积聚静电</w:t>
                  </w:r>
                  <w:r>
                    <w:rPr>
                      <w:rFonts w:hint="eastAsia" w:ascii="宋体" w:hAnsi="宋体" w:eastAsia="宋体" w:cs="宋体"/>
                      <w:color w:val="auto"/>
                      <w:sz w:val="21"/>
                      <w:szCs w:val="21"/>
                      <w:lang w:eastAsia="zh-CN"/>
                    </w:rPr>
                    <w:t>。</w:t>
                  </w:r>
                </w:p>
              </w:tc>
            </w:tr>
            <w:tr w14:paraId="2D60D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23" w:type="dxa"/>
                  <w:tcBorders>
                    <w:tl2br w:val="nil"/>
                    <w:tr2bl w:val="nil"/>
                  </w:tcBorders>
                  <w:noWrap w:val="0"/>
                  <w:vAlign w:val="center"/>
                </w:tcPr>
                <w:p w14:paraId="3FAA97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储存注意</w:t>
                  </w:r>
                </w:p>
              </w:tc>
              <w:tc>
                <w:tcPr>
                  <w:tcW w:w="6754" w:type="dxa"/>
                  <w:gridSpan w:val="4"/>
                  <w:tcBorders>
                    <w:tl2br w:val="nil"/>
                    <w:tr2bl w:val="nil"/>
                  </w:tcBorders>
                  <w:noWrap w:val="0"/>
                  <w:vAlign w:val="center"/>
                </w:tcPr>
                <w:p w14:paraId="749DB1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sz w:val="21"/>
                      <w:szCs w:val="21"/>
                      <w:lang w:eastAsia="zh-CN"/>
                    </w:rPr>
                  </w:pPr>
                  <w:r>
                    <w:rPr>
                      <w:rFonts w:ascii="宋体" w:hAnsi="宋体" w:eastAsia="宋体" w:cs="宋体"/>
                      <w:color w:val="auto"/>
                      <w:sz w:val="21"/>
                      <w:szCs w:val="21"/>
                      <w:shd w:val="clear" w:fill="FFFFFF"/>
                    </w:rPr>
                    <w:t>贮于低温通风处，远离火种、热源。避免与氧化剂等共储混运。禁止使用易产生火花的工具</w:t>
                  </w:r>
                  <w:r>
                    <w:rPr>
                      <w:rFonts w:hint="eastAsia" w:ascii="宋体" w:hAnsi="宋体" w:eastAsia="宋体" w:cs="宋体"/>
                      <w:color w:val="auto"/>
                      <w:sz w:val="21"/>
                      <w:szCs w:val="21"/>
                      <w:shd w:val="clear" w:fill="FFFFFF"/>
                      <w:lang w:eastAsia="zh-CN"/>
                    </w:rPr>
                    <w:t>。</w:t>
                  </w:r>
                </w:p>
              </w:tc>
            </w:tr>
            <w:tr w14:paraId="3C480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23" w:type="dxa"/>
                  <w:tcBorders>
                    <w:tl2br w:val="nil"/>
                    <w:tr2bl w:val="nil"/>
                  </w:tcBorders>
                  <w:noWrap w:val="0"/>
                  <w:vAlign w:val="center"/>
                </w:tcPr>
                <w:p w14:paraId="76EB80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侵入途径</w:t>
                  </w:r>
                </w:p>
              </w:tc>
              <w:tc>
                <w:tcPr>
                  <w:tcW w:w="6754" w:type="dxa"/>
                  <w:gridSpan w:val="4"/>
                  <w:tcBorders>
                    <w:tl2br w:val="nil"/>
                    <w:tr2bl w:val="nil"/>
                  </w:tcBorders>
                  <w:noWrap w:val="0"/>
                  <w:vAlign w:val="center"/>
                </w:tcPr>
                <w:p w14:paraId="30A6F49C">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auto"/>
                      <w:sz w:val="21"/>
                      <w:szCs w:val="21"/>
                      <w:shd w:val="clear" w:fill="FFFFFF"/>
                    </w:rPr>
                  </w:pPr>
                  <w:r>
                    <w:rPr>
                      <w:rFonts w:ascii="宋体" w:hAnsi="宋体" w:eastAsia="宋体" w:cs="宋体"/>
                      <w:color w:val="auto"/>
                      <w:sz w:val="21"/>
                      <w:szCs w:val="21"/>
                      <w:shd w:val="clear" w:fill="FFFFFF"/>
                    </w:rPr>
                    <w:t>通过吸入、食入、经皮吸收到体内</w:t>
                  </w:r>
                </w:p>
              </w:tc>
            </w:tr>
            <w:tr w14:paraId="4998E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523" w:type="dxa"/>
                  <w:tcBorders>
                    <w:tl2br w:val="nil"/>
                    <w:tr2bl w:val="nil"/>
                  </w:tcBorders>
                  <w:noWrap w:val="0"/>
                  <w:vAlign w:val="center"/>
                </w:tcPr>
                <w:p w14:paraId="3C864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754" w:type="dxa"/>
                  <w:gridSpan w:val="4"/>
                  <w:tcBorders>
                    <w:tl2br w:val="nil"/>
                    <w:tr2bl w:val="nil"/>
                  </w:tcBorders>
                  <w:noWrap w:val="0"/>
                  <w:vAlign w:val="center"/>
                </w:tcPr>
                <w:p w14:paraId="11DA176B">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color w:val="auto"/>
                    </w:rPr>
                  </w:pPr>
                  <w:r>
                    <w:rPr>
                      <w:color w:val="auto"/>
                    </w:rPr>
                    <w:t>皮肤接触：脱去被污染的衣着，用肥皂水和清水彻底冲洗皮肤。</w:t>
                  </w:r>
                </w:p>
                <w:p w14:paraId="7704A36E">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color w:val="auto"/>
                    </w:rPr>
                  </w:pPr>
                  <w:r>
                    <w:rPr>
                      <w:color w:val="auto"/>
                    </w:rPr>
                    <w:t>眼睛接触：提起眼睑，用流动清水冲洗。就医。</w:t>
                  </w:r>
                </w:p>
                <w:p w14:paraId="32C9FC46">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color w:val="auto"/>
                    </w:rPr>
                  </w:pPr>
                  <w:r>
                    <w:rPr>
                      <w:color w:val="auto"/>
                    </w:rPr>
                    <w:t>吸入：迅速脱离现场至空气新鲜处。保持呼吸道通畅。如呼吸困难，给输氧。如呼吸停止，立即进行人工呼吸。就医。</w:t>
                  </w:r>
                </w:p>
                <w:p w14:paraId="496CA920">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Times New Roman" w:hAnsi="Times New Roman" w:eastAsia="宋体" w:cs="Times New Roman"/>
                      <w:color w:val="auto"/>
                      <w:szCs w:val="21"/>
                      <w:highlight w:val="none"/>
                      <w:shd w:val="clear" w:color="auto" w:fill="auto"/>
                      <w:lang w:val="en-US" w:eastAsia="zh-CN"/>
                    </w:rPr>
                  </w:pPr>
                  <w:r>
                    <w:rPr>
                      <w:color w:val="auto"/>
                    </w:rPr>
                    <w:t>食入：饮足量水，催吐。就医</w:t>
                  </w:r>
                  <w:r>
                    <w:rPr>
                      <w:rFonts w:hint="eastAsia"/>
                      <w:color w:val="auto"/>
                      <w:lang w:val="en-US" w:eastAsia="zh-CN"/>
                    </w:rPr>
                    <w:t>。</w:t>
                  </w:r>
                </w:p>
              </w:tc>
            </w:tr>
            <w:tr w14:paraId="765A8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1523" w:type="dxa"/>
                  <w:tcBorders>
                    <w:tl2br w:val="nil"/>
                    <w:tr2bl w:val="nil"/>
                  </w:tcBorders>
                  <w:noWrap w:val="0"/>
                  <w:vAlign w:val="center"/>
                </w:tcPr>
                <w:p w14:paraId="44BC3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泄漏应急处置</w:t>
                  </w:r>
                </w:p>
              </w:tc>
              <w:tc>
                <w:tcPr>
                  <w:tcW w:w="6754" w:type="dxa"/>
                  <w:gridSpan w:val="4"/>
                  <w:tcBorders>
                    <w:tl2br w:val="nil"/>
                    <w:tr2bl w:val="nil"/>
                  </w:tcBorders>
                  <w:noWrap w:val="0"/>
                  <w:vAlign w:val="center"/>
                </w:tcPr>
                <w:p w14:paraId="08F0034F">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eastAsia="宋体"/>
                      <w:color w:val="auto"/>
                      <w:lang w:eastAsia="zh-CN"/>
                    </w:rPr>
                  </w:pPr>
                  <w:r>
                    <w:rPr>
                      <w:rFonts w:ascii="宋体" w:hAnsi="宋体" w:eastAsia="宋体" w:cs="宋体"/>
                      <w:color w:val="auto"/>
                      <w:sz w:val="21"/>
                      <w:szCs w:val="21"/>
                      <w:shd w:val="clear" w:fill="FFFFFF"/>
                    </w:rPr>
                    <w:t>迅速撤离泄漏污染区人员至安全区，并进行隔离，严格限制出入。切断火源。建议应急处理人员戴自给正压式呼吸器，穿消防防护服。尽可能切断泄漏源，防止进入下水道、排洪沟等限制性空间</w:t>
                  </w:r>
                  <w:r>
                    <w:rPr>
                      <w:rFonts w:hint="eastAsia" w:ascii="宋体" w:hAnsi="宋体" w:eastAsia="宋体" w:cs="宋体"/>
                      <w:color w:val="auto"/>
                      <w:sz w:val="21"/>
                      <w:szCs w:val="21"/>
                      <w:shd w:val="clear" w:fill="FFFFFF"/>
                      <w:lang w:eastAsia="zh-CN"/>
                    </w:rPr>
                    <w:t>。</w:t>
                  </w:r>
                </w:p>
              </w:tc>
            </w:tr>
          </w:tbl>
          <w:p w14:paraId="7931E285">
            <w:pPr>
              <w:pStyle w:val="33"/>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表66  正丁醇理化性质及危险性识别一览表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010"/>
              <w:gridCol w:w="1175"/>
              <w:gridCol w:w="2792"/>
              <w:gridCol w:w="1870"/>
            </w:tblGrid>
            <w:tr w14:paraId="227DA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523" w:type="dxa"/>
                  <w:tcBorders>
                    <w:tl2br w:val="nil"/>
                    <w:tr2bl w:val="nil"/>
                  </w:tcBorders>
                  <w:noWrap w:val="0"/>
                  <w:vAlign w:val="center"/>
                </w:tcPr>
                <w:p w14:paraId="6B0CE6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996" w:type="dxa"/>
                  <w:tcBorders>
                    <w:tl2br w:val="nil"/>
                    <w:tr2bl w:val="nil"/>
                  </w:tcBorders>
                  <w:noWrap w:val="0"/>
                  <w:vAlign w:val="center"/>
                </w:tcPr>
                <w:p w14:paraId="4660BA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159" w:type="dxa"/>
                  <w:tcBorders>
                    <w:tl2br w:val="nil"/>
                    <w:tr2bl w:val="nil"/>
                  </w:tcBorders>
                  <w:noWrap w:val="0"/>
                  <w:vAlign w:val="center"/>
                </w:tcPr>
                <w:p w14:paraId="7689F4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2754" w:type="dxa"/>
                  <w:tcBorders>
                    <w:tl2br w:val="nil"/>
                    <w:tr2bl w:val="nil"/>
                  </w:tcBorders>
                  <w:noWrap w:val="0"/>
                  <w:vAlign w:val="center"/>
                </w:tcPr>
                <w:p w14:paraId="1D046B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危险性类别</w:t>
                  </w:r>
                </w:p>
              </w:tc>
              <w:tc>
                <w:tcPr>
                  <w:tcW w:w="1845" w:type="dxa"/>
                  <w:tcBorders>
                    <w:tl2br w:val="nil"/>
                    <w:tr2bl w:val="nil"/>
                  </w:tcBorders>
                  <w:noWrap w:val="0"/>
                  <w:vAlign w:val="center"/>
                </w:tcPr>
                <w:p w14:paraId="3DB86B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熔点</w:t>
                  </w:r>
                </w:p>
              </w:tc>
            </w:tr>
            <w:tr w14:paraId="50D03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1523" w:type="dxa"/>
                  <w:tcBorders>
                    <w:tl2br w:val="nil"/>
                    <w:tr2bl w:val="nil"/>
                  </w:tcBorders>
                  <w:noWrap w:val="0"/>
                  <w:vAlign w:val="center"/>
                </w:tcPr>
                <w:p w14:paraId="7A43F5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丁醇；正丁醇</w:t>
                  </w:r>
                </w:p>
              </w:tc>
              <w:tc>
                <w:tcPr>
                  <w:tcW w:w="996" w:type="dxa"/>
                  <w:tcBorders>
                    <w:tl2br w:val="nil"/>
                    <w:tr2bl w:val="nil"/>
                  </w:tcBorders>
                  <w:noWrap w:val="0"/>
                  <w:vAlign w:val="center"/>
                </w:tcPr>
                <w:p w14:paraId="3A46CC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w:t>
                  </w:r>
                  <w:r>
                    <w:rPr>
                      <w:rFonts w:hint="eastAsia" w:cs="Times New Roman"/>
                      <w:color w:val="auto"/>
                      <w:sz w:val="21"/>
                      <w:szCs w:val="21"/>
                      <w:highlight w:val="none"/>
                      <w:shd w:val="clear" w:color="auto" w:fill="auto"/>
                      <w:vertAlign w:val="subscript"/>
                      <w:lang w:val="en-US" w:eastAsia="zh-CN"/>
                    </w:rPr>
                    <w:t>4</w:t>
                  </w: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10</w:t>
                  </w:r>
                  <w:r>
                    <w:rPr>
                      <w:rFonts w:hint="eastAsia" w:cs="Times New Roman"/>
                      <w:color w:val="auto"/>
                      <w:sz w:val="21"/>
                      <w:szCs w:val="21"/>
                      <w:highlight w:val="none"/>
                      <w:shd w:val="clear" w:color="auto" w:fill="auto"/>
                      <w:vertAlign w:val="baseline"/>
                      <w:lang w:val="en-US" w:eastAsia="zh-CN"/>
                    </w:rPr>
                    <w:t>O</w:t>
                  </w:r>
                </w:p>
              </w:tc>
              <w:tc>
                <w:tcPr>
                  <w:tcW w:w="1159" w:type="dxa"/>
                  <w:tcBorders>
                    <w:tl2br w:val="nil"/>
                    <w:tr2bl w:val="nil"/>
                  </w:tcBorders>
                  <w:noWrap w:val="0"/>
                  <w:vAlign w:val="center"/>
                </w:tcPr>
                <w:p w14:paraId="09265C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74.12</w:t>
                  </w:r>
                </w:p>
              </w:tc>
              <w:tc>
                <w:tcPr>
                  <w:tcW w:w="2754" w:type="dxa"/>
                  <w:tcBorders>
                    <w:tl2br w:val="nil"/>
                    <w:tr2bl w:val="nil"/>
                  </w:tcBorders>
                  <w:noWrap w:val="0"/>
                  <w:vAlign w:val="center"/>
                </w:tcPr>
                <w:p w14:paraId="4B86CD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易燃液体</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类别3</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皮肤腐蚀/刺激</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类别2</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严重眼损伤/眼刺激</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类别1</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特异性靶器官毒性-一次接触</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类别3（呼吸道刺激、麻醉效应</w:t>
                  </w:r>
                  <w:r>
                    <w:rPr>
                      <w:rFonts w:hint="eastAsia" w:cs="Times New Roman"/>
                      <w:color w:val="auto"/>
                      <w:sz w:val="21"/>
                      <w:szCs w:val="21"/>
                      <w:highlight w:val="none"/>
                      <w:shd w:val="clear" w:color="auto" w:fill="auto"/>
                      <w:lang w:val="en-US" w:eastAsia="zh-CN"/>
                    </w:rPr>
                    <w:t>）</w:t>
                  </w:r>
                </w:p>
              </w:tc>
              <w:tc>
                <w:tcPr>
                  <w:tcW w:w="1845" w:type="dxa"/>
                  <w:tcBorders>
                    <w:tl2br w:val="nil"/>
                    <w:tr2bl w:val="nil"/>
                  </w:tcBorders>
                  <w:noWrap w:val="0"/>
                  <w:vAlign w:val="center"/>
                </w:tcPr>
                <w:p w14:paraId="3245F8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-88.9</w:t>
                  </w:r>
                  <w:r>
                    <w:rPr>
                      <w:rFonts w:hint="default" w:ascii="Times New Roman" w:hAnsi="Times New Roman" w:eastAsia="宋体" w:cs="Times New Roman"/>
                      <w:color w:val="auto"/>
                      <w:sz w:val="21"/>
                      <w:szCs w:val="21"/>
                      <w:highlight w:val="none"/>
                      <w:shd w:val="clear" w:color="auto" w:fill="auto"/>
                      <w:lang w:val="en-US" w:eastAsia="zh-CN"/>
                    </w:rPr>
                    <w:t>℃</w:t>
                  </w:r>
                </w:p>
              </w:tc>
            </w:tr>
            <w:tr w14:paraId="0884E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523" w:type="dxa"/>
                  <w:tcBorders>
                    <w:tl2br w:val="nil"/>
                    <w:tr2bl w:val="nil"/>
                  </w:tcBorders>
                  <w:noWrap w:val="0"/>
                  <w:vAlign w:val="center"/>
                </w:tcPr>
                <w:p w14:paraId="521018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相对空气密度（空气=1）</w:t>
                  </w:r>
                </w:p>
              </w:tc>
              <w:tc>
                <w:tcPr>
                  <w:tcW w:w="996" w:type="dxa"/>
                  <w:tcBorders>
                    <w:tl2br w:val="nil"/>
                    <w:tr2bl w:val="nil"/>
                  </w:tcBorders>
                  <w:noWrap w:val="0"/>
                  <w:vAlign w:val="center"/>
                </w:tcPr>
                <w:p w14:paraId="293646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沸点</w:t>
                  </w:r>
                </w:p>
              </w:tc>
              <w:tc>
                <w:tcPr>
                  <w:tcW w:w="1159" w:type="dxa"/>
                  <w:tcBorders>
                    <w:tl2br w:val="nil"/>
                    <w:tr2bl w:val="nil"/>
                  </w:tcBorders>
                  <w:noWrap w:val="0"/>
                  <w:vAlign w:val="center"/>
                </w:tcPr>
                <w:p w14:paraId="757F94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临界温度</w:t>
                  </w:r>
                </w:p>
              </w:tc>
              <w:tc>
                <w:tcPr>
                  <w:tcW w:w="2754" w:type="dxa"/>
                  <w:tcBorders>
                    <w:tl2br w:val="nil"/>
                    <w:tr2bl w:val="nil"/>
                  </w:tcBorders>
                  <w:noWrap w:val="0"/>
                  <w:vAlign w:val="center"/>
                </w:tcPr>
                <w:p w14:paraId="2E8B1A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w:t>
                  </w:r>
                  <w:r>
                    <w:rPr>
                      <w:rFonts w:hint="eastAsia" w:ascii="Times New Roman" w:hAnsi="Times New Roman" w:eastAsia="宋体" w:cs="Times New Roman"/>
                      <w:color w:val="auto"/>
                      <w:sz w:val="21"/>
                      <w:szCs w:val="21"/>
                      <w:highlight w:val="none"/>
                      <w:shd w:val="clear" w:color="auto" w:fill="auto"/>
                      <w:lang w:val="en-US" w:eastAsia="zh-CN"/>
                    </w:rPr>
                    <w:t>密度（水=1）</w:t>
                  </w:r>
                </w:p>
              </w:tc>
              <w:tc>
                <w:tcPr>
                  <w:tcW w:w="1845" w:type="dxa"/>
                  <w:tcBorders>
                    <w:tl2br w:val="nil"/>
                    <w:tr2bl w:val="nil"/>
                  </w:tcBorders>
                  <w:noWrap w:val="0"/>
                  <w:vAlign w:val="center"/>
                </w:tcPr>
                <w:p w14:paraId="47E6F0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饱和蒸气压</w:t>
                  </w:r>
                </w:p>
              </w:tc>
            </w:tr>
            <w:tr w14:paraId="64454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523" w:type="dxa"/>
                  <w:tcBorders>
                    <w:tl2br w:val="nil"/>
                    <w:tr2bl w:val="nil"/>
                  </w:tcBorders>
                  <w:noWrap w:val="0"/>
                  <w:vAlign w:val="center"/>
                </w:tcPr>
                <w:p w14:paraId="457446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2.55</w:t>
                  </w:r>
                </w:p>
              </w:tc>
              <w:tc>
                <w:tcPr>
                  <w:tcW w:w="996" w:type="dxa"/>
                  <w:tcBorders>
                    <w:tl2br w:val="nil"/>
                    <w:tr2bl w:val="nil"/>
                  </w:tcBorders>
                  <w:noWrap w:val="0"/>
                  <w:vAlign w:val="center"/>
                </w:tcPr>
                <w:p w14:paraId="2BB63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117.5</w:t>
                  </w:r>
                  <w:r>
                    <w:rPr>
                      <w:rFonts w:hint="default" w:ascii="Times New Roman" w:hAnsi="Times New Roman" w:cs="Times New Roman"/>
                      <w:color w:val="auto"/>
                      <w:sz w:val="21"/>
                      <w:szCs w:val="21"/>
                      <w:highlight w:val="none"/>
                      <w:shd w:val="clear" w:color="auto" w:fill="auto"/>
                      <w:lang w:val="en-US" w:eastAsia="zh-CN"/>
                    </w:rPr>
                    <w:t>℃</w:t>
                  </w:r>
                </w:p>
              </w:tc>
              <w:tc>
                <w:tcPr>
                  <w:tcW w:w="1159" w:type="dxa"/>
                  <w:tcBorders>
                    <w:tl2br w:val="nil"/>
                    <w:tr2bl w:val="nil"/>
                  </w:tcBorders>
                  <w:noWrap w:val="0"/>
                  <w:vAlign w:val="center"/>
                </w:tcPr>
                <w:p w14:paraId="77C9BB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287</w:t>
                  </w:r>
                  <w:r>
                    <w:rPr>
                      <w:rFonts w:hint="default" w:ascii="Times New Roman" w:hAnsi="Times New Roman" w:cs="Times New Roman"/>
                      <w:color w:val="auto"/>
                      <w:sz w:val="21"/>
                      <w:szCs w:val="21"/>
                      <w:highlight w:val="none"/>
                      <w:shd w:val="clear" w:color="auto" w:fill="auto"/>
                      <w:lang w:val="en-US" w:eastAsia="zh-CN"/>
                    </w:rPr>
                    <w:t>℃</w:t>
                  </w:r>
                </w:p>
              </w:tc>
              <w:tc>
                <w:tcPr>
                  <w:tcW w:w="2754" w:type="dxa"/>
                  <w:tcBorders>
                    <w:tl2br w:val="nil"/>
                    <w:tr2bl w:val="nil"/>
                  </w:tcBorders>
                  <w:noWrap w:val="0"/>
                  <w:vAlign w:val="center"/>
                </w:tcPr>
                <w:p w14:paraId="07DB47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0.81</w:t>
                  </w:r>
                </w:p>
              </w:tc>
              <w:tc>
                <w:tcPr>
                  <w:tcW w:w="1845" w:type="dxa"/>
                  <w:tcBorders>
                    <w:tl2br w:val="nil"/>
                    <w:tr2bl w:val="nil"/>
                  </w:tcBorders>
                  <w:noWrap w:val="0"/>
                  <w:vAlign w:val="center"/>
                </w:tcPr>
                <w:p w14:paraId="1A84D5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0.82（25</w:t>
                  </w:r>
                  <w:r>
                    <w:rPr>
                      <w:rFonts w:hint="default" w:ascii="Times New Roman" w:hAnsi="Times New Roman"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）kPa</w:t>
                  </w:r>
                </w:p>
              </w:tc>
            </w:tr>
            <w:tr w14:paraId="22702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23" w:type="dxa"/>
                  <w:tcBorders>
                    <w:tl2br w:val="nil"/>
                    <w:tr2bl w:val="nil"/>
                  </w:tcBorders>
                  <w:noWrap w:val="0"/>
                  <w:vAlign w:val="center"/>
                </w:tcPr>
                <w:p w14:paraId="2219B4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燃烧性</w:t>
                  </w:r>
                </w:p>
              </w:tc>
              <w:tc>
                <w:tcPr>
                  <w:tcW w:w="2155" w:type="dxa"/>
                  <w:gridSpan w:val="2"/>
                  <w:tcBorders>
                    <w:tl2br w:val="nil"/>
                    <w:tr2bl w:val="nil"/>
                  </w:tcBorders>
                  <w:noWrap w:val="0"/>
                  <w:vAlign w:val="center"/>
                </w:tcPr>
                <w:p w14:paraId="3BE651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闪点</w:t>
                  </w:r>
                </w:p>
              </w:tc>
              <w:tc>
                <w:tcPr>
                  <w:tcW w:w="2754" w:type="dxa"/>
                  <w:tcBorders>
                    <w:tl2br w:val="nil"/>
                    <w:tr2bl w:val="nil"/>
                  </w:tcBorders>
                  <w:noWrap w:val="0"/>
                  <w:vAlign w:val="center"/>
                </w:tcPr>
                <w:p w14:paraId="7ABB4D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自燃温度</w:t>
                  </w:r>
                </w:p>
              </w:tc>
              <w:tc>
                <w:tcPr>
                  <w:tcW w:w="1845" w:type="dxa"/>
                  <w:tcBorders>
                    <w:tl2br w:val="nil"/>
                    <w:tr2bl w:val="nil"/>
                  </w:tcBorders>
                  <w:noWrap w:val="0"/>
                  <w:vAlign w:val="center"/>
                </w:tcPr>
                <w:p w14:paraId="536C30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爆炸极限（V%）</w:t>
                  </w:r>
                </w:p>
              </w:tc>
            </w:tr>
            <w:tr w14:paraId="62E7C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523" w:type="dxa"/>
                  <w:tcBorders>
                    <w:tl2br w:val="nil"/>
                    <w:tr2bl w:val="nil"/>
                  </w:tcBorders>
                  <w:noWrap w:val="0"/>
                  <w:vAlign w:val="center"/>
                </w:tcPr>
                <w:p w14:paraId="67684D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易燃</w:t>
                  </w:r>
                </w:p>
              </w:tc>
              <w:tc>
                <w:tcPr>
                  <w:tcW w:w="2155" w:type="dxa"/>
                  <w:gridSpan w:val="2"/>
                  <w:tcBorders>
                    <w:tl2br w:val="nil"/>
                    <w:tr2bl w:val="nil"/>
                  </w:tcBorders>
                  <w:noWrap w:val="0"/>
                  <w:vAlign w:val="center"/>
                </w:tcPr>
                <w:p w14:paraId="054DD2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35</w:t>
                  </w:r>
                  <w:r>
                    <w:rPr>
                      <w:rFonts w:hint="default" w:ascii="Times New Roman" w:hAnsi="Times New Roman" w:cs="Times New Roman"/>
                      <w:color w:val="auto"/>
                      <w:sz w:val="21"/>
                      <w:szCs w:val="21"/>
                      <w:highlight w:val="none"/>
                      <w:shd w:val="clear" w:color="auto" w:fill="auto"/>
                      <w:lang w:val="en-US" w:eastAsia="zh-CN"/>
                    </w:rPr>
                    <w:t>℃</w:t>
                  </w:r>
                </w:p>
              </w:tc>
              <w:tc>
                <w:tcPr>
                  <w:tcW w:w="2754" w:type="dxa"/>
                  <w:tcBorders>
                    <w:tl2br w:val="nil"/>
                    <w:tr2bl w:val="nil"/>
                  </w:tcBorders>
                  <w:noWrap w:val="0"/>
                  <w:vAlign w:val="center"/>
                </w:tcPr>
                <w:p w14:paraId="1FF4C3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340</w:t>
                  </w:r>
                  <w:r>
                    <w:rPr>
                      <w:rFonts w:hint="default" w:ascii="Times New Roman" w:hAnsi="Times New Roman" w:cs="Times New Roman"/>
                      <w:color w:val="auto"/>
                      <w:sz w:val="21"/>
                      <w:szCs w:val="21"/>
                      <w:highlight w:val="none"/>
                      <w:shd w:val="clear" w:color="auto" w:fill="auto"/>
                      <w:lang w:val="en-US" w:eastAsia="zh-CN"/>
                    </w:rPr>
                    <w:t>℃</w:t>
                  </w:r>
                </w:p>
              </w:tc>
              <w:tc>
                <w:tcPr>
                  <w:tcW w:w="1845" w:type="dxa"/>
                  <w:tcBorders>
                    <w:tl2br w:val="nil"/>
                    <w:tr2bl w:val="nil"/>
                  </w:tcBorders>
                  <w:noWrap w:val="0"/>
                  <w:vAlign w:val="center"/>
                </w:tcPr>
                <w:p w14:paraId="7AAA12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下限1.4，上限11.2</w:t>
                  </w:r>
                </w:p>
              </w:tc>
            </w:tr>
            <w:tr w14:paraId="283CF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23" w:type="dxa"/>
                  <w:tcBorders>
                    <w:tl2br w:val="nil"/>
                    <w:tr2bl w:val="nil"/>
                  </w:tcBorders>
                  <w:noWrap w:val="0"/>
                  <w:vAlign w:val="center"/>
                </w:tcPr>
                <w:p w14:paraId="471CAE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性</w:t>
                  </w:r>
                  <w:r>
                    <w:rPr>
                      <w:rFonts w:hint="eastAsia" w:ascii="Times New Roman" w:hAnsi="Times New Roman" w:eastAsia="宋体" w:cs="Times New Roman"/>
                      <w:color w:val="auto"/>
                      <w:sz w:val="21"/>
                      <w:szCs w:val="21"/>
                      <w:highlight w:val="none"/>
                      <w:shd w:val="clear" w:color="auto" w:fill="auto"/>
                      <w:lang w:val="en-US" w:eastAsia="zh-CN"/>
                    </w:rPr>
                    <w:t>状和溶解性</w:t>
                  </w:r>
                </w:p>
              </w:tc>
              <w:tc>
                <w:tcPr>
                  <w:tcW w:w="6754" w:type="dxa"/>
                  <w:gridSpan w:val="4"/>
                  <w:tcBorders>
                    <w:tl2br w:val="nil"/>
                    <w:tr2bl w:val="nil"/>
                  </w:tcBorders>
                  <w:noWrap w:val="0"/>
                  <w:vAlign w:val="center"/>
                </w:tcPr>
                <w:p w14:paraId="3CA80B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无色透明液体，具有特殊气味。微溶于水，溶于乙醇、醚、多数有机溶剂</w:t>
                  </w:r>
                  <w:r>
                    <w:rPr>
                      <w:color w:val="auto"/>
                      <w:sz w:val="21"/>
                      <w:szCs w:val="21"/>
                    </w:rPr>
                    <w:t>。</w:t>
                  </w:r>
                </w:p>
              </w:tc>
            </w:tr>
            <w:tr w14:paraId="7735A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523" w:type="dxa"/>
                  <w:tcBorders>
                    <w:tl2br w:val="nil"/>
                    <w:tr2bl w:val="nil"/>
                  </w:tcBorders>
                  <w:noWrap w:val="0"/>
                  <w:vAlign w:val="center"/>
                </w:tcPr>
                <w:p w14:paraId="6E7433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危险特性</w:t>
                  </w:r>
                </w:p>
              </w:tc>
              <w:tc>
                <w:tcPr>
                  <w:tcW w:w="6754" w:type="dxa"/>
                  <w:gridSpan w:val="4"/>
                  <w:tcBorders>
                    <w:tl2br w:val="nil"/>
                    <w:tr2bl w:val="nil"/>
                  </w:tcBorders>
                  <w:noWrap w:val="0"/>
                  <w:vAlign w:val="center"/>
                </w:tcPr>
                <w:p w14:paraId="74DB5B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宋体" w:hAnsi="宋体" w:eastAsia="宋体" w:cs="宋体"/>
                      <w:color w:val="auto"/>
                      <w:sz w:val="21"/>
                      <w:szCs w:val="21"/>
                      <w:lang w:eastAsia="zh-CN"/>
                    </w:rPr>
                    <w:t>其蒸气与空气形成爆炸性混合物，遇明火、高热能引起燃烧爆炸。与氧化剂能发生强烈反应。若遇高热，容器内压增大，有开裂和爆炸的危险。</w:t>
                  </w:r>
                </w:p>
              </w:tc>
            </w:tr>
            <w:tr w14:paraId="41307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23" w:type="dxa"/>
                  <w:tcBorders>
                    <w:tl2br w:val="nil"/>
                    <w:tr2bl w:val="nil"/>
                  </w:tcBorders>
                  <w:noWrap w:val="0"/>
                  <w:vAlign w:val="center"/>
                </w:tcPr>
                <w:p w14:paraId="77A67F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储存注意</w:t>
                  </w:r>
                </w:p>
              </w:tc>
              <w:tc>
                <w:tcPr>
                  <w:tcW w:w="6754" w:type="dxa"/>
                  <w:gridSpan w:val="4"/>
                  <w:tcBorders>
                    <w:tl2br w:val="nil"/>
                    <w:tr2bl w:val="nil"/>
                  </w:tcBorders>
                  <w:noWrap w:val="0"/>
                  <w:vAlign w:val="center"/>
                </w:tcPr>
                <w:p w14:paraId="10326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shd w:val="clear" w:fill="FFFFFF"/>
                      <w:lang w:eastAsia="zh-CN"/>
                    </w:rPr>
                    <w:t>储存于阴凉、通风仓间内。远离火种、热源。仓温不宜超过30℃。防止阳光直射。保持容器密封。应与氧化剂分开存放。储存间内的照明、通风等设施应采用防爆型，开关设在仓外。配备相应品种和数量的消防器材。罐储时要有防火防爆技术措施。禁止使用易产生火花的机械设备和工具。充装要控制流速，注意防止静电积聚。搬运时要轻装轻卸，防止包装及容器损坏。</w:t>
                  </w:r>
                </w:p>
              </w:tc>
            </w:tr>
            <w:tr w14:paraId="2CC81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23" w:type="dxa"/>
                  <w:tcBorders>
                    <w:tl2br w:val="nil"/>
                    <w:tr2bl w:val="nil"/>
                  </w:tcBorders>
                  <w:noWrap w:val="0"/>
                  <w:vAlign w:val="center"/>
                </w:tcPr>
                <w:p w14:paraId="40FDEC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侵入途径</w:t>
                  </w:r>
                </w:p>
              </w:tc>
              <w:tc>
                <w:tcPr>
                  <w:tcW w:w="6754" w:type="dxa"/>
                  <w:gridSpan w:val="4"/>
                  <w:tcBorders>
                    <w:tl2br w:val="nil"/>
                    <w:tr2bl w:val="nil"/>
                  </w:tcBorders>
                  <w:noWrap w:val="0"/>
                  <w:vAlign w:val="center"/>
                </w:tcPr>
                <w:p w14:paraId="608F7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shd w:val="clear" w:fill="FFFFFF"/>
                      <w:lang w:eastAsia="zh-CN"/>
                    </w:rPr>
                  </w:pPr>
                  <w:r>
                    <w:rPr>
                      <w:rFonts w:hint="default" w:ascii="Times New Roman" w:hAnsi="Times New Roman" w:eastAsia="宋体" w:cs="Times New Roman"/>
                      <w:color w:val="auto"/>
                      <w:sz w:val="21"/>
                      <w:szCs w:val="21"/>
                      <w:shd w:val="clear" w:fill="FFFFFF"/>
                      <w:lang w:eastAsia="zh-CN"/>
                    </w:rPr>
                    <w:t>吸入</w:t>
                  </w:r>
                  <w:r>
                    <w:rPr>
                      <w:rFonts w:hint="eastAsia" w:ascii="Times New Roman" w:hAnsi="Times New Roman" w:cs="Times New Roman"/>
                      <w:color w:val="auto"/>
                      <w:sz w:val="21"/>
                      <w:szCs w:val="21"/>
                      <w:shd w:val="clear" w:fill="FFFFFF"/>
                      <w:lang w:eastAsia="zh-CN"/>
                    </w:rPr>
                    <w:t>、</w:t>
                  </w:r>
                  <w:r>
                    <w:rPr>
                      <w:rFonts w:hint="default" w:ascii="Times New Roman" w:hAnsi="Times New Roman" w:eastAsia="宋体" w:cs="Times New Roman"/>
                      <w:color w:val="auto"/>
                      <w:sz w:val="21"/>
                      <w:szCs w:val="21"/>
                      <w:shd w:val="clear" w:fill="FFFFFF"/>
                      <w:lang w:eastAsia="zh-CN"/>
                    </w:rPr>
                    <w:t>食入</w:t>
                  </w:r>
                  <w:r>
                    <w:rPr>
                      <w:rFonts w:hint="eastAsia" w:ascii="Times New Roman" w:hAnsi="Times New Roman" w:cs="Times New Roman"/>
                      <w:color w:val="auto"/>
                      <w:sz w:val="21"/>
                      <w:szCs w:val="21"/>
                      <w:shd w:val="clear" w:fill="FFFFFF"/>
                      <w:lang w:eastAsia="zh-CN"/>
                    </w:rPr>
                    <w:t>、</w:t>
                  </w:r>
                  <w:r>
                    <w:rPr>
                      <w:rFonts w:hint="default" w:ascii="Times New Roman" w:hAnsi="Times New Roman" w:eastAsia="宋体" w:cs="Times New Roman"/>
                      <w:color w:val="auto"/>
                      <w:sz w:val="21"/>
                      <w:szCs w:val="21"/>
                      <w:shd w:val="clear" w:fill="FFFFFF"/>
                      <w:lang w:eastAsia="zh-CN"/>
                    </w:rPr>
                    <w:t>经皮吸收</w:t>
                  </w:r>
                </w:p>
              </w:tc>
            </w:tr>
            <w:tr w14:paraId="7F39C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23" w:type="dxa"/>
                  <w:tcBorders>
                    <w:tl2br w:val="nil"/>
                    <w:tr2bl w:val="nil"/>
                  </w:tcBorders>
                  <w:noWrap w:val="0"/>
                  <w:vAlign w:val="center"/>
                </w:tcPr>
                <w:p w14:paraId="3A25E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754" w:type="dxa"/>
                  <w:gridSpan w:val="4"/>
                  <w:tcBorders>
                    <w:tl2br w:val="nil"/>
                    <w:tr2bl w:val="nil"/>
                  </w:tcBorders>
                  <w:noWrap w:val="0"/>
                  <w:vAlign w:val="center"/>
                </w:tcPr>
                <w:p w14:paraId="165E8A5F">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color w:val="auto"/>
                    </w:rPr>
                  </w:pPr>
                  <w:r>
                    <w:rPr>
                      <w:color w:val="auto"/>
                    </w:rPr>
                    <w:t>皮肤接触：脱去被污染的衣着，用肥皂水和清水彻底冲洗皮肤。</w:t>
                  </w:r>
                </w:p>
                <w:p w14:paraId="6AC85C19">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color w:val="auto"/>
                    </w:rPr>
                  </w:pPr>
                  <w:r>
                    <w:rPr>
                      <w:color w:val="auto"/>
                    </w:rPr>
                    <w:t>眼睛接触：提起眼睑，用流动清水冲洗。就医。</w:t>
                  </w:r>
                </w:p>
                <w:p w14:paraId="543E2090">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color w:val="auto"/>
                    </w:rPr>
                  </w:pPr>
                  <w:r>
                    <w:rPr>
                      <w:color w:val="auto"/>
                    </w:rPr>
                    <w:t>吸入：迅速脱离现场至空气新鲜处。保持呼吸道通畅。如呼吸困难，给输氧。如呼吸停止，立即进行人工呼吸。就医。</w:t>
                  </w:r>
                </w:p>
                <w:p w14:paraId="2772DED2">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Times New Roman" w:hAnsi="Times New Roman" w:eastAsia="宋体" w:cs="Times New Roman"/>
                      <w:color w:val="auto"/>
                      <w:szCs w:val="21"/>
                      <w:highlight w:val="none"/>
                      <w:shd w:val="clear" w:color="auto" w:fill="auto"/>
                      <w:lang w:val="en-US" w:eastAsia="zh-CN"/>
                    </w:rPr>
                  </w:pPr>
                  <w:r>
                    <w:rPr>
                      <w:color w:val="auto"/>
                    </w:rPr>
                    <w:t>食入：饮足量水，催吐。就医</w:t>
                  </w:r>
                  <w:r>
                    <w:rPr>
                      <w:rFonts w:hint="eastAsia"/>
                      <w:color w:val="auto"/>
                      <w:lang w:val="en-US" w:eastAsia="zh-CN"/>
                    </w:rPr>
                    <w:t>。</w:t>
                  </w:r>
                </w:p>
              </w:tc>
            </w:tr>
            <w:tr w14:paraId="0C170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23" w:type="dxa"/>
                  <w:tcBorders>
                    <w:tl2br w:val="nil"/>
                    <w:tr2bl w:val="nil"/>
                  </w:tcBorders>
                  <w:noWrap w:val="0"/>
                  <w:vAlign w:val="center"/>
                </w:tcPr>
                <w:p w14:paraId="181B91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泄漏应急处置</w:t>
                  </w:r>
                </w:p>
              </w:tc>
              <w:tc>
                <w:tcPr>
                  <w:tcW w:w="6754" w:type="dxa"/>
                  <w:gridSpan w:val="4"/>
                  <w:tcBorders>
                    <w:tl2br w:val="nil"/>
                    <w:tr2bl w:val="nil"/>
                  </w:tcBorders>
                  <w:noWrap w:val="0"/>
                  <w:vAlign w:val="center"/>
                </w:tcPr>
                <w:p w14:paraId="371BD765">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eastAsia="宋体"/>
                      <w:color w:val="auto"/>
                      <w:lang w:eastAsia="zh-CN"/>
                    </w:rPr>
                  </w:pPr>
                  <w:r>
                    <w:rPr>
                      <w:rFonts w:ascii="宋体" w:hAnsi="宋体" w:eastAsia="宋体" w:cs="宋体"/>
                      <w:color w:val="auto"/>
                      <w:sz w:val="21"/>
                      <w:szCs w:val="21"/>
                      <w:shd w:val="clear" w:fill="FFFFFF"/>
                    </w:rPr>
                    <w:t>迅速撤离泄漏污染区人员至安全区，并进行隔离，严格限制出入。切断火源。建议应急处理人员戴自给正压式呼吸器，穿消防防护服。尽可能切断泄漏源，防止进入下水道、排洪沟等限制性空间</w:t>
                  </w:r>
                  <w:r>
                    <w:rPr>
                      <w:rFonts w:hint="eastAsia" w:ascii="宋体" w:hAnsi="宋体" w:eastAsia="宋体" w:cs="宋体"/>
                      <w:color w:val="auto"/>
                      <w:sz w:val="21"/>
                      <w:szCs w:val="21"/>
                      <w:shd w:val="clear" w:fill="FFFFFF"/>
                      <w:lang w:eastAsia="zh-CN"/>
                    </w:rPr>
                    <w:t>。</w:t>
                  </w:r>
                </w:p>
              </w:tc>
            </w:tr>
          </w:tbl>
          <w:p w14:paraId="41B8E0DE">
            <w:pPr>
              <w:pStyle w:val="33"/>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表67  乙苯理化性质及危险性识别一览表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010"/>
              <w:gridCol w:w="1175"/>
              <w:gridCol w:w="2792"/>
              <w:gridCol w:w="1870"/>
            </w:tblGrid>
            <w:tr w14:paraId="3661D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523" w:type="dxa"/>
                  <w:tcBorders>
                    <w:tl2br w:val="nil"/>
                    <w:tr2bl w:val="nil"/>
                  </w:tcBorders>
                  <w:noWrap w:val="0"/>
                  <w:vAlign w:val="center"/>
                </w:tcPr>
                <w:p w14:paraId="336BFC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996" w:type="dxa"/>
                  <w:tcBorders>
                    <w:tl2br w:val="nil"/>
                    <w:tr2bl w:val="nil"/>
                  </w:tcBorders>
                  <w:noWrap w:val="0"/>
                  <w:vAlign w:val="center"/>
                </w:tcPr>
                <w:p w14:paraId="140F9F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159" w:type="dxa"/>
                  <w:tcBorders>
                    <w:tl2br w:val="nil"/>
                    <w:tr2bl w:val="nil"/>
                  </w:tcBorders>
                  <w:noWrap w:val="0"/>
                  <w:vAlign w:val="center"/>
                </w:tcPr>
                <w:p w14:paraId="43DF58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2754" w:type="dxa"/>
                  <w:tcBorders>
                    <w:tl2br w:val="nil"/>
                    <w:tr2bl w:val="nil"/>
                  </w:tcBorders>
                  <w:noWrap w:val="0"/>
                  <w:vAlign w:val="center"/>
                </w:tcPr>
                <w:p w14:paraId="20A16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危险性类别</w:t>
                  </w:r>
                </w:p>
              </w:tc>
              <w:tc>
                <w:tcPr>
                  <w:tcW w:w="1845" w:type="dxa"/>
                  <w:tcBorders>
                    <w:tl2br w:val="nil"/>
                    <w:tr2bl w:val="nil"/>
                  </w:tcBorders>
                  <w:noWrap w:val="0"/>
                  <w:vAlign w:val="center"/>
                </w:tcPr>
                <w:p w14:paraId="62D75D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熔点</w:t>
                  </w:r>
                </w:p>
              </w:tc>
            </w:tr>
            <w:tr w14:paraId="5B110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1523" w:type="dxa"/>
                  <w:tcBorders>
                    <w:tl2br w:val="nil"/>
                    <w:tr2bl w:val="nil"/>
                  </w:tcBorders>
                  <w:noWrap w:val="0"/>
                  <w:vAlign w:val="center"/>
                </w:tcPr>
                <w:p w14:paraId="6AAFCB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乙苯；乙基苯</w:t>
                  </w:r>
                </w:p>
              </w:tc>
              <w:tc>
                <w:tcPr>
                  <w:tcW w:w="996" w:type="dxa"/>
                  <w:tcBorders>
                    <w:tl2br w:val="nil"/>
                    <w:tr2bl w:val="nil"/>
                  </w:tcBorders>
                  <w:noWrap w:val="0"/>
                  <w:vAlign w:val="center"/>
                </w:tcPr>
                <w:p w14:paraId="7591D8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w:t>
                  </w:r>
                  <w:r>
                    <w:rPr>
                      <w:rFonts w:hint="eastAsia" w:cs="Times New Roman"/>
                      <w:color w:val="auto"/>
                      <w:sz w:val="21"/>
                      <w:szCs w:val="21"/>
                      <w:highlight w:val="none"/>
                      <w:shd w:val="clear" w:color="auto" w:fill="auto"/>
                      <w:vertAlign w:val="subscript"/>
                      <w:lang w:val="en-US" w:eastAsia="zh-CN"/>
                    </w:rPr>
                    <w:t>8</w:t>
                  </w: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10</w:t>
                  </w:r>
                </w:p>
              </w:tc>
              <w:tc>
                <w:tcPr>
                  <w:tcW w:w="1159" w:type="dxa"/>
                  <w:tcBorders>
                    <w:tl2br w:val="nil"/>
                    <w:tr2bl w:val="nil"/>
                  </w:tcBorders>
                  <w:noWrap w:val="0"/>
                  <w:vAlign w:val="center"/>
                </w:tcPr>
                <w:p w14:paraId="34DB42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106.18</w:t>
                  </w:r>
                </w:p>
              </w:tc>
              <w:tc>
                <w:tcPr>
                  <w:tcW w:w="2754" w:type="dxa"/>
                  <w:tcBorders>
                    <w:tl2br w:val="nil"/>
                    <w:tr2bl w:val="nil"/>
                  </w:tcBorders>
                  <w:noWrap w:val="0"/>
                  <w:vAlign w:val="center"/>
                </w:tcPr>
                <w:p w14:paraId="2F1340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易燃液体</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类别2</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致癌性</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类别2</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特异性靶器官毒性-反复接触</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类别2</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吸入危害</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类别1</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危害水生环境-急性危害</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类别2</w:t>
                  </w:r>
                </w:p>
              </w:tc>
              <w:tc>
                <w:tcPr>
                  <w:tcW w:w="1845" w:type="dxa"/>
                  <w:tcBorders>
                    <w:tl2br w:val="nil"/>
                    <w:tr2bl w:val="nil"/>
                  </w:tcBorders>
                  <w:noWrap w:val="0"/>
                  <w:vAlign w:val="center"/>
                </w:tcPr>
                <w:p w14:paraId="1D7248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-94.9</w:t>
                  </w:r>
                  <w:r>
                    <w:rPr>
                      <w:rFonts w:hint="default" w:ascii="Times New Roman" w:hAnsi="Times New Roman" w:eastAsia="宋体" w:cs="Times New Roman"/>
                      <w:color w:val="auto"/>
                      <w:sz w:val="21"/>
                      <w:szCs w:val="21"/>
                      <w:highlight w:val="none"/>
                      <w:shd w:val="clear" w:color="auto" w:fill="auto"/>
                      <w:lang w:val="en-US" w:eastAsia="zh-CN"/>
                    </w:rPr>
                    <w:t>℃</w:t>
                  </w:r>
                </w:p>
              </w:tc>
            </w:tr>
            <w:tr w14:paraId="39365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23" w:type="dxa"/>
                  <w:tcBorders>
                    <w:tl2br w:val="nil"/>
                    <w:tr2bl w:val="nil"/>
                  </w:tcBorders>
                  <w:noWrap w:val="0"/>
                  <w:vAlign w:val="center"/>
                </w:tcPr>
                <w:p w14:paraId="33CD3D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相对空气密度（空气=1）</w:t>
                  </w:r>
                </w:p>
              </w:tc>
              <w:tc>
                <w:tcPr>
                  <w:tcW w:w="996" w:type="dxa"/>
                  <w:tcBorders>
                    <w:tl2br w:val="nil"/>
                    <w:tr2bl w:val="nil"/>
                  </w:tcBorders>
                  <w:noWrap w:val="0"/>
                  <w:vAlign w:val="center"/>
                </w:tcPr>
                <w:p w14:paraId="602AEC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沸点</w:t>
                  </w:r>
                </w:p>
              </w:tc>
              <w:tc>
                <w:tcPr>
                  <w:tcW w:w="1159" w:type="dxa"/>
                  <w:tcBorders>
                    <w:tl2br w:val="nil"/>
                    <w:tr2bl w:val="nil"/>
                  </w:tcBorders>
                  <w:noWrap w:val="0"/>
                  <w:vAlign w:val="center"/>
                </w:tcPr>
                <w:p w14:paraId="3EC6C6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临界温度</w:t>
                  </w:r>
                </w:p>
              </w:tc>
              <w:tc>
                <w:tcPr>
                  <w:tcW w:w="2754" w:type="dxa"/>
                  <w:tcBorders>
                    <w:tl2br w:val="nil"/>
                    <w:tr2bl w:val="nil"/>
                  </w:tcBorders>
                  <w:noWrap w:val="0"/>
                  <w:vAlign w:val="center"/>
                </w:tcPr>
                <w:p w14:paraId="53343E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w:t>
                  </w:r>
                  <w:r>
                    <w:rPr>
                      <w:rFonts w:hint="eastAsia" w:ascii="Times New Roman" w:hAnsi="Times New Roman" w:eastAsia="宋体" w:cs="Times New Roman"/>
                      <w:color w:val="auto"/>
                      <w:sz w:val="21"/>
                      <w:szCs w:val="21"/>
                      <w:highlight w:val="none"/>
                      <w:shd w:val="clear" w:color="auto" w:fill="auto"/>
                      <w:lang w:val="en-US" w:eastAsia="zh-CN"/>
                    </w:rPr>
                    <w:t>密度（水=1）</w:t>
                  </w:r>
                </w:p>
              </w:tc>
              <w:tc>
                <w:tcPr>
                  <w:tcW w:w="1845" w:type="dxa"/>
                  <w:tcBorders>
                    <w:tl2br w:val="nil"/>
                    <w:tr2bl w:val="nil"/>
                  </w:tcBorders>
                  <w:noWrap w:val="0"/>
                  <w:vAlign w:val="center"/>
                </w:tcPr>
                <w:p w14:paraId="6E638E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饱和蒸气压</w:t>
                  </w:r>
                </w:p>
              </w:tc>
            </w:tr>
            <w:tr w14:paraId="276DE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23" w:type="dxa"/>
                  <w:tcBorders>
                    <w:tl2br w:val="nil"/>
                    <w:tr2bl w:val="nil"/>
                  </w:tcBorders>
                  <w:noWrap w:val="0"/>
                  <w:vAlign w:val="center"/>
                </w:tcPr>
                <w:p w14:paraId="193972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3.66</w:t>
                  </w:r>
                </w:p>
              </w:tc>
              <w:tc>
                <w:tcPr>
                  <w:tcW w:w="996" w:type="dxa"/>
                  <w:tcBorders>
                    <w:tl2br w:val="nil"/>
                    <w:tr2bl w:val="nil"/>
                  </w:tcBorders>
                  <w:noWrap w:val="0"/>
                  <w:vAlign w:val="center"/>
                </w:tcPr>
                <w:p w14:paraId="0D98F4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136.2</w:t>
                  </w:r>
                  <w:r>
                    <w:rPr>
                      <w:rFonts w:hint="default" w:ascii="Times New Roman" w:hAnsi="Times New Roman" w:cs="Times New Roman"/>
                      <w:color w:val="auto"/>
                      <w:sz w:val="21"/>
                      <w:szCs w:val="21"/>
                      <w:highlight w:val="none"/>
                      <w:shd w:val="clear" w:color="auto" w:fill="auto"/>
                      <w:lang w:val="en-US" w:eastAsia="zh-CN"/>
                    </w:rPr>
                    <w:t>℃</w:t>
                  </w:r>
                </w:p>
              </w:tc>
              <w:tc>
                <w:tcPr>
                  <w:tcW w:w="1159" w:type="dxa"/>
                  <w:tcBorders>
                    <w:tl2br w:val="nil"/>
                    <w:tr2bl w:val="nil"/>
                  </w:tcBorders>
                  <w:noWrap w:val="0"/>
                  <w:vAlign w:val="center"/>
                </w:tcPr>
                <w:p w14:paraId="024737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344.1</w:t>
                  </w:r>
                  <w:r>
                    <w:rPr>
                      <w:rFonts w:hint="default" w:ascii="Times New Roman" w:hAnsi="Times New Roman" w:cs="Times New Roman"/>
                      <w:color w:val="auto"/>
                      <w:sz w:val="21"/>
                      <w:szCs w:val="21"/>
                      <w:highlight w:val="none"/>
                      <w:shd w:val="clear" w:color="auto" w:fill="auto"/>
                      <w:lang w:val="en-US" w:eastAsia="zh-CN"/>
                    </w:rPr>
                    <w:t>℃</w:t>
                  </w:r>
                </w:p>
              </w:tc>
              <w:tc>
                <w:tcPr>
                  <w:tcW w:w="2754" w:type="dxa"/>
                  <w:tcBorders>
                    <w:tl2br w:val="nil"/>
                    <w:tr2bl w:val="nil"/>
                  </w:tcBorders>
                  <w:noWrap w:val="0"/>
                  <w:vAlign w:val="center"/>
                </w:tcPr>
                <w:p w14:paraId="53F512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0.87</w:t>
                  </w:r>
                </w:p>
              </w:tc>
              <w:tc>
                <w:tcPr>
                  <w:tcW w:w="1845" w:type="dxa"/>
                  <w:tcBorders>
                    <w:tl2br w:val="nil"/>
                    <w:tr2bl w:val="nil"/>
                  </w:tcBorders>
                  <w:noWrap w:val="0"/>
                  <w:vAlign w:val="center"/>
                </w:tcPr>
                <w:p w14:paraId="73356B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0.9（20</w:t>
                  </w:r>
                  <w:r>
                    <w:rPr>
                      <w:rFonts w:hint="default" w:ascii="Times New Roman" w:hAnsi="Times New Roman"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）kPa</w:t>
                  </w:r>
                </w:p>
              </w:tc>
            </w:tr>
            <w:tr w14:paraId="47AF05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23" w:type="dxa"/>
                  <w:tcBorders>
                    <w:tl2br w:val="nil"/>
                    <w:tr2bl w:val="nil"/>
                  </w:tcBorders>
                  <w:noWrap w:val="0"/>
                  <w:vAlign w:val="center"/>
                </w:tcPr>
                <w:p w14:paraId="39A865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临界压力</w:t>
                  </w:r>
                </w:p>
              </w:tc>
              <w:tc>
                <w:tcPr>
                  <w:tcW w:w="2155" w:type="dxa"/>
                  <w:gridSpan w:val="2"/>
                  <w:tcBorders>
                    <w:tl2br w:val="nil"/>
                    <w:tr2bl w:val="nil"/>
                  </w:tcBorders>
                  <w:noWrap w:val="0"/>
                  <w:vAlign w:val="center"/>
                </w:tcPr>
                <w:p w14:paraId="01AD19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闪点</w:t>
                  </w:r>
                </w:p>
              </w:tc>
              <w:tc>
                <w:tcPr>
                  <w:tcW w:w="2754" w:type="dxa"/>
                  <w:tcBorders>
                    <w:tl2br w:val="nil"/>
                    <w:tr2bl w:val="nil"/>
                  </w:tcBorders>
                  <w:noWrap w:val="0"/>
                  <w:vAlign w:val="center"/>
                </w:tcPr>
                <w:p w14:paraId="7F275E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引燃温度</w:t>
                  </w:r>
                </w:p>
              </w:tc>
              <w:tc>
                <w:tcPr>
                  <w:tcW w:w="1845" w:type="dxa"/>
                  <w:tcBorders>
                    <w:tl2br w:val="nil"/>
                    <w:tr2bl w:val="nil"/>
                  </w:tcBorders>
                  <w:noWrap w:val="0"/>
                  <w:vAlign w:val="center"/>
                </w:tcPr>
                <w:p w14:paraId="042D3A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爆炸极限（V%）</w:t>
                  </w:r>
                </w:p>
              </w:tc>
            </w:tr>
            <w:tr w14:paraId="49B9A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523" w:type="dxa"/>
                  <w:tcBorders>
                    <w:tl2br w:val="nil"/>
                    <w:tr2bl w:val="nil"/>
                  </w:tcBorders>
                  <w:noWrap w:val="0"/>
                  <w:vAlign w:val="center"/>
                </w:tcPr>
                <w:p w14:paraId="7D3014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3.60MPa</w:t>
                  </w:r>
                </w:p>
              </w:tc>
              <w:tc>
                <w:tcPr>
                  <w:tcW w:w="2155" w:type="dxa"/>
                  <w:gridSpan w:val="2"/>
                  <w:tcBorders>
                    <w:tl2br w:val="nil"/>
                    <w:tr2bl w:val="nil"/>
                  </w:tcBorders>
                  <w:noWrap w:val="0"/>
                  <w:vAlign w:val="center"/>
                </w:tcPr>
                <w:p w14:paraId="204977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12.8</w:t>
                  </w:r>
                  <w:r>
                    <w:rPr>
                      <w:rFonts w:hint="default" w:ascii="Times New Roman" w:hAnsi="Times New Roman" w:cs="Times New Roman"/>
                      <w:color w:val="auto"/>
                      <w:sz w:val="21"/>
                      <w:szCs w:val="21"/>
                      <w:highlight w:val="none"/>
                      <w:shd w:val="clear" w:color="auto" w:fill="auto"/>
                      <w:lang w:val="en-US" w:eastAsia="zh-CN"/>
                    </w:rPr>
                    <w:t>℃</w:t>
                  </w:r>
                </w:p>
              </w:tc>
              <w:tc>
                <w:tcPr>
                  <w:tcW w:w="2754" w:type="dxa"/>
                  <w:tcBorders>
                    <w:tl2br w:val="nil"/>
                    <w:tr2bl w:val="nil"/>
                  </w:tcBorders>
                  <w:noWrap w:val="0"/>
                  <w:vAlign w:val="center"/>
                </w:tcPr>
                <w:p w14:paraId="7CEDC4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432</w:t>
                  </w:r>
                  <w:r>
                    <w:rPr>
                      <w:rFonts w:hint="default" w:ascii="Times New Roman" w:hAnsi="Times New Roman" w:cs="Times New Roman"/>
                      <w:color w:val="auto"/>
                      <w:sz w:val="21"/>
                      <w:szCs w:val="21"/>
                      <w:highlight w:val="none"/>
                      <w:shd w:val="clear" w:color="auto" w:fill="auto"/>
                      <w:lang w:val="en-US" w:eastAsia="zh-CN"/>
                    </w:rPr>
                    <w:t>℃</w:t>
                  </w:r>
                </w:p>
              </w:tc>
              <w:tc>
                <w:tcPr>
                  <w:tcW w:w="1845" w:type="dxa"/>
                  <w:tcBorders>
                    <w:tl2br w:val="nil"/>
                    <w:tr2bl w:val="nil"/>
                  </w:tcBorders>
                  <w:noWrap w:val="0"/>
                  <w:vAlign w:val="center"/>
                </w:tcPr>
                <w:p w14:paraId="1002E6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下限1.0，上限6.7</w:t>
                  </w:r>
                </w:p>
              </w:tc>
            </w:tr>
            <w:tr w14:paraId="18A37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3" w:type="dxa"/>
                  <w:tcBorders>
                    <w:tl2br w:val="nil"/>
                    <w:tr2bl w:val="nil"/>
                  </w:tcBorders>
                  <w:noWrap w:val="0"/>
                  <w:vAlign w:val="center"/>
                </w:tcPr>
                <w:p w14:paraId="5C5C64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性</w:t>
                  </w:r>
                  <w:r>
                    <w:rPr>
                      <w:rFonts w:hint="eastAsia" w:ascii="Times New Roman" w:hAnsi="Times New Roman" w:eastAsia="宋体" w:cs="Times New Roman"/>
                      <w:color w:val="auto"/>
                      <w:sz w:val="21"/>
                      <w:szCs w:val="21"/>
                      <w:highlight w:val="none"/>
                      <w:shd w:val="clear" w:color="auto" w:fill="auto"/>
                      <w:lang w:val="en-US" w:eastAsia="zh-CN"/>
                    </w:rPr>
                    <w:t>状和溶解性</w:t>
                  </w:r>
                </w:p>
              </w:tc>
              <w:tc>
                <w:tcPr>
                  <w:tcW w:w="6754" w:type="dxa"/>
                  <w:gridSpan w:val="4"/>
                  <w:tcBorders>
                    <w:tl2br w:val="nil"/>
                    <w:tr2bl w:val="nil"/>
                  </w:tcBorders>
                  <w:noWrap w:val="0"/>
                  <w:vAlign w:val="center"/>
                </w:tcPr>
                <w:p w14:paraId="32FFA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无色透明液体，有芳香气味。不溶于水，可混溶于乙醇、乙醚、苯等多数有机溶剂</w:t>
                  </w:r>
                  <w:r>
                    <w:rPr>
                      <w:color w:val="auto"/>
                      <w:sz w:val="21"/>
                      <w:szCs w:val="21"/>
                    </w:rPr>
                    <w:t>。</w:t>
                  </w:r>
                </w:p>
              </w:tc>
            </w:tr>
            <w:tr w14:paraId="3303A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23" w:type="dxa"/>
                  <w:tcBorders>
                    <w:tl2br w:val="nil"/>
                    <w:tr2bl w:val="nil"/>
                  </w:tcBorders>
                  <w:noWrap w:val="0"/>
                  <w:vAlign w:val="center"/>
                </w:tcPr>
                <w:p w14:paraId="77E8FB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危险特性</w:t>
                  </w:r>
                </w:p>
              </w:tc>
              <w:tc>
                <w:tcPr>
                  <w:tcW w:w="6754" w:type="dxa"/>
                  <w:gridSpan w:val="4"/>
                  <w:tcBorders>
                    <w:tl2br w:val="nil"/>
                    <w:tr2bl w:val="nil"/>
                  </w:tcBorders>
                  <w:noWrap w:val="0"/>
                  <w:vAlign w:val="center"/>
                </w:tcPr>
                <w:p w14:paraId="6EA49E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宋体" w:hAnsi="宋体" w:eastAsia="宋体" w:cs="宋体"/>
                      <w:color w:val="auto"/>
                      <w:sz w:val="21"/>
                      <w:szCs w:val="21"/>
                      <w:lang w:eastAsia="zh-CN"/>
                    </w:rPr>
                    <w:t>其蒸气与空气形成爆炸性混合物，遇明火、高热能引起燃烧爆炸。与氧化剂能发生强烈反应。若遇高热，容器内压增大，有开裂和爆炸的危险。</w:t>
                  </w:r>
                </w:p>
              </w:tc>
            </w:tr>
            <w:tr w14:paraId="7A612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23" w:type="dxa"/>
                  <w:tcBorders>
                    <w:tl2br w:val="nil"/>
                    <w:tr2bl w:val="nil"/>
                  </w:tcBorders>
                  <w:noWrap w:val="0"/>
                  <w:vAlign w:val="center"/>
                </w:tcPr>
                <w:p w14:paraId="408E28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储存注意</w:t>
                  </w:r>
                </w:p>
              </w:tc>
              <w:tc>
                <w:tcPr>
                  <w:tcW w:w="6754" w:type="dxa"/>
                  <w:gridSpan w:val="4"/>
                  <w:tcBorders>
                    <w:tl2br w:val="nil"/>
                    <w:tr2bl w:val="nil"/>
                  </w:tcBorders>
                  <w:noWrap w:val="0"/>
                  <w:vAlign w:val="center"/>
                </w:tcPr>
                <w:p w14:paraId="7F17B7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shd w:val="clear" w:fill="FFFFFF"/>
                      <w:lang w:eastAsia="zh-CN"/>
                    </w:rPr>
                    <w:t>储存于阴凉、通风的库房</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shd w:val="clear" w:fill="FFFFFF"/>
                      <w:lang w:eastAsia="zh-CN"/>
                    </w:rPr>
                    <w:t>远离火种、热源。库温不宜超过37℃</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shd w:val="clear" w:fill="FFFFFF"/>
                      <w:lang w:eastAsia="zh-CN"/>
                    </w:rPr>
                    <w:t>保持容器密封。应与氧化剂分开存放，切忌混储</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shd w:val="clear" w:fill="FFFFFF"/>
                      <w:lang w:eastAsia="zh-CN"/>
                    </w:rPr>
                    <w:t>采用防爆型照明、通风设施</w:t>
                  </w:r>
                  <w:r>
                    <w:rPr>
                      <w:rFonts w:hint="eastAsia" w:cs="Times New Roman"/>
                      <w:color w:val="auto"/>
                      <w:sz w:val="21"/>
                      <w:szCs w:val="21"/>
                      <w:shd w:val="clear" w:fill="FFFFFF"/>
                      <w:lang w:eastAsia="zh-CN"/>
                    </w:rPr>
                    <w:t>。</w:t>
                  </w:r>
                  <w:r>
                    <w:rPr>
                      <w:rFonts w:hint="default" w:ascii="Times New Roman" w:hAnsi="Times New Roman" w:eastAsia="宋体" w:cs="Times New Roman"/>
                      <w:color w:val="auto"/>
                      <w:sz w:val="21"/>
                      <w:szCs w:val="21"/>
                      <w:shd w:val="clear" w:fill="FFFFFF"/>
                      <w:lang w:eastAsia="zh-CN"/>
                    </w:rPr>
                    <w:t>禁止使用易产生火花的机械设备和工具。储区应备有泄漏应急处理设备和合适的材料收容泄漏物。</w:t>
                  </w:r>
                </w:p>
              </w:tc>
            </w:tr>
            <w:tr w14:paraId="75C8D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23" w:type="dxa"/>
                  <w:tcBorders>
                    <w:tl2br w:val="nil"/>
                    <w:tr2bl w:val="nil"/>
                  </w:tcBorders>
                  <w:noWrap w:val="0"/>
                  <w:vAlign w:val="center"/>
                </w:tcPr>
                <w:p w14:paraId="10E48B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侵入途径</w:t>
                  </w:r>
                </w:p>
              </w:tc>
              <w:tc>
                <w:tcPr>
                  <w:tcW w:w="6754" w:type="dxa"/>
                  <w:gridSpan w:val="4"/>
                  <w:tcBorders>
                    <w:tl2br w:val="nil"/>
                    <w:tr2bl w:val="nil"/>
                  </w:tcBorders>
                  <w:noWrap w:val="0"/>
                  <w:vAlign w:val="center"/>
                </w:tcPr>
                <w:p w14:paraId="68254B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shd w:val="clear" w:fill="FFFFFF"/>
                      <w:lang w:eastAsia="zh-CN"/>
                    </w:rPr>
                  </w:pPr>
                  <w:r>
                    <w:rPr>
                      <w:rFonts w:hint="default" w:ascii="Times New Roman" w:hAnsi="Times New Roman" w:eastAsia="宋体" w:cs="Times New Roman"/>
                      <w:color w:val="auto"/>
                      <w:sz w:val="21"/>
                      <w:szCs w:val="21"/>
                      <w:shd w:val="clear" w:fill="FFFFFF"/>
                      <w:lang w:eastAsia="zh-CN"/>
                    </w:rPr>
                    <w:t>吸入</w:t>
                  </w:r>
                  <w:r>
                    <w:rPr>
                      <w:rFonts w:hint="eastAsia" w:ascii="Times New Roman" w:hAnsi="Times New Roman" w:cs="Times New Roman"/>
                      <w:color w:val="auto"/>
                      <w:sz w:val="21"/>
                      <w:szCs w:val="21"/>
                      <w:shd w:val="clear" w:fill="FFFFFF"/>
                      <w:lang w:eastAsia="zh-CN"/>
                    </w:rPr>
                    <w:t>、</w:t>
                  </w:r>
                  <w:r>
                    <w:rPr>
                      <w:rFonts w:hint="default" w:ascii="Times New Roman" w:hAnsi="Times New Roman" w:eastAsia="宋体" w:cs="Times New Roman"/>
                      <w:color w:val="auto"/>
                      <w:sz w:val="21"/>
                      <w:szCs w:val="21"/>
                      <w:shd w:val="clear" w:fill="FFFFFF"/>
                      <w:lang w:eastAsia="zh-CN"/>
                    </w:rPr>
                    <w:t>食入</w:t>
                  </w:r>
                </w:p>
              </w:tc>
            </w:tr>
            <w:tr w14:paraId="3ECFE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23" w:type="dxa"/>
                  <w:tcBorders>
                    <w:tl2br w:val="nil"/>
                    <w:tr2bl w:val="nil"/>
                  </w:tcBorders>
                  <w:noWrap w:val="0"/>
                  <w:vAlign w:val="center"/>
                </w:tcPr>
                <w:p w14:paraId="273013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754" w:type="dxa"/>
                  <w:gridSpan w:val="4"/>
                  <w:tcBorders>
                    <w:tl2br w:val="nil"/>
                    <w:tr2bl w:val="nil"/>
                  </w:tcBorders>
                  <w:noWrap w:val="0"/>
                  <w:vAlign w:val="center"/>
                </w:tcPr>
                <w:p w14:paraId="6A9E1DA1">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color w:val="auto"/>
                    </w:rPr>
                  </w:pPr>
                  <w:r>
                    <w:rPr>
                      <w:color w:val="auto"/>
                    </w:rPr>
                    <w:t>对皮肤、黏膜有较强刺激性</w:t>
                  </w:r>
                  <w:r>
                    <w:rPr>
                      <w:rFonts w:hint="eastAsia"/>
                      <w:color w:val="auto"/>
                      <w:lang w:eastAsia="zh-CN"/>
                    </w:rPr>
                    <w:t>，</w:t>
                  </w:r>
                  <w:r>
                    <w:rPr>
                      <w:color w:val="auto"/>
                    </w:rPr>
                    <w:t>高浓度有麻醉作用。</w:t>
                  </w:r>
                </w:p>
                <w:p w14:paraId="1644C0F0">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color w:val="auto"/>
                      <w:lang w:eastAsia="zh-CN"/>
                    </w:rPr>
                  </w:pPr>
                  <w:r>
                    <w:rPr>
                      <w:color w:val="auto"/>
                    </w:rPr>
                    <w:t>急性中毒</w:t>
                  </w:r>
                  <w:r>
                    <w:rPr>
                      <w:rFonts w:hint="eastAsia"/>
                      <w:color w:val="auto"/>
                      <w:lang w:eastAsia="zh-CN"/>
                    </w:rPr>
                    <w:t>：</w:t>
                  </w:r>
                  <w:r>
                    <w:rPr>
                      <w:color w:val="auto"/>
                    </w:rPr>
                    <w:t>轻度中毒者有头晕、头痛、恶心、呕吐、步态蹒跚、轻度意识障碍及眼和上呼吸道刺激症状。重者发生昏迷、抽搐、血压下降及呼吸循环衰竭。可有肝损害。直接吸入本品液体可致化学性肺炎和肺水肿</w:t>
                  </w:r>
                  <w:r>
                    <w:rPr>
                      <w:rFonts w:hint="eastAsia"/>
                      <w:color w:val="auto"/>
                      <w:lang w:eastAsia="zh-CN"/>
                    </w:rPr>
                    <w:t>。</w:t>
                  </w:r>
                </w:p>
                <w:p w14:paraId="3D950612">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Times New Roman" w:hAnsi="Times New Roman" w:eastAsia="宋体" w:cs="Times New Roman"/>
                      <w:color w:val="auto"/>
                      <w:szCs w:val="21"/>
                      <w:highlight w:val="none"/>
                      <w:shd w:val="clear" w:color="auto" w:fill="auto"/>
                      <w:lang w:val="en-US" w:eastAsia="zh-CN"/>
                    </w:rPr>
                  </w:pPr>
                  <w:r>
                    <w:rPr>
                      <w:color w:val="auto"/>
                    </w:rPr>
                    <w:t>慢性影响：眼及上呼吸道刺激症状、神经衰弱综合征。皮肤出现粘糙、皲裂、脱皮</w:t>
                  </w:r>
                </w:p>
              </w:tc>
            </w:tr>
            <w:tr w14:paraId="31C27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23" w:type="dxa"/>
                  <w:tcBorders>
                    <w:tl2br w:val="nil"/>
                    <w:tr2bl w:val="nil"/>
                  </w:tcBorders>
                  <w:noWrap w:val="0"/>
                  <w:vAlign w:val="center"/>
                </w:tcPr>
                <w:p w14:paraId="0F39B3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泄漏应急处置</w:t>
                  </w:r>
                </w:p>
              </w:tc>
              <w:tc>
                <w:tcPr>
                  <w:tcW w:w="6754" w:type="dxa"/>
                  <w:gridSpan w:val="4"/>
                  <w:tcBorders>
                    <w:tl2br w:val="nil"/>
                    <w:tr2bl w:val="nil"/>
                  </w:tcBorders>
                  <w:noWrap w:val="0"/>
                  <w:vAlign w:val="center"/>
                </w:tcPr>
                <w:p w14:paraId="4BA219C5">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eastAsia="宋体"/>
                      <w:color w:val="auto"/>
                      <w:lang w:eastAsia="zh-CN"/>
                    </w:rPr>
                  </w:pPr>
                  <w:r>
                    <w:rPr>
                      <w:rFonts w:hint="eastAsia" w:eastAsia="宋体"/>
                      <w:color w:val="auto"/>
                      <w:lang w:eastAsia="zh-CN"/>
                    </w:rPr>
                    <w:t>应急行动：消除所有点火源。根据液体流动和蒸气扩散的影响区域划定警戒区，无关人员从侧、上风向撤离至安全区。建议应急处理人员戴正压自给式呼吸器，穿防静电服，戴橡胶耐油手套</w:t>
                  </w:r>
                  <w:r>
                    <w:rPr>
                      <w:rFonts w:hint="eastAsia"/>
                      <w:color w:val="auto"/>
                      <w:lang w:eastAsia="zh-CN"/>
                    </w:rPr>
                    <w:t>。</w:t>
                  </w:r>
                  <w:r>
                    <w:rPr>
                      <w:rFonts w:hint="eastAsia" w:eastAsia="宋体"/>
                      <w:color w:val="auto"/>
                      <w:lang w:eastAsia="zh-CN"/>
                    </w:rPr>
                    <w:t>作业时使用的所有设备应接地。禁止接触或跨越泄漏物</w:t>
                  </w:r>
                  <w:r>
                    <w:rPr>
                      <w:rFonts w:hint="eastAsia"/>
                      <w:color w:val="auto"/>
                      <w:lang w:eastAsia="zh-CN"/>
                    </w:rPr>
                    <w:t>，</w:t>
                  </w:r>
                  <w:r>
                    <w:rPr>
                      <w:rFonts w:hint="eastAsia" w:eastAsia="宋体"/>
                      <w:color w:val="auto"/>
                      <w:lang w:eastAsia="zh-CN"/>
                    </w:rPr>
                    <w:t>尽可能切断泄漏源。防止泄漏物进入水体、下水道、地下室或限制性空间。小量泄漏：用砂土或其他不燃材料吸收。使用洁净的无火化工具收集吸收材料</w:t>
                  </w:r>
                  <w:r>
                    <w:rPr>
                      <w:rFonts w:hint="eastAsia"/>
                      <w:color w:val="auto"/>
                      <w:lang w:eastAsia="zh-CN"/>
                    </w:rPr>
                    <w:t>。</w:t>
                  </w:r>
                  <w:r>
                    <w:rPr>
                      <w:rFonts w:hint="eastAsia" w:eastAsia="宋体"/>
                      <w:color w:val="auto"/>
                      <w:lang w:eastAsia="zh-CN"/>
                    </w:rPr>
                    <w:t>大量泄漏</w:t>
                  </w:r>
                  <w:r>
                    <w:rPr>
                      <w:rFonts w:hint="eastAsia"/>
                      <w:color w:val="auto"/>
                      <w:lang w:eastAsia="zh-CN"/>
                    </w:rPr>
                    <w:t>：</w:t>
                  </w:r>
                  <w:r>
                    <w:rPr>
                      <w:rFonts w:hint="eastAsia" w:eastAsia="宋体"/>
                      <w:color w:val="auto"/>
                      <w:lang w:eastAsia="zh-CN"/>
                    </w:rPr>
                    <w:t>构筑围堤或挖坑收容。用泡沫覆盖，减少蒸发。喷水雾能减少蒸发</w:t>
                  </w:r>
                  <w:r>
                    <w:rPr>
                      <w:rFonts w:hint="eastAsia"/>
                      <w:color w:val="auto"/>
                      <w:lang w:eastAsia="zh-CN"/>
                    </w:rPr>
                    <w:t>，</w:t>
                  </w:r>
                  <w:r>
                    <w:rPr>
                      <w:rFonts w:hint="eastAsia" w:eastAsia="宋体"/>
                      <w:color w:val="auto"/>
                      <w:lang w:eastAsia="zh-CN"/>
                    </w:rPr>
                    <w:t>但不能降低泄漏物在限制性空间内的易燃性。用防爆泵转移至槽车或专用收集器内</w:t>
                  </w:r>
                  <w:r>
                    <w:rPr>
                      <w:rFonts w:hint="eastAsia"/>
                      <w:color w:val="auto"/>
                      <w:lang w:eastAsia="zh-CN"/>
                    </w:rPr>
                    <w:t>。</w:t>
                  </w:r>
                </w:p>
              </w:tc>
            </w:tr>
          </w:tbl>
          <w:p w14:paraId="52BF6559">
            <w:pPr>
              <w:pStyle w:val="33"/>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表68  甲苯理化性质及危险性识别一览表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010"/>
              <w:gridCol w:w="1175"/>
              <w:gridCol w:w="2594"/>
              <w:gridCol w:w="2068"/>
            </w:tblGrid>
            <w:tr w14:paraId="6950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543" w:type="dxa"/>
                  <w:tcBorders>
                    <w:tl2br w:val="nil"/>
                    <w:tr2bl w:val="nil"/>
                  </w:tcBorders>
                  <w:noWrap w:val="0"/>
                  <w:vAlign w:val="center"/>
                </w:tcPr>
                <w:p w14:paraId="623C86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1010" w:type="dxa"/>
                  <w:tcBorders>
                    <w:tl2br w:val="nil"/>
                    <w:tr2bl w:val="nil"/>
                  </w:tcBorders>
                  <w:noWrap w:val="0"/>
                  <w:vAlign w:val="center"/>
                </w:tcPr>
                <w:p w14:paraId="52DAEE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175" w:type="dxa"/>
                  <w:tcBorders>
                    <w:tl2br w:val="nil"/>
                    <w:tr2bl w:val="nil"/>
                  </w:tcBorders>
                  <w:noWrap w:val="0"/>
                  <w:vAlign w:val="center"/>
                </w:tcPr>
                <w:p w14:paraId="0A9169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2594" w:type="dxa"/>
                  <w:tcBorders>
                    <w:tl2br w:val="nil"/>
                    <w:tr2bl w:val="nil"/>
                  </w:tcBorders>
                  <w:noWrap w:val="0"/>
                  <w:vAlign w:val="center"/>
                </w:tcPr>
                <w:p w14:paraId="57D5A6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危险性类别</w:t>
                  </w:r>
                </w:p>
              </w:tc>
              <w:tc>
                <w:tcPr>
                  <w:tcW w:w="2068" w:type="dxa"/>
                  <w:tcBorders>
                    <w:tl2br w:val="nil"/>
                    <w:tr2bl w:val="nil"/>
                  </w:tcBorders>
                  <w:noWrap w:val="0"/>
                  <w:vAlign w:val="center"/>
                </w:tcPr>
                <w:p w14:paraId="7020C7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熔点</w:t>
                  </w:r>
                </w:p>
              </w:tc>
            </w:tr>
            <w:tr w14:paraId="771BA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543" w:type="dxa"/>
                  <w:tcBorders>
                    <w:tl2br w:val="nil"/>
                    <w:tr2bl w:val="nil"/>
                  </w:tcBorders>
                  <w:noWrap w:val="0"/>
                  <w:vAlign w:val="center"/>
                </w:tcPr>
                <w:p w14:paraId="131B5E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甲苯</w:t>
                  </w:r>
                </w:p>
              </w:tc>
              <w:tc>
                <w:tcPr>
                  <w:tcW w:w="1010" w:type="dxa"/>
                  <w:tcBorders>
                    <w:tl2br w:val="nil"/>
                    <w:tr2bl w:val="nil"/>
                  </w:tcBorders>
                  <w:noWrap w:val="0"/>
                  <w:vAlign w:val="center"/>
                </w:tcPr>
                <w:p w14:paraId="5D5B4D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w:t>
                  </w:r>
                  <w:r>
                    <w:rPr>
                      <w:rFonts w:hint="eastAsia" w:cs="Times New Roman"/>
                      <w:color w:val="auto"/>
                      <w:sz w:val="21"/>
                      <w:szCs w:val="21"/>
                      <w:highlight w:val="none"/>
                      <w:shd w:val="clear" w:color="auto" w:fill="auto"/>
                      <w:vertAlign w:val="subscript"/>
                      <w:lang w:val="en-US" w:eastAsia="zh-CN"/>
                    </w:rPr>
                    <w:t>7</w:t>
                  </w: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8</w:t>
                  </w:r>
                </w:p>
              </w:tc>
              <w:tc>
                <w:tcPr>
                  <w:tcW w:w="1175" w:type="dxa"/>
                  <w:tcBorders>
                    <w:tl2br w:val="nil"/>
                    <w:tr2bl w:val="nil"/>
                  </w:tcBorders>
                  <w:noWrap w:val="0"/>
                  <w:vAlign w:val="center"/>
                </w:tcPr>
                <w:p w14:paraId="706854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92.14</w:t>
                  </w:r>
                </w:p>
              </w:tc>
              <w:tc>
                <w:tcPr>
                  <w:tcW w:w="2594" w:type="dxa"/>
                  <w:tcBorders>
                    <w:tl2br w:val="nil"/>
                    <w:tr2bl w:val="nil"/>
                  </w:tcBorders>
                  <w:noWrap w:val="0"/>
                  <w:vAlign w:val="center"/>
                </w:tcPr>
                <w:p w14:paraId="2A578D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第3.2类 中闪点易燃液体</w:t>
                  </w:r>
                </w:p>
              </w:tc>
              <w:tc>
                <w:tcPr>
                  <w:tcW w:w="2068" w:type="dxa"/>
                  <w:tcBorders>
                    <w:tl2br w:val="nil"/>
                    <w:tr2bl w:val="nil"/>
                  </w:tcBorders>
                  <w:noWrap w:val="0"/>
                  <w:vAlign w:val="center"/>
                </w:tcPr>
                <w:p w14:paraId="4E8A90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-94.9</w:t>
                  </w:r>
                  <w:r>
                    <w:rPr>
                      <w:rFonts w:hint="default" w:ascii="Times New Roman" w:hAnsi="Times New Roman" w:eastAsia="宋体" w:cs="Times New Roman"/>
                      <w:color w:val="auto"/>
                      <w:sz w:val="21"/>
                      <w:szCs w:val="21"/>
                      <w:highlight w:val="none"/>
                      <w:shd w:val="clear" w:color="auto" w:fill="auto"/>
                      <w:lang w:val="en-US" w:eastAsia="zh-CN"/>
                    </w:rPr>
                    <w:t>℃</w:t>
                  </w:r>
                </w:p>
              </w:tc>
            </w:tr>
            <w:tr w14:paraId="74992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43" w:type="dxa"/>
                  <w:tcBorders>
                    <w:tl2br w:val="nil"/>
                    <w:tr2bl w:val="nil"/>
                  </w:tcBorders>
                  <w:noWrap w:val="0"/>
                  <w:vAlign w:val="center"/>
                </w:tcPr>
                <w:p w14:paraId="51A59C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相对空气密度（空气=1）</w:t>
                  </w:r>
                </w:p>
              </w:tc>
              <w:tc>
                <w:tcPr>
                  <w:tcW w:w="1010" w:type="dxa"/>
                  <w:tcBorders>
                    <w:tl2br w:val="nil"/>
                    <w:tr2bl w:val="nil"/>
                  </w:tcBorders>
                  <w:noWrap w:val="0"/>
                  <w:vAlign w:val="center"/>
                </w:tcPr>
                <w:p w14:paraId="53048F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沸点</w:t>
                  </w:r>
                </w:p>
              </w:tc>
              <w:tc>
                <w:tcPr>
                  <w:tcW w:w="1175" w:type="dxa"/>
                  <w:tcBorders>
                    <w:tl2br w:val="nil"/>
                    <w:tr2bl w:val="nil"/>
                  </w:tcBorders>
                  <w:noWrap w:val="0"/>
                  <w:vAlign w:val="center"/>
                </w:tcPr>
                <w:p w14:paraId="0EDD43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临界温度</w:t>
                  </w:r>
                </w:p>
              </w:tc>
              <w:tc>
                <w:tcPr>
                  <w:tcW w:w="2594" w:type="dxa"/>
                  <w:tcBorders>
                    <w:tl2br w:val="nil"/>
                    <w:tr2bl w:val="nil"/>
                  </w:tcBorders>
                  <w:noWrap w:val="0"/>
                  <w:vAlign w:val="center"/>
                </w:tcPr>
                <w:p w14:paraId="31FEDB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w:t>
                  </w:r>
                  <w:r>
                    <w:rPr>
                      <w:rFonts w:hint="eastAsia" w:ascii="Times New Roman" w:hAnsi="Times New Roman" w:eastAsia="宋体" w:cs="Times New Roman"/>
                      <w:color w:val="auto"/>
                      <w:sz w:val="21"/>
                      <w:szCs w:val="21"/>
                      <w:highlight w:val="none"/>
                      <w:shd w:val="clear" w:color="auto" w:fill="auto"/>
                      <w:lang w:val="en-US" w:eastAsia="zh-CN"/>
                    </w:rPr>
                    <w:t>密度（水=1）</w:t>
                  </w:r>
                </w:p>
              </w:tc>
              <w:tc>
                <w:tcPr>
                  <w:tcW w:w="2068" w:type="dxa"/>
                  <w:tcBorders>
                    <w:tl2br w:val="nil"/>
                    <w:tr2bl w:val="nil"/>
                  </w:tcBorders>
                  <w:noWrap w:val="0"/>
                  <w:vAlign w:val="center"/>
                </w:tcPr>
                <w:p w14:paraId="085EDD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饱和蒸气压</w:t>
                  </w:r>
                </w:p>
              </w:tc>
            </w:tr>
            <w:tr w14:paraId="400B7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43" w:type="dxa"/>
                  <w:tcBorders>
                    <w:tl2br w:val="nil"/>
                    <w:tr2bl w:val="nil"/>
                  </w:tcBorders>
                  <w:noWrap w:val="0"/>
                  <w:vAlign w:val="center"/>
                </w:tcPr>
                <w:p w14:paraId="56FA84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3.14</w:t>
                  </w:r>
                </w:p>
              </w:tc>
              <w:tc>
                <w:tcPr>
                  <w:tcW w:w="1010" w:type="dxa"/>
                  <w:tcBorders>
                    <w:tl2br w:val="nil"/>
                    <w:tr2bl w:val="nil"/>
                  </w:tcBorders>
                  <w:noWrap w:val="0"/>
                  <w:vAlign w:val="center"/>
                </w:tcPr>
                <w:p w14:paraId="1E2758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110.6</w:t>
                  </w:r>
                  <w:r>
                    <w:rPr>
                      <w:rFonts w:hint="default" w:ascii="Times New Roman" w:hAnsi="Times New Roman" w:cs="Times New Roman"/>
                      <w:color w:val="auto"/>
                      <w:sz w:val="21"/>
                      <w:szCs w:val="21"/>
                      <w:highlight w:val="none"/>
                      <w:shd w:val="clear" w:color="auto" w:fill="auto"/>
                      <w:lang w:val="en-US" w:eastAsia="zh-CN"/>
                    </w:rPr>
                    <w:t>℃</w:t>
                  </w:r>
                </w:p>
              </w:tc>
              <w:tc>
                <w:tcPr>
                  <w:tcW w:w="1175" w:type="dxa"/>
                  <w:tcBorders>
                    <w:tl2br w:val="nil"/>
                    <w:tr2bl w:val="nil"/>
                  </w:tcBorders>
                  <w:noWrap w:val="0"/>
                  <w:vAlign w:val="center"/>
                </w:tcPr>
                <w:p w14:paraId="3F6974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318.6</w:t>
                  </w:r>
                  <w:r>
                    <w:rPr>
                      <w:rFonts w:hint="default" w:ascii="Times New Roman" w:hAnsi="Times New Roman" w:cs="Times New Roman"/>
                      <w:color w:val="auto"/>
                      <w:sz w:val="21"/>
                      <w:szCs w:val="21"/>
                      <w:highlight w:val="none"/>
                      <w:shd w:val="clear" w:color="auto" w:fill="auto"/>
                      <w:lang w:val="en-US" w:eastAsia="zh-CN"/>
                    </w:rPr>
                    <w:t>℃</w:t>
                  </w:r>
                </w:p>
              </w:tc>
              <w:tc>
                <w:tcPr>
                  <w:tcW w:w="2594" w:type="dxa"/>
                  <w:tcBorders>
                    <w:tl2br w:val="nil"/>
                    <w:tr2bl w:val="nil"/>
                  </w:tcBorders>
                  <w:noWrap w:val="0"/>
                  <w:vAlign w:val="center"/>
                </w:tcPr>
                <w:p w14:paraId="03A226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0.87</w:t>
                  </w:r>
                </w:p>
              </w:tc>
              <w:tc>
                <w:tcPr>
                  <w:tcW w:w="2068" w:type="dxa"/>
                  <w:tcBorders>
                    <w:tl2br w:val="nil"/>
                    <w:tr2bl w:val="nil"/>
                  </w:tcBorders>
                  <w:noWrap w:val="0"/>
                  <w:vAlign w:val="center"/>
                </w:tcPr>
                <w:p w14:paraId="121E2B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4.89（30</w:t>
                  </w:r>
                  <w:r>
                    <w:rPr>
                      <w:rFonts w:hint="default" w:ascii="Times New Roman" w:hAnsi="Times New Roman"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）kPa</w:t>
                  </w:r>
                </w:p>
              </w:tc>
            </w:tr>
            <w:tr w14:paraId="04477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43" w:type="dxa"/>
                  <w:tcBorders>
                    <w:tl2br w:val="nil"/>
                    <w:tr2bl w:val="nil"/>
                  </w:tcBorders>
                  <w:noWrap w:val="0"/>
                  <w:vAlign w:val="center"/>
                </w:tcPr>
                <w:p w14:paraId="3FF34B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燃烧性</w:t>
                  </w:r>
                </w:p>
              </w:tc>
              <w:tc>
                <w:tcPr>
                  <w:tcW w:w="2185" w:type="dxa"/>
                  <w:gridSpan w:val="2"/>
                  <w:tcBorders>
                    <w:tl2br w:val="nil"/>
                    <w:tr2bl w:val="nil"/>
                  </w:tcBorders>
                  <w:noWrap w:val="0"/>
                  <w:vAlign w:val="center"/>
                </w:tcPr>
                <w:p w14:paraId="5521C3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闪点</w:t>
                  </w:r>
                </w:p>
              </w:tc>
              <w:tc>
                <w:tcPr>
                  <w:tcW w:w="2594" w:type="dxa"/>
                  <w:tcBorders>
                    <w:tl2br w:val="nil"/>
                    <w:tr2bl w:val="nil"/>
                  </w:tcBorders>
                  <w:noWrap w:val="0"/>
                  <w:vAlign w:val="center"/>
                </w:tcPr>
                <w:p w14:paraId="3C0F95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引燃温度</w:t>
                  </w:r>
                </w:p>
              </w:tc>
              <w:tc>
                <w:tcPr>
                  <w:tcW w:w="2068" w:type="dxa"/>
                  <w:tcBorders>
                    <w:tl2br w:val="nil"/>
                    <w:tr2bl w:val="nil"/>
                  </w:tcBorders>
                  <w:noWrap w:val="0"/>
                  <w:vAlign w:val="center"/>
                </w:tcPr>
                <w:p w14:paraId="4BA17F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爆炸极限（V%）</w:t>
                  </w:r>
                </w:p>
              </w:tc>
            </w:tr>
            <w:tr w14:paraId="66907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543" w:type="dxa"/>
                  <w:tcBorders>
                    <w:tl2br w:val="nil"/>
                    <w:tr2bl w:val="nil"/>
                  </w:tcBorders>
                  <w:noWrap w:val="0"/>
                  <w:vAlign w:val="center"/>
                </w:tcPr>
                <w:p w14:paraId="71FA7C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易燃</w:t>
                  </w:r>
                </w:p>
              </w:tc>
              <w:tc>
                <w:tcPr>
                  <w:tcW w:w="2185" w:type="dxa"/>
                  <w:gridSpan w:val="2"/>
                  <w:tcBorders>
                    <w:tl2br w:val="nil"/>
                    <w:tr2bl w:val="nil"/>
                  </w:tcBorders>
                  <w:noWrap w:val="0"/>
                  <w:vAlign w:val="center"/>
                </w:tcPr>
                <w:p w14:paraId="6F7B3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lang w:val="en-US" w:eastAsia="zh-CN"/>
                    </w:rPr>
                    <w:t>℃</w:t>
                  </w:r>
                </w:p>
              </w:tc>
              <w:tc>
                <w:tcPr>
                  <w:tcW w:w="2594" w:type="dxa"/>
                  <w:tcBorders>
                    <w:tl2br w:val="nil"/>
                    <w:tr2bl w:val="nil"/>
                  </w:tcBorders>
                  <w:noWrap w:val="0"/>
                  <w:vAlign w:val="center"/>
                </w:tcPr>
                <w:p w14:paraId="290887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535</w:t>
                  </w:r>
                  <w:r>
                    <w:rPr>
                      <w:rFonts w:hint="default" w:ascii="Times New Roman" w:hAnsi="Times New Roman" w:cs="Times New Roman"/>
                      <w:color w:val="auto"/>
                      <w:sz w:val="21"/>
                      <w:szCs w:val="21"/>
                      <w:highlight w:val="none"/>
                      <w:shd w:val="clear" w:color="auto" w:fill="auto"/>
                      <w:lang w:val="en-US" w:eastAsia="zh-CN"/>
                    </w:rPr>
                    <w:t>℃</w:t>
                  </w:r>
                </w:p>
              </w:tc>
              <w:tc>
                <w:tcPr>
                  <w:tcW w:w="2068" w:type="dxa"/>
                  <w:tcBorders>
                    <w:tl2br w:val="nil"/>
                    <w:tr2bl w:val="nil"/>
                  </w:tcBorders>
                  <w:noWrap w:val="0"/>
                  <w:vAlign w:val="center"/>
                </w:tcPr>
                <w:p w14:paraId="35482F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下限1.2，上限7.0</w:t>
                  </w:r>
                </w:p>
              </w:tc>
            </w:tr>
            <w:tr w14:paraId="76B75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543" w:type="dxa"/>
                  <w:tcBorders>
                    <w:tl2br w:val="nil"/>
                    <w:tr2bl w:val="nil"/>
                  </w:tcBorders>
                  <w:noWrap w:val="0"/>
                  <w:vAlign w:val="center"/>
                </w:tcPr>
                <w:p w14:paraId="076500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性</w:t>
                  </w:r>
                  <w:r>
                    <w:rPr>
                      <w:rFonts w:hint="eastAsia" w:ascii="Times New Roman" w:hAnsi="Times New Roman" w:eastAsia="宋体" w:cs="Times New Roman"/>
                      <w:color w:val="auto"/>
                      <w:sz w:val="21"/>
                      <w:szCs w:val="21"/>
                      <w:highlight w:val="none"/>
                      <w:shd w:val="clear" w:color="auto" w:fill="auto"/>
                      <w:lang w:val="en-US" w:eastAsia="zh-CN"/>
                    </w:rPr>
                    <w:t>状和溶解性</w:t>
                  </w:r>
                </w:p>
              </w:tc>
              <w:tc>
                <w:tcPr>
                  <w:tcW w:w="6847" w:type="dxa"/>
                  <w:gridSpan w:val="4"/>
                  <w:tcBorders>
                    <w:tl2br w:val="nil"/>
                    <w:tr2bl w:val="nil"/>
                  </w:tcBorders>
                  <w:noWrap w:val="0"/>
                  <w:vAlign w:val="center"/>
                </w:tcPr>
                <w:p w14:paraId="22D225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无色透明液体，有类似苯的芳香气味。</w:t>
                  </w:r>
                  <w:r>
                    <w:rPr>
                      <w:rFonts w:ascii="宋体" w:hAnsi="宋体" w:eastAsia="宋体" w:cs="宋体"/>
                      <w:color w:val="auto"/>
                      <w:sz w:val="21"/>
                      <w:szCs w:val="21"/>
                    </w:rPr>
                    <w:t>不溶于水，可混溶于苯、醇、醚等多种有机溶剂</w:t>
                  </w:r>
                  <w:r>
                    <w:rPr>
                      <w:color w:val="auto"/>
                      <w:sz w:val="21"/>
                      <w:szCs w:val="21"/>
                    </w:rPr>
                    <w:t>。</w:t>
                  </w:r>
                </w:p>
              </w:tc>
            </w:tr>
            <w:tr w14:paraId="7ECD1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543" w:type="dxa"/>
                  <w:tcBorders>
                    <w:tl2br w:val="nil"/>
                    <w:tr2bl w:val="nil"/>
                  </w:tcBorders>
                  <w:noWrap w:val="0"/>
                  <w:vAlign w:val="center"/>
                </w:tcPr>
                <w:p w14:paraId="2FE787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危险特性</w:t>
                  </w:r>
                </w:p>
              </w:tc>
              <w:tc>
                <w:tcPr>
                  <w:tcW w:w="6847" w:type="dxa"/>
                  <w:gridSpan w:val="4"/>
                  <w:tcBorders>
                    <w:tl2br w:val="nil"/>
                    <w:tr2bl w:val="nil"/>
                  </w:tcBorders>
                  <w:noWrap w:val="0"/>
                  <w:vAlign w:val="center"/>
                </w:tcPr>
                <w:p w14:paraId="6C185D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宋体" w:hAnsi="宋体" w:eastAsia="宋体" w:cs="宋体"/>
                      <w:color w:val="auto"/>
                      <w:sz w:val="21"/>
                      <w:szCs w:val="21"/>
                      <w:lang w:eastAsia="zh-CN"/>
                    </w:rPr>
                    <w:t>易燃，其蒸气与空气可形成爆炸性混合物。遇明火、高热能引起燃烧爆炸。与氧化剂能发生强烈反应。流速过快，容易产生和积聚静电。其蒸气比空气重，能在较低处扩散到相当远的地方，遇明火会引起回燃。</w:t>
                  </w:r>
                </w:p>
              </w:tc>
            </w:tr>
            <w:tr w14:paraId="56409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1543" w:type="dxa"/>
                  <w:tcBorders>
                    <w:tl2br w:val="nil"/>
                    <w:tr2bl w:val="nil"/>
                  </w:tcBorders>
                  <w:noWrap w:val="0"/>
                  <w:vAlign w:val="center"/>
                </w:tcPr>
                <w:p w14:paraId="5B6740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储存注意</w:t>
                  </w:r>
                </w:p>
              </w:tc>
              <w:tc>
                <w:tcPr>
                  <w:tcW w:w="6847" w:type="dxa"/>
                  <w:gridSpan w:val="4"/>
                  <w:tcBorders>
                    <w:tl2br w:val="nil"/>
                    <w:tr2bl w:val="nil"/>
                  </w:tcBorders>
                  <w:noWrap w:val="0"/>
                  <w:vAlign w:val="center"/>
                </w:tcPr>
                <w:p w14:paraId="4A569B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shd w:val="clear" w:fill="FFFFFF"/>
                      <w:lang w:eastAsia="zh-CN"/>
                    </w:rPr>
                    <w:t>储存于阴凉、通风仓间内。远离火种、热源。仓内温度不宜超过30℃。防止阳光直射。保持容器密封。应与氧化剂分开存放。储存间内的照明、通风等设施应采用防爆型，开关设在仓外。配备相应品种和数量的消防器材。桶装堆垛不可过大，应留墙距、顶距、柱距及必要的防火检查走道。罐储时要有防火防爆技术措施。禁止使用易产生火花的机械设备和工具。罐装时应注意流速（不超过3m/s），且有接地装置，防止静电积聚。搬运时要轻装轻卸，防止包装及容器损坏。</w:t>
                  </w:r>
                </w:p>
              </w:tc>
            </w:tr>
            <w:tr w14:paraId="49032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43" w:type="dxa"/>
                  <w:tcBorders>
                    <w:tl2br w:val="nil"/>
                    <w:tr2bl w:val="nil"/>
                  </w:tcBorders>
                  <w:noWrap w:val="0"/>
                  <w:vAlign w:val="center"/>
                </w:tcPr>
                <w:p w14:paraId="41E337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侵入途径</w:t>
                  </w:r>
                </w:p>
              </w:tc>
              <w:tc>
                <w:tcPr>
                  <w:tcW w:w="6847" w:type="dxa"/>
                  <w:gridSpan w:val="4"/>
                  <w:tcBorders>
                    <w:tl2br w:val="nil"/>
                    <w:tr2bl w:val="nil"/>
                  </w:tcBorders>
                  <w:noWrap w:val="0"/>
                  <w:vAlign w:val="center"/>
                </w:tcPr>
                <w:p w14:paraId="013F7D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shd w:val="clear" w:fill="FFFFFF"/>
                      <w:lang w:eastAsia="zh-CN"/>
                    </w:rPr>
                  </w:pPr>
                  <w:r>
                    <w:rPr>
                      <w:rFonts w:ascii="宋体" w:hAnsi="宋体" w:eastAsia="宋体" w:cs="宋体"/>
                      <w:color w:val="auto"/>
                      <w:sz w:val="21"/>
                      <w:szCs w:val="21"/>
                    </w:rPr>
                    <w:t>吸入、食入、经皮吸收</w:t>
                  </w:r>
                </w:p>
              </w:tc>
            </w:tr>
            <w:tr w14:paraId="6C457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1543" w:type="dxa"/>
                  <w:tcBorders>
                    <w:tl2br w:val="nil"/>
                    <w:tr2bl w:val="nil"/>
                  </w:tcBorders>
                  <w:noWrap w:val="0"/>
                  <w:vAlign w:val="center"/>
                </w:tcPr>
                <w:p w14:paraId="248FF9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847" w:type="dxa"/>
                  <w:gridSpan w:val="4"/>
                  <w:tcBorders>
                    <w:tl2br w:val="nil"/>
                    <w:tr2bl w:val="nil"/>
                  </w:tcBorders>
                  <w:noWrap w:val="0"/>
                  <w:vAlign w:val="center"/>
                </w:tcPr>
                <w:p w14:paraId="28EF3A78">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Times New Roman" w:hAnsi="Times New Roman" w:eastAsia="宋体" w:cs="Times New Roman"/>
                      <w:color w:val="auto"/>
                      <w:szCs w:val="21"/>
                      <w:highlight w:val="none"/>
                      <w:shd w:val="clear" w:color="auto" w:fill="auto"/>
                      <w:lang w:val="en-US" w:eastAsia="zh-CN"/>
                    </w:rPr>
                  </w:pPr>
                  <w:r>
                    <w:rPr>
                      <w:rFonts w:ascii="宋体" w:hAnsi="宋体" w:eastAsia="宋体" w:cs="宋体"/>
                      <w:color w:val="auto"/>
                      <w:sz w:val="21"/>
                      <w:szCs w:val="21"/>
                    </w:rPr>
                    <w:t>对皮肤、粘膜有刺激性，对中枢神经系统有麻醉作用。急性中毒：短期内吸入较高浓度本品可出现眼及上呼吸道明显的刺激症状、眼结膜炎及咽充血、头痛、恶心、头晕、胸闷、呕吐、四肢无力、意识模糊、步</w:t>
                  </w:r>
                  <w:r>
                    <w:rPr>
                      <w:rFonts w:hint="eastAsia" w:ascii="宋体" w:hAnsi="宋体" w:eastAsia="宋体" w:cs="宋体"/>
                      <w:color w:val="auto"/>
                      <w:sz w:val="21"/>
                      <w:szCs w:val="21"/>
                      <w:lang w:val="en-US" w:eastAsia="zh-CN"/>
                    </w:rPr>
                    <w:t>态</w:t>
                  </w:r>
                  <w:r>
                    <w:rPr>
                      <w:rFonts w:ascii="宋体" w:hAnsi="宋体" w:eastAsia="宋体" w:cs="宋体"/>
                      <w:color w:val="auto"/>
                      <w:sz w:val="21"/>
                      <w:szCs w:val="21"/>
                    </w:rPr>
                    <w:t>蹒跚。重者可有躁动、抽搐或昏迷。慢性影响：长期接触有神经衰弱综合征，肝肿大，女工有月经异常，皮肤干燥、皲裂、皮炎</w:t>
                  </w:r>
                  <w:r>
                    <w:rPr>
                      <w:rFonts w:hint="eastAsia"/>
                      <w:color w:val="auto"/>
                      <w:lang w:val="en-US" w:eastAsia="zh-CN"/>
                    </w:rPr>
                    <w:t>。</w:t>
                  </w:r>
                </w:p>
              </w:tc>
            </w:tr>
            <w:tr w14:paraId="7D70F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43" w:type="dxa"/>
                  <w:tcBorders>
                    <w:tl2br w:val="nil"/>
                    <w:tr2bl w:val="nil"/>
                  </w:tcBorders>
                  <w:noWrap w:val="0"/>
                  <w:vAlign w:val="center"/>
                </w:tcPr>
                <w:p w14:paraId="0A46C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泄漏应急处置</w:t>
                  </w:r>
                </w:p>
              </w:tc>
              <w:tc>
                <w:tcPr>
                  <w:tcW w:w="6847" w:type="dxa"/>
                  <w:gridSpan w:val="4"/>
                  <w:tcBorders>
                    <w:tl2br w:val="nil"/>
                    <w:tr2bl w:val="nil"/>
                  </w:tcBorders>
                  <w:noWrap w:val="0"/>
                  <w:vAlign w:val="center"/>
                </w:tcPr>
                <w:p w14:paraId="70D1BA20">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eastAsia="宋体"/>
                      <w:color w:val="auto"/>
                      <w:lang w:eastAsia="zh-CN"/>
                    </w:rPr>
                  </w:pPr>
                  <w:r>
                    <w:rPr>
                      <w:rFonts w:ascii="宋体" w:hAnsi="宋体" w:eastAsia="宋体" w:cs="宋体"/>
                      <w:color w:val="auto"/>
                      <w:sz w:val="21"/>
                      <w:szCs w:val="21"/>
                    </w:rPr>
                    <w:t>迅速撤离泄漏污染区人员至安全区，并进行隔离，严格限制出入。切断火源。建议应急处理人员戴自给正压式呼吸器，穿消防防护服。尽可能切断泄漏源，防止进入下水道、排洪沟等限制性空间。小量泄漏：用活性炭或其它惰性材料吸收。也可以用不燃性分散剂制成的乳液刷洗，洗液稀释后放入废水系统。大量泄漏：构筑围堤或挖坑收容；用泡沫覆盖，降低蒸气灾害。用防爆泵转移至槽车或专用收集器内，回收或运至废物处理场所处置。</w:t>
                  </w:r>
                </w:p>
              </w:tc>
            </w:tr>
          </w:tbl>
          <w:p w14:paraId="540765FB">
            <w:pPr>
              <w:pStyle w:val="33"/>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表69  1-丁烯理化性质及危险性识别一览表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150"/>
              <w:gridCol w:w="1500"/>
              <w:gridCol w:w="2236"/>
              <w:gridCol w:w="1961"/>
            </w:tblGrid>
            <w:tr w14:paraId="0BFC1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543" w:type="dxa"/>
                  <w:tcBorders>
                    <w:tl2br w:val="nil"/>
                    <w:tr2bl w:val="nil"/>
                  </w:tcBorders>
                  <w:noWrap w:val="0"/>
                  <w:vAlign w:val="center"/>
                </w:tcPr>
                <w:p w14:paraId="03575E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1150" w:type="dxa"/>
                  <w:tcBorders>
                    <w:tl2br w:val="nil"/>
                    <w:tr2bl w:val="nil"/>
                  </w:tcBorders>
                  <w:noWrap w:val="0"/>
                  <w:vAlign w:val="center"/>
                </w:tcPr>
                <w:p w14:paraId="4DC983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500" w:type="dxa"/>
                  <w:tcBorders>
                    <w:tl2br w:val="nil"/>
                    <w:tr2bl w:val="nil"/>
                  </w:tcBorders>
                  <w:noWrap w:val="0"/>
                  <w:vAlign w:val="center"/>
                </w:tcPr>
                <w:p w14:paraId="143C62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2236" w:type="dxa"/>
                  <w:tcBorders>
                    <w:tl2br w:val="nil"/>
                    <w:tr2bl w:val="nil"/>
                  </w:tcBorders>
                  <w:noWrap w:val="0"/>
                  <w:vAlign w:val="center"/>
                </w:tcPr>
                <w:p w14:paraId="58FF74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CAS号</w:t>
                  </w:r>
                </w:p>
              </w:tc>
              <w:tc>
                <w:tcPr>
                  <w:tcW w:w="1961" w:type="dxa"/>
                  <w:tcBorders>
                    <w:tl2br w:val="nil"/>
                    <w:tr2bl w:val="nil"/>
                  </w:tcBorders>
                  <w:noWrap w:val="0"/>
                  <w:vAlign w:val="center"/>
                </w:tcPr>
                <w:p w14:paraId="39BE6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熔点</w:t>
                  </w:r>
                </w:p>
              </w:tc>
            </w:tr>
            <w:tr w14:paraId="4652C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543" w:type="dxa"/>
                  <w:tcBorders>
                    <w:tl2br w:val="nil"/>
                    <w:tr2bl w:val="nil"/>
                  </w:tcBorders>
                  <w:noWrap w:val="0"/>
                  <w:vAlign w:val="center"/>
                </w:tcPr>
                <w:p w14:paraId="662F67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1-丁烯</w:t>
                  </w:r>
                </w:p>
              </w:tc>
              <w:tc>
                <w:tcPr>
                  <w:tcW w:w="1150" w:type="dxa"/>
                  <w:tcBorders>
                    <w:tl2br w:val="nil"/>
                    <w:tr2bl w:val="nil"/>
                  </w:tcBorders>
                  <w:noWrap w:val="0"/>
                  <w:vAlign w:val="center"/>
                </w:tcPr>
                <w:p w14:paraId="76E9EE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w:t>
                  </w:r>
                  <w:r>
                    <w:rPr>
                      <w:rFonts w:hint="eastAsia" w:cs="Times New Roman"/>
                      <w:color w:val="auto"/>
                      <w:sz w:val="21"/>
                      <w:szCs w:val="21"/>
                      <w:highlight w:val="none"/>
                      <w:shd w:val="clear" w:color="auto" w:fill="auto"/>
                      <w:vertAlign w:val="subscript"/>
                      <w:lang w:val="en-US" w:eastAsia="zh-CN"/>
                    </w:rPr>
                    <w:t>4</w:t>
                  </w: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8</w:t>
                  </w:r>
                </w:p>
              </w:tc>
              <w:tc>
                <w:tcPr>
                  <w:tcW w:w="1500" w:type="dxa"/>
                  <w:tcBorders>
                    <w:tl2br w:val="nil"/>
                    <w:tr2bl w:val="nil"/>
                  </w:tcBorders>
                  <w:noWrap w:val="0"/>
                  <w:vAlign w:val="center"/>
                </w:tcPr>
                <w:p w14:paraId="704979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56.11</w:t>
                  </w:r>
                </w:p>
              </w:tc>
              <w:tc>
                <w:tcPr>
                  <w:tcW w:w="2236" w:type="dxa"/>
                  <w:tcBorders>
                    <w:tl2br w:val="nil"/>
                    <w:tr2bl w:val="nil"/>
                  </w:tcBorders>
                  <w:noWrap w:val="0"/>
                  <w:vAlign w:val="center"/>
                </w:tcPr>
                <w:p w14:paraId="208F45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106-98-9</w:t>
                  </w:r>
                </w:p>
              </w:tc>
              <w:tc>
                <w:tcPr>
                  <w:tcW w:w="1961" w:type="dxa"/>
                  <w:tcBorders>
                    <w:tl2br w:val="nil"/>
                    <w:tr2bl w:val="nil"/>
                  </w:tcBorders>
                  <w:noWrap w:val="0"/>
                  <w:vAlign w:val="center"/>
                </w:tcPr>
                <w:p w14:paraId="129C37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-185.3</w:t>
                  </w:r>
                  <w:r>
                    <w:rPr>
                      <w:rFonts w:hint="default" w:ascii="Times New Roman" w:hAnsi="Times New Roman" w:eastAsia="宋体" w:cs="Times New Roman"/>
                      <w:color w:val="auto"/>
                      <w:sz w:val="21"/>
                      <w:szCs w:val="21"/>
                      <w:highlight w:val="none"/>
                      <w:shd w:val="clear" w:color="auto" w:fill="auto"/>
                      <w:lang w:val="en-US" w:eastAsia="zh-CN"/>
                    </w:rPr>
                    <w:t>℃</w:t>
                  </w:r>
                </w:p>
              </w:tc>
            </w:tr>
            <w:tr w14:paraId="0B170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43" w:type="dxa"/>
                  <w:tcBorders>
                    <w:tl2br w:val="nil"/>
                    <w:tr2bl w:val="nil"/>
                  </w:tcBorders>
                  <w:noWrap w:val="0"/>
                  <w:vAlign w:val="center"/>
                </w:tcPr>
                <w:p w14:paraId="69FBBD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yellow"/>
                      <w:shd w:val="clear" w:color="auto" w:fill="auto"/>
                      <w:lang w:val="en-US" w:eastAsia="zh-CN"/>
                    </w:rPr>
                  </w:pPr>
                  <w:r>
                    <w:rPr>
                      <w:rFonts w:hint="eastAsia" w:cs="Times New Roman"/>
                      <w:color w:val="auto"/>
                      <w:sz w:val="21"/>
                      <w:szCs w:val="21"/>
                      <w:highlight w:val="none"/>
                      <w:shd w:val="clear" w:color="auto" w:fill="auto"/>
                      <w:lang w:val="en-US" w:eastAsia="zh-CN"/>
                    </w:rPr>
                    <w:t>沸点</w:t>
                  </w:r>
                </w:p>
              </w:tc>
              <w:tc>
                <w:tcPr>
                  <w:tcW w:w="1150" w:type="dxa"/>
                  <w:tcBorders>
                    <w:tl2br w:val="nil"/>
                    <w:tr2bl w:val="nil"/>
                  </w:tcBorders>
                  <w:noWrap w:val="0"/>
                  <w:vAlign w:val="center"/>
                </w:tcPr>
                <w:p w14:paraId="0BCED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临界温度</w:t>
                  </w:r>
                </w:p>
              </w:tc>
              <w:tc>
                <w:tcPr>
                  <w:tcW w:w="1500" w:type="dxa"/>
                  <w:tcBorders>
                    <w:tl2br w:val="nil"/>
                    <w:tr2bl w:val="nil"/>
                  </w:tcBorders>
                  <w:noWrap w:val="0"/>
                  <w:vAlign w:val="center"/>
                </w:tcPr>
                <w:p w14:paraId="11B910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引燃温度</w:t>
                  </w:r>
                </w:p>
              </w:tc>
              <w:tc>
                <w:tcPr>
                  <w:tcW w:w="2236" w:type="dxa"/>
                  <w:tcBorders>
                    <w:tl2br w:val="nil"/>
                    <w:tr2bl w:val="nil"/>
                  </w:tcBorders>
                  <w:noWrap w:val="0"/>
                  <w:vAlign w:val="center"/>
                </w:tcPr>
                <w:p w14:paraId="48C966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饱和蒸气压</w:t>
                  </w:r>
                </w:p>
              </w:tc>
              <w:tc>
                <w:tcPr>
                  <w:tcW w:w="1961" w:type="dxa"/>
                  <w:tcBorders>
                    <w:tl2br w:val="nil"/>
                    <w:tr2bl w:val="nil"/>
                  </w:tcBorders>
                  <w:noWrap w:val="0"/>
                  <w:vAlign w:val="center"/>
                </w:tcPr>
                <w:p w14:paraId="0CA031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爆炸极限（V%）</w:t>
                  </w:r>
                </w:p>
              </w:tc>
            </w:tr>
            <w:tr w14:paraId="0E583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43" w:type="dxa"/>
                  <w:tcBorders>
                    <w:tl2br w:val="nil"/>
                    <w:tr2bl w:val="nil"/>
                  </w:tcBorders>
                  <w:noWrap w:val="0"/>
                  <w:vAlign w:val="center"/>
                </w:tcPr>
                <w:p w14:paraId="093350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yellow"/>
                      <w:shd w:val="clear" w:color="auto" w:fill="auto"/>
                      <w:lang w:val="en-US" w:eastAsia="zh-CN"/>
                    </w:rPr>
                  </w:pPr>
                  <w:r>
                    <w:rPr>
                      <w:rFonts w:hint="eastAsia" w:cs="Times New Roman"/>
                      <w:color w:val="auto"/>
                      <w:sz w:val="21"/>
                      <w:szCs w:val="21"/>
                      <w:highlight w:val="none"/>
                      <w:shd w:val="clear" w:color="auto" w:fill="auto"/>
                      <w:lang w:val="en-US" w:eastAsia="zh-CN"/>
                    </w:rPr>
                    <w:t>-6.3</w:t>
                  </w:r>
                  <w:r>
                    <w:rPr>
                      <w:rFonts w:hint="default" w:ascii="Times New Roman" w:hAnsi="Times New Roman" w:cs="Times New Roman"/>
                      <w:color w:val="auto"/>
                      <w:sz w:val="21"/>
                      <w:szCs w:val="21"/>
                      <w:highlight w:val="none"/>
                      <w:shd w:val="clear" w:color="auto" w:fill="auto"/>
                      <w:lang w:val="en-US" w:eastAsia="zh-CN"/>
                    </w:rPr>
                    <w:t>℃</w:t>
                  </w:r>
                </w:p>
              </w:tc>
              <w:tc>
                <w:tcPr>
                  <w:tcW w:w="1150" w:type="dxa"/>
                  <w:tcBorders>
                    <w:tl2br w:val="nil"/>
                    <w:tr2bl w:val="nil"/>
                  </w:tcBorders>
                  <w:noWrap w:val="0"/>
                  <w:vAlign w:val="center"/>
                </w:tcPr>
                <w:p w14:paraId="696818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146.6</w:t>
                  </w:r>
                  <w:r>
                    <w:rPr>
                      <w:rFonts w:hint="default" w:ascii="Times New Roman" w:hAnsi="Times New Roman" w:cs="Times New Roman"/>
                      <w:color w:val="auto"/>
                      <w:sz w:val="21"/>
                      <w:szCs w:val="21"/>
                      <w:highlight w:val="none"/>
                      <w:shd w:val="clear" w:color="auto" w:fill="auto"/>
                      <w:lang w:val="en-US" w:eastAsia="zh-CN"/>
                    </w:rPr>
                    <w:t>℃</w:t>
                  </w:r>
                </w:p>
              </w:tc>
              <w:tc>
                <w:tcPr>
                  <w:tcW w:w="1500" w:type="dxa"/>
                  <w:tcBorders>
                    <w:tl2br w:val="nil"/>
                    <w:tr2bl w:val="nil"/>
                  </w:tcBorders>
                  <w:noWrap w:val="0"/>
                  <w:vAlign w:val="center"/>
                </w:tcPr>
                <w:p w14:paraId="3ABC9F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385</w:t>
                  </w:r>
                  <w:r>
                    <w:rPr>
                      <w:rFonts w:hint="default" w:ascii="Times New Roman" w:hAnsi="Times New Roman" w:cs="Times New Roman"/>
                      <w:color w:val="auto"/>
                      <w:sz w:val="21"/>
                      <w:szCs w:val="21"/>
                      <w:highlight w:val="none"/>
                      <w:shd w:val="clear" w:color="auto" w:fill="auto"/>
                      <w:lang w:val="en-US" w:eastAsia="zh-CN"/>
                    </w:rPr>
                    <w:t>℃</w:t>
                  </w:r>
                </w:p>
              </w:tc>
              <w:tc>
                <w:tcPr>
                  <w:tcW w:w="2236" w:type="dxa"/>
                  <w:tcBorders>
                    <w:tl2br w:val="nil"/>
                    <w:tr2bl w:val="nil"/>
                  </w:tcBorders>
                  <w:noWrap w:val="0"/>
                  <w:vAlign w:val="center"/>
                </w:tcPr>
                <w:p w14:paraId="0B6D74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299.3（25</w:t>
                  </w:r>
                  <w:r>
                    <w:rPr>
                      <w:rFonts w:hint="default" w:ascii="Times New Roman" w:hAnsi="Times New Roman"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）kPa</w:t>
                  </w:r>
                </w:p>
              </w:tc>
              <w:tc>
                <w:tcPr>
                  <w:tcW w:w="1961" w:type="dxa"/>
                  <w:tcBorders>
                    <w:tl2br w:val="nil"/>
                    <w:tr2bl w:val="nil"/>
                  </w:tcBorders>
                  <w:noWrap w:val="0"/>
                  <w:vAlign w:val="center"/>
                </w:tcPr>
                <w:p w14:paraId="03381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下限1.6，上限10.0</w:t>
                  </w:r>
                </w:p>
              </w:tc>
            </w:tr>
            <w:tr w14:paraId="3C21A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43" w:type="dxa"/>
                  <w:tcBorders>
                    <w:tl2br w:val="nil"/>
                    <w:tr2bl w:val="nil"/>
                  </w:tcBorders>
                  <w:noWrap w:val="0"/>
                  <w:vAlign w:val="center"/>
                </w:tcPr>
                <w:p w14:paraId="4C46A6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性</w:t>
                  </w:r>
                  <w:r>
                    <w:rPr>
                      <w:rFonts w:hint="eastAsia" w:ascii="Times New Roman" w:hAnsi="Times New Roman" w:eastAsia="宋体" w:cs="Times New Roman"/>
                      <w:color w:val="auto"/>
                      <w:sz w:val="21"/>
                      <w:szCs w:val="21"/>
                      <w:highlight w:val="none"/>
                      <w:shd w:val="clear" w:color="auto" w:fill="auto"/>
                      <w:lang w:val="en-US" w:eastAsia="zh-CN"/>
                    </w:rPr>
                    <w:t>状和溶解性</w:t>
                  </w:r>
                </w:p>
              </w:tc>
              <w:tc>
                <w:tcPr>
                  <w:tcW w:w="6847" w:type="dxa"/>
                  <w:gridSpan w:val="4"/>
                  <w:tcBorders>
                    <w:tl2br w:val="nil"/>
                    <w:tr2bl w:val="nil"/>
                  </w:tcBorders>
                  <w:noWrap w:val="0"/>
                  <w:vAlign w:val="center"/>
                </w:tcPr>
                <w:p w14:paraId="47A5A0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ascii="Helvetica" w:hAnsi="Helvetica" w:eastAsia="Helvetica" w:cs="Helvetica"/>
                      <w:i w:val="0"/>
                      <w:iCs w:val="0"/>
                      <w:caps w:val="0"/>
                      <w:color w:val="auto"/>
                      <w:spacing w:val="0"/>
                      <w:sz w:val="21"/>
                      <w:szCs w:val="21"/>
                      <w:shd w:val="clear" w:fill="FFFFFF"/>
                    </w:rPr>
                    <w:t>在常温常压下为无色无味气体，不溶于水，微溶于苯，易溶于乙醇、乙醚</w:t>
                  </w:r>
                  <w:r>
                    <w:rPr>
                      <w:color w:val="auto"/>
                      <w:sz w:val="21"/>
                      <w:szCs w:val="21"/>
                    </w:rPr>
                    <w:t>。</w:t>
                  </w:r>
                </w:p>
              </w:tc>
            </w:tr>
            <w:tr w14:paraId="5F000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43" w:type="dxa"/>
                  <w:tcBorders>
                    <w:tl2br w:val="nil"/>
                    <w:tr2bl w:val="nil"/>
                  </w:tcBorders>
                  <w:noWrap w:val="0"/>
                  <w:vAlign w:val="center"/>
                </w:tcPr>
                <w:p w14:paraId="136C03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危险特性</w:t>
                  </w:r>
                </w:p>
              </w:tc>
              <w:tc>
                <w:tcPr>
                  <w:tcW w:w="6847" w:type="dxa"/>
                  <w:gridSpan w:val="4"/>
                  <w:tcBorders>
                    <w:tl2br w:val="nil"/>
                    <w:tr2bl w:val="nil"/>
                  </w:tcBorders>
                  <w:noWrap w:val="0"/>
                  <w:vAlign w:val="center"/>
                </w:tcPr>
                <w:p w14:paraId="728C90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Helvetica" w:hAnsi="Helvetica" w:eastAsia="Helvetica" w:cs="Helvetica"/>
                      <w:i w:val="0"/>
                      <w:iCs w:val="0"/>
                      <w:caps w:val="0"/>
                      <w:color w:val="auto"/>
                      <w:spacing w:val="0"/>
                      <w:sz w:val="21"/>
                      <w:szCs w:val="21"/>
                      <w:shd w:val="clear" w:fill="FFFFFF"/>
                    </w:rPr>
                  </w:pPr>
                  <w:r>
                    <w:rPr>
                      <w:rFonts w:hint="eastAsia" w:ascii="Helvetica" w:hAnsi="Helvetica" w:eastAsia="Helvetica" w:cs="Helvetica"/>
                      <w:i w:val="0"/>
                      <w:iCs w:val="0"/>
                      <w:caps w:val="0"/>
                      <w:color w:val="auto"/>
                      <w:spacing w:val="0"/>
                      <w:sz w:val="21"/>
                      <w:szCs w:val="21"/>
                      <w:shd w:val="clear" w:fill="FFFFFF"/>
                    </w:rPr>
                    <w:t>易燃：易被热源、火花或火焰点燃。可与空气形成爆炸性混合物。暴露于</w:t>
                  </w:r>
                </w:p>
                <w:p w14:paraId="30EE74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Helvetica" w:hAnsi="Helvetica" w:eastAsia="Helvetica" w:cs="Helvetica"/>
                      <w:i w:val="0"/>
                      <w:iCs w:val="0"/>
                      <w:caps w:val="0"/>
                      <w:color w:val="auto"/>
                      <w:spacing w:val="0"/>
                      <w:sz w:val="21"/>
                      <w:szCs w:val="21"/>
                      <w:shd w:val="clear" w:fill="FFFFFF"/>
                    </w:rPr>
                    <w:t>火中的容器可能会通过压力安全阀泄漏出内容物，从而增加火势或蒸气的浓度。蒸气可能会移动到着火源并回闪。加热时，容器可能爆炸。暴露于火中的容器可能会通过压力安全阀泄漏出内容物。受热或接触火焰可能会产生膨胀或爆炸性分解</w:t>
                  </w:r>
                  <w:r>
                    <w:rPr>
                      <w:rFonts w:hint="eastAsia" w:ascii="Helvetica" w:hAnsi="Helvetica" w:eastAsia="宋体" w:cs="Helvetica"/>
                      <w:i w:val="0"/>
                      <w:iCs w:val="0"/>
                      <w:caps w:val="0"/>
                      <w:color w:val="auto"/>
                      <w:spacing w:val="0"/>
                      <w:sz w:val="21"/>
                      <w:szCs w:val="21"/>
                      <w:shd w:val="clear" w:fill="FFFFFF"/>
                      <w:lang w:eastAsia="zh-CN"/>
                    </w:rPr>
                    <w:t>。</w:t>
                  </w:r>
                </w:p>
              </w:tc>
            </w:tr>
            <w:tr w14:paraId="2201F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43" w:type="dxa"/>
                  <w:tcBorders>
                    <w:tl2br w:val="nil"/>
                    <w:tr2bl w:val="nil"/>
                  </w:tcBorders>
                  <w:noWrap w:val="0"/>
                  <w:vAlign w:val="center"/>
                </w:tcPr>
                <w:p w14:paraId="317129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储存注意</w:t>
                  </w:r>
                </w:p>
              </w:tc>
              <w:tc>
                <w:tcPr>
                  <w:tcW w:w="6847" w:type="dxa"/>
                  <w:gridSpan w:val="4"/>
                  <w:tcBorders>
                    <w:tl2br w:val="nil"/>
                    <w:tr2bl w:val="nil"/>
                  </w:tcBorders>
                  <w:noWrap w:val="0"/>
                  <w:vAlign w:val="center"/>
                </w:tcPr>
                <w:p w14:paraId="11133D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kern w:val="0"/>
                      <w:sz w:val="21"/>
                      <w:szCs w:val="21"/>
                    </w:rPr>
                    <w:t>保持容器密闭。储存在干燥、阴凉和通风处。远离热源、火花、明火和热表面。存储于远离不相容材料和食品容器的地方</w:t>
                  </w:r>
                  <w:r>
                    <w:rPr>
                      <w:rFonts w:hint="default" w:ascii="Times New Roman" w:hAnsi="Times New Roman" w:eastAsia="宋体" w:cs="Times New Roman"/>
                      <w:color w:val="auto"/>
                      <w:sz w:val="21"/>
                      <w:szCs w:val="21"/>
                      <w:shd w:val="clear" w:fill="FFFFFF"/>
                      <w:lang w:eastAsia="zh-CN"/>
                    </w:rPr>
                    <w:t>。</w:t>
                  </w:r>
                </w:p>
              </w:tc>
            </w:tr>
            <w:tr w14:paraId="1C0CA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43" w:type="dxa"/>
                  <w:tcBorders>
                    <w:tl2br w:val="nil"/>
                    <w:tr2bl w:val="nil"/>
                  </w:tcBorders>
                  <w:noWrap w:val="0"/>
                  <w:vAlign w:val="center"/>
                </w:tcPr>
                <w:p w14:paraId="64F424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847" w:type="dxa"/>
                  <w:gridSpan w:val="4"/>
                  <w:tcBorders>
                    <w:tl2br w:val="nil"/>
                    <w:tr2bl w:val="nil"/>
                  </w:tcBorders>
                  <w:noWrap w:val="0"/>
                  <w:vAlign w:val="center"/>
                </w:tcPr>
                <w:p w14:paraId="5D1CDDA5">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kern w:val="0"/>
                      <w:sz w:val="21"/>
                      <w:szCs w:val="21"/>
                    </w:rPr>
                    <w:t>吸入该物质可能会引起对健康有害的影响或呼吸道不适。由于本品的物理状态，一般没有危害。在商业/工业场合中，认为本品不太可能进入体内。通过割伤、擦伤或病变处进入血液，可能产生全身损伤的有害作用。眼睛直接接触本品可导致暂时不适</w:t>
                  </w:r>
                  <w:r>
                    <w:rPr>
                      <w:rFonts w:hint="eastAsia" w:cs="Times New Roman"/>
                      <w:color w:val="auto"/>
                      <w:kern w:val="0"/>
                      <w:sz w:val="21"/>
                      <w:szCs w:val="21"/>
                      <w:lang w:eastAsia="zh-CN"/>
                    </w:rPr>
                    <w:t>。</w:t>
                  </w:r>
                </w:p>
              </w:tc>
            </w:tr>
            <w:tr w14:paraId="66BA2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43" w:type="dxa"/>
                  <w:tcBorders>
                    <w:tl2br w:val="nil"/>
                    <w:tr2bl w:val="nil"/>
                  </w:tcBorders>
                  <w:noWrap w:val="0"/>
                  <w:vAlign w:val="center"/>
                </w:tcPr>
                <w:p w14:paraId="5D74C9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泄漏应急处置</w:t>
                  </w:r>
                </w:p>
              </w:tc>
              <w:tc>
                <w:tcPr>
                  <w:tcW w:w="6847" w:type="dxa"/>
                  <w:gridSpan w:val="4"/>
                  <w:tcBorders>
                    <w:tl2br w:val="nil"/>
                    <w:tr2bl w:val="nil"/>
                  </w:tcBorders>
                  <w:noWrap w:val="0"/>
                  <w:vAlign w:val="center"/>
                </w:tcPr>
                <w:p w14:paraId="65E4A8DC">
                  <w:pPr>
                    <w:pStyle w:val="31"/>
                    <w:keepNext w:val="0"/>
                    <w:keepLines w:val="0"/>
                    <w:pageBreakBefore w:val="0"/>
                    <w:widowControl w:val="0"/>
                    <w:kinsoku/>
                    <w:wordWrap/>
                    <w:overflowPunct/>
                    <w:topLinePunct w:val="0"/>
                    <w:autoSpaceDE/>
                    <w:autoSpaceDN/>
                    <w:bidi w:val="0"/>
                    <w:adjustRightInd/>
                    <w:snapToGrid/>
                    <w:spacing w:before="0" w:after="0"/>
                    <w:ind w:firstLine="0" w:firstLineChars="0"/>
                    <w:jc w:val="left"/>
                    <w:textAlignment w:val="auto"/>
                    <w:rPr>
                      <w:rFonts w:hint="eastAsia"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0"/>
                      <w:sz w:val="21"/>
                      <w:szCs w:val="21"/>
                    </w:rPr>
                    <w:t>少量泄漏时，可采用干砂或惰性吸附材料吸收泄漏物，大量泄漏时需筑堤控制。附着物或收集物应存放在合适的密闭容器中，并根据当地相关法律法规废弃处置。清除所有点火源，并采用防火花工具和防暴设备。</w:t>
                  </w:r>
                </w:p>
              </w:tc>
            </w:tr>
          </w:tbl>
          <w:p w14:paraId="5B457195">
            <w:pPr>
              <w:pStyle w:val="33"/>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表70  三甲苯理化性质及危险性识别一览表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307"/>
              <w:gridCol w:w="1541"/>
              <w:gridCol w:w="1931"/>
              <w:gridCol w:w="2068"/>
            </w:tblGrid>
            <w:tr w14:paraId="09E11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543" w:type="dxa"/>
                  <w:tcBorders>
                    <w:tl2br w:val="nil"/>
                    <w:tr2bl w:val="nil"/>
                  </w:tcBorders>
                  <w:noWrap w:val="0"/>
                  <w:vAlign w:val="center"/>
                </w:tcPr>
                <w:p w14:paraId="129F2B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1307" w:type="dxa"/>
                  <w:tcBorders>
                    <w:tl2br w:val="nil"/>
                    <w:tr2bl w:val="nil"/>
                  </w:tcBorders>
                  <w:noWrap w:val="0"/>
                  <w:vAlign w:val="center"/>
                </w:tcPr>
                <w:p w14:paraId="63D10B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541" w:type="dxa"/>
                  <w:tcBorders>
                    <w:tl2br w:val="nil"/>
                    <w:tr2bl w:val="nil"/>
                  </w:tcBorders>
                  <w:noWrap w:val="0"/>
                  <w:vAlign w:val="center"/>
                </w:tcPr>
                <w:p w14:paraId="5E01D5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1931" w:type="dxa"/>
                  <w:tcBorders>
                    <w:tl2br w:val="nil"/>
                    <w:tr2bl w:val="nil"/>
                  </w:tcBorders>
                  <w:noWrap w:val="0"/>
                  <w:vAlign w:val="center"/>
                </w:tcPr>
                <w:p w14:paraId="113CE5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沸点</w:t>
                  </w:r>
                </w:p>
              </w:tc>
              <w:tc>
                <w:tcPr>
                  <w:tcW w:w="2068" w:type="dxa"/>
                  <w:tcBorders>
                    <w:tl2br w:val="nil"/>
                    <w:tr2bl w:val="nil"/>
                  </w:tcBorders>
                  <w:noWrap w:val="0"/>
                  <w:vAlign w:val="center"/>
                </w:tcPr>
                <w:p w14:paraId="69F69D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熔点</w:t>
                  </w:r>
                </w:p>
              </w:tc>
            </w:tr>
            <w:tr w14:paraId="09142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543" w:type="dxa"/>
                  <w:tcBorders>
                    <w:tl2br w:val="nil"/>
                    <w:tr2bl w:val="nil"/>
                  </w:tcBorders>
                  <w:noWrap w:val="0"/>
                  <w:vAlign w:val="center"/>
                </w:tcPr>
                <w:p w14:paraId="674AD8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三甲苯</w:t>
                  </w:r>
                </w:p>
              </w:tc>
              <w:tc>
                <w:tcPr>
                  <w:tcW w:w="1307" w:type="dxa"/>
                  <w:tcBorders>
                    <w:tl2br w:val="nil"/>
                    <w:tr2bl w:val="nil"/>
                  </w:tcBorders>
                  <w:noWrap w:val="0"/>
                  <w:vAlign w:val="center"/>
                </w:tcPr>
                <w:p w14:paraId="6D233C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w:t>
                  </w:r>
                  <w:r>
                    <w:rPr>
                      <w:rFonts w:hint="eastAsia" w:cs="Times New Roman"/>
                      <w:color w:val="auto"/>
                      <w:sz w:val="21"/>
                      <w:szCs w:val="21"/>
                      <w:highlight w:val="none"/>
                      <w:shd w:val="clear" w:color="auto" w:fill="auto"/>
                      <w:vertAlign w:val="subscript"/>
                      <w:lang w:val="en-US" w:eastAsia="zh-CN"/>
                    </w:rPr>
                    <w:t>9</w:t>
                  </w: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12</w:t>
                  </w:r>
                </w:p>
              </w:tc>
              <w:tc>
                <w:tcPr>
                  <w:tcW w:w="1541" w:type="dxa"/>
                  <w:tcBorders>
                    <w:tl2br w:val="nil"/>
                    <w:tr2bl w:val="nil"/>
                  </w:tcBorders>
                  <w:noWrap w:val="0"/>
                  <w:vAlign w:val="center"/>
                </w:tcPr>
                <w:p w14:paraId="195F33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120.19</w:t>
                  </w:r>
                </w:p>
              </w:tc>
              <w:tc>
                <w:tcPr>
                  <w:tcW w:w="1931" w:type="dxa"/>
                  <w:tcBorders>
                    <w:tl2br w:val="nil"/>
                    <w:tr2bl w:val="nil"/>
                  </w:tcBorders>
                  <w:noWrap w:val="0"/>
                  <w:vAlign w:val="center"/>
                </w:tcPr>
                <w:p w14:paraId="53DDFF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159.22</w:t>
                  </w:r>
                  <w:r>
                    <w:rPr>
                      <w:rFonts w:hint="default" w:ascii="Times New Roman" w:hAnsi="Times New Roman" w:eastAsia="宋体" w:cs="Times New Roman"/>
                      <w:color w:val="auto"/>
                      <w:sz w:val="21"/>
                      <w:szCs w:val="21"/>
                      <w:highlight w:val="none"/>
                      <w:shd w:val="clear" w:color="auto" w:fill="auto"/>
                      <w:lang w:val="en-US" w:eastAsia="zh-CN"/>
                    </w:rPr>
                    <w:t>℃</w:t>
                  </w:r>
                </w:p>
              </w:tc>
              <w:tc>
                <w:tcPr>
                  <w:tcW w:w="2068" w:type="dxa"/>
                  <w:tcBorders>
                    <w:tl2br w:val="nil"/>
                    <w:tr2bl w:val="nil"/>
                  </w:tcBorders>
                  <w:noWrap w:val="0"/>
                  <w:vAlign w:val="center"/>
                </w:tcPr>
                <w:p w14:paraId="2FC356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-68.52</w:t>
                  </w:r>
                  <w:r>
                    <w:rPr>
                      <w:rFonts w:hint="default" w:ascii="Times New Roman" w:hAnsi="Times New Roman" w:eastAsia="宋体" w:cs="Times New Roman"/>
                      <w:color w:val="auto"/>
                      <w:sz w:val="21"/>
                      <w:szCs w:val="21"/>
                      <w:highlight w:val="none"/>
                      <w:shd w:val="clear" w:color="auto" w:fill="auto"/>
                      <w:lang w:val="en-US" w:eastAsia="zh-CN"/>
                    </w:rPr>
                    <w:t>℃</w:t>
                  </w:r>
                </w:p>
              </w:tc>
            </w:tr>
            <w:tr w14:paraId="78E2E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43" w:type="dxa"/>
                  <w:tcBorders>
                    <w:tl2br w:val="nil"/>
                    <w:tr2bl w:val="nil"/>
                  </w:tcBorders>
                  <w:noWrap w:val="0"/>
                  <w:vAlign w:val="center"/>
                </w:tcPr>
                <w:p w14:paraId="1A6739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性</w:t>
                  </w:r>
                  <w:r>
                    <w:rPr>
                      <w:rFonts w:hint="eastAsia" w:ascii="Times New Roman" w:hAnsi="Times New Roman" w:eastAsia="宋体" w:cs="Times New Roman"/>
                      <w:color w:val="auto"/>
                      <w:sz w:val="21"/>
                      <w:szCs w:val="21"/>
                      <w:highlight w:val="none"/>
                      <w:shd w:val="clear" w:color="auto" w:fill="auto"/>
                      <w:lang w:val="en-US" w:eastAsia="zh-CN"/>
                    </w:rPr>
                    <w:t>状和溶解性</w:t>
                  </w:r>
                </w:p>
              </w:tc>
              <w:tc>
                <w:tcPr>
                  <w:tcW w:w="6847" w:type="dxa"/>
                  <w:gridSpan w:val="4"/>
                  <w:tcBorders>
                    <w:tl2br w:val="nil"/>
                    <w:tr2bl w:val="nil"/>
                  </w:tcBorders>
                  <w:noWrap w:val="0"/>
                  <w:vAlign w:val="center"/>
                </w:tcPr>
                <w:p w14:paraId="746052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无色透明液体，有类似苯的芳香气味。</w:t>
                  </w:r>
                  <w:r>
                    <w:rPr>
                      <w:rFonts w:ascii="宋体" w:hAnsi="宋体" w:eastAsia="宋体" w:cs="宋体"/>
                      <w:color w:val="auto"/>
                      <w:sz w:val="21"/>
                      <w:szCs w:val="21"/>
                    </w:rPr>
                    <w:t>不溶于水，可混溶于苯、醇、醚等多种有机溶剂</w:t>
                  </w:r>
                  <w:r>
                    <w:rPr>
                      <w:color w:val="auto"/>
                      <w:sz w:val="21"/>
                      <w:szCs w:val="21"/>
                    </w:rPr>
                    <w:t>。</w:t>
                  </w:r>
                </w:p>
              </w:tc>
            </w:tr>
            <w:tr w14:paraId="067F7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43" w:type="dxa"/>
                  <w:tcBorders>
                    <w:tl2br w:val="nil"/>
                    <w:tr2bl w:val="nil"/>
                  </w:tcBorders>
                  <w:noWrap w:val="0"/>
                  <w:vAlign w:val="center"/>
                </w:tcPr>
                <w:p w14:paraId="52C2F0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储存注意</w:t>
                  </w:r>
                </w:p>
              </w:tc>
              <w:tc>
                <w:tcPr>
                  <w:tcW w:w="6847" w:type="dxa"/>
                  <w:gridSpan w:val="4"/>
                  <w:tcBorders>
                    <w:tl2br w:val="nil"/>
                    <w:tr2bl w:val="nil"/>
                  </w:tcBorders>
                  <w:noWrap w:val="0"/>
                  <w:vAlign w:val="center"/>
                </w:tcPr>
                <w:p w14:paraId="115BA59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textAlignment w:val="baseline"/>
                    <w:rPr>
                      <w:rFonts w:hint="eastAsia" w:ascii="宋体" w:hAnsi="宋体" w:eastAsia="宋体" w:cs="宋体"/>
                      <w:color w:val="auto"/>
                      <w:sz w:val="21"/>
                      <w:szCs w:val="21"/>
                      <w:lang w:eastAsia="zh-CN"/>
                    </w:rPr>
                  </w:pPr>
                  <w:r>
                    <w:rPr>
                      <w:rFonts w:hint="default" w:ascii="宋体" w:hAnsi="宋体" w:eastAsia="宋体" w:cs="宋体"/>
                      <w:color w:val="auto"/>
                      <w:kern w:val="2"/>
                      <w:sz w:val="21"/>
                      <w:szCs w:val="21"/>
                      <w:lang w:val="en-US" w:eastAsia="zh-CN" w:bidi="ar-SA"/>
                    </w:rPr>
                    <w:t>储存于阴凉、通风的库房。库温不宜超过37°C。应与氧化剂、食用化学品分开存放，切忌混储。保持容器密封。远离火种、热源。库房必须安装避雷设备。排风系统应设有导除静电的接地装置。采用防爆型照明、通风设置。禁止使用易产生火花的设备和工具。储区应备有泄漏应急处理设备和合适的收容材料。</w:t>
                  </w:r>
                </w:p>
              </w:tc>
            </w:tr>
            <w:tr w14:paraId="7A4B5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43" w:type="dxa"/>
                  <w:tcBorders>
                    <w:tl2br w:val="nil"/>
                    <w:tr2bl w:val="nil"/>
                  </w:tcBorders>
                  <w:noWrap w:val="0"/>
                  <w:vAlign w:val="center"/>
                </w:tcPr>
                <w:p w14:paraId="4F41BF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847" w:type="dxa"/>
                  <w:gridSpan w:val="4"/>
                  <w:tcBorders>
                    <w:tl2br w:val="nil"/>
                    <w:tr2bl w:val="nil"/>
                  </w:tcBorders>
                  <w:noWrap w:val="0"/>
                  <w:vAlign w:val="center"/>
                </w:tcPr>
                <w:p w14:paraId="75968D04">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吸入：如果吸入，请将患者移到新鲜空气处。</w:t>
                  </w:r>
                </w:p>
                <w:p w14:paraId="75D94D97">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皮肤接触: 脱去污染的衣着，用肥皂水和清水彻底冲洗皮肤。如有不适感，就医。</w:t>
                  </w:r>
                </w:p>
                <w:p w14:paraId="1D7BF699">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眼睛</w:t>
                  </w:r>
                  <w:r>
                    <w:rPr>
                      <w:rFonts w:hint="eastAsia" w:ascii="宋体" w:hAnsi="宋体" w:eastAsia="宋体" w:cs="宋体"/>
                      <w:color w:val="auto"/>
                      <w:kern w:val="2"/>
                      <w:sz w:val="21"/>
                      <w:szCs w:val="21"/>
                      <w:lang w:val="en-US" w:eastAsia="zh-CN" w:bidi="ar-SA"/>
                    </w:rPr>
                    <w:t>接触：分开眼睑，用流动清水或生理盐水冲洗。立即就医。</w:t>
                  </w:r>
                </w:p>
                <w:p w14:paraId="53187D2D">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Times New Roman" w:hAnsi="Times New Roman" w:eastAsia="宋体" w:cs="Times New Roman"/>
                      <w:color w:val="auto"/>
                      <w:szCs w:val="21"/>
                      <w:highlight w:val="none"/>
                      <w:shd w:val="clear" w:color="auto" w:fill="auto"/>
                      <w:lang w:val="en-US" w:eastAsia="zh-CN"/>
                    </w:rPr>
                  </w:pPr>
                  <w:r>
                    <w:rPr>
                      <w:rFonts w:hint="eastAsia" w:ascii="宋体" w:hAnsi="宋体" w:eastAsia="宋体" w:cs="宋体"/>
                      <w:color w:val="auto"/>
                      <w:kern w:val="2"/>
                      <w:sz w:val="21"/>
                      <w:szCs w:val="21"/>
                      <w:lang w:val="en-US" w:eastAsia="zh-CN" w:bidi="ar-SA"/>
                    </w:rPr>
                    <w:t>食入：漱口，禁止催吐。立即就医。</w:t>
                  </w:r>
                </w:p>
              </w:tc>
            </w:tr>
            <w:tr w14:paraId="734F3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43" w:type="dxa"/>
                  <w:tcBorders>
                    <w:tl2br w:val="nil"/>
                    <w:tr2bl w:val="nil"/>
                  </w:tcBorders>
                  <w:noWrap w:val="0"/>
                  <w:vAlign w:val="center"/>
                </w:tcPr>
                <w:p w14:paraId="6DCAC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泄漏应急处置</w:t>
                  </w:r>
                </w:p>
              </w:tc>
              <w:tc>
                <w:tcPr>
                  <w:tcW w:w="6847" w:type="dxa"/>
                  <w:gridSpan w:val="4"/>
                  <w:tcBorders>
                    <w:tl2br w:val="nil"/>
                    <w:tr2bl w:val="nil"/>
                  </w:tcBorders>
                  <w:noWrap w:val="0"/>
                  <w:vAlign w:val="center"/>
                </w:tcPr>
                <w:p w14:paraId="62789DB7">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eastAsia="宋体"/>
                      <w:color w:val="auto"/>
                      <w:lang w:eastAsia="zh-CN"/>
                    </w:rPr>
                  </w:pPr>
                  <w:r>
                    <w:rPr>
                      <w:rFonts w:hint="eastAsia" w:eastAsia="宋体"/>
                      <w:color w:val="auto"/>
                      <w:lang w:eastAsia="zh-CN"/>
                    </w:rPr>
                    <w:t>小量泄漏：尽可能将泄漏液体收集在可密闭的容器中。用沙土、活性炭或其它惰性材料吸收，并转移至安全场所。禁止冲入下水道。</w:t>
                  </w:r>
                </w:p>
                <w:p w14:paraId="44E78767">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eastAsia="宋体"/>
                      <w:color w:val="auto"/>
                      <w:lang w:eastAsia="zh-CN"/>
                    </w:rPr>
                  </w:pPr>
                  <w:r>
                    <w:rPr>
                      <w:rFonts w:hint="eastAsia" w:eastAsia="宋体"/>
                      <w:color w:val="auto"/>
                      <w:lang w:eastAsia="zh-CN"/>
                    </w:rPr>
                    <w:t>大量泄漏：构筑围堤或挖坑收容。封闭排水管道。用泡沫覆盖，抑制蒸发。用防爆泵转移至槽车或专用收集器内，回收或运至废物处理场所处置</w:t>
                  </w:r>
                  <w:r>
                    <w:rPr>
                      <w:rFonts w:hint="eastAsia"/>
                      <w:color w:val="auto"/>
                      <w:lang w:eastAsia="zh-CN"/>
                    </w:rPr>
                    <w:t>。</w:t>
                  </w:r>
                </w:p>
              </w:tc>
            </w:tr>
          </w:tbl>
          <w:p w14:paraId="331FF364">
            <w:pPr>
              <w:pStyle w:val="33"/>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表71  环己酮理化性质及危险性识别一览表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276"/>
              <w:gridCol w:w="1418"/>
              <w:gridCol w:w="2085"/>
              <w:gridCol w:w="2068"/>
            </w:tblGrid>
            <w:tr w14:paraId="63D96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543" w:type="dxa"/>
                  <w:tcBorders>
                    <w:tl2br w:val="nil"/>
                    <w:tr2bl w:val="nil"/>
                  </w:tcBorders>
                  <w:noWrap w:val="0"/>
                  <w:vAlign w:val="center"/>
                </w:tcPr>
                <w:p w14:paraId="6A31EC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1276" w:type="dxa"/>
                  <w:tcBorders>
                    <w:tl2br w:val="nil"/>
                    <w:tr2bl w:val="nil"/>
                  </w:tcBorders>
                  <w:noWrap w:val="0"/>
                  <w:vAlign w:val="center"/>
                </w:tcPr>
                <w:p w14:paraId="4C25C5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418" w:type="dxa"/>
                  <w:tcBorders>
                    <w:tl2br w:val="nil"/>
                    <w:tr2bl w:val="nil"/>
                  </w:tcBorders>
                  <w:noWrap w:val="0"/>
                  <w:vAlign w:val="center"/>
                </w:tcPr>
                <w:p w14:paraId="2CAC63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2085" w:type="dxa"/>
                  <w:tcBorders>
                    <w:tl2br w:val="nil"/>
                    <w:tr2bl w:val="nil"/>
                  </w:tcBorders>
                  <w:noWrap w:val="0"/>
                  <w:vAlign w:val="center"/>
                </w:tcPr>
                <w:p w14:paraId="69F7BF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CAS号</w:t>
                  </w:r>
                </w:p>
              </w:tc>
              <w:tc>
                <w:tcPr>
                  <w:tcW w:w="2068" w:type="dxa"/>
                  <w:tcBorders>
                    <w:tl2br w:val="nil"/>
                    <w:tr2bl w:val="nil"/>
                  </w:tcBorders>
                  <w:noWrap w:val="0"/>
                  <w:vAlign w:val="center"/>
                </w:tcPr>
                <w:p w14:paraId="642129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熔点</w:t>
                  </w:r>
                </w:p>
              </w:tc>
            </w:tr>
            <w:tr w14:paraId="69769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543" w:type="dxa"/>
                  <w:tcBorders>
                    <w:tl2br w:val="nil"/>
                    <w:tr2bl w:val="nil"/>
                  </w:tcBorders>
                  <w:noWrap w:val="0"/>
                  <w:vAlign w:val="center"/>
                </w:tcPr>
                <w:p w14:paraId="6C16FE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环己酮</w:t>
                  </w:r>
                </w:p>
              </w:tc>
              <w:tc>
                <w:tcPr>
                  <w:tcW w:w="1276" w:type="dxa"/>
                  <w:tcBorders>
                    <w:tl2br w:val="nil"/>
                    <w:tr2bl w:val="nil"/>
                  </w:tcBorders>
                  <w:noWrap w:val="0"/>
                  <w:vAlign w:val="center"/>
                </w:tcPr>
                <w:p w14:paraId="374308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lang w:val="en-US" w:eastAsia="zh-CN"/>
                    </w:rPr>
                    <w:t>C</w:t>
                  </w:r>
                  <w:r>
                    <w:rPr>
                      <w:rFonts w:hint="eastAsia" w:cs="Times New Roman"/>
                      <w:color w:val="auto"/>
                      <w:sz w:val="21"/>
                      <w:szCs w:val="21"/>
                      <w:highlight w:val="none"/>
                      <w:shd w:val="clear" w:color="auto" w:fill="auto"/>
                      <w:vertAlign w:val="subscript"/>
                      <w:lang w:val="en-US" w:eastAsia="zh-CN"/>
                    </w:rPr>
                    <w:t>6</w:t>
                  </w: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10</w:t>
                  </w:r>
                  <w:r>
                    <w:rPr>
                      <w:rFonts w:hint="eastAsia" w:cs="Times New Roman"/>
                      <w:color w:val="auto"/>
                      <w:sz w:val="21"/>
                      <w:szCs w:val="21"/>
                      <w:highlight w:val="none"/>
                      <w:shd w:val="clear" w:color="auto" w:fill="auto"/>
                      <w:vertAlign w:val="baseline"/>
                      <w:lang w:val="en-US" w:eastAsia="zh-CN"/>
                    </w:rPr>
                    <w:t>O</w:t>
                  </w:r>
                </w:p>
              </w:tc>
              <w:tc>
                <w:tcPr>
                  <w:tcW w:w="1418" w:type="dxa"/>
                  <w:tcBorders>
                    <w:tl2br w:val="nil"/>
                    <w:tr2bl w:val="nil"/>
                  </w:tcBorders>
                  <w:noWrap w:val="0"/>
                  <w:vAlign w:val="center"/>
                </w:tcPr>
                <w:p w14:paraId="7E20A5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98.14</w:t>
                  </w:r>
                </w:p>
              </w:tc>
              <w:tc>
                <w:tcPr>
                  <w:tcW w:w="2085" w:type="dxa"/>
                  <w:tcBorders>
                    <w:tl2br w:val="nil"/>
                    <w:tr2bl w:val="nil"/>
                  </w:tcBorders>
                  <w:noWrap w:val="0"/>
                  <w:vAlign w:val="center"/>
                </w:tcPr>
                <w:p w14:paraId="2C98A2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10</w:t>
                  </w:r>
                  <w:r>
                    <w:rPr>
                      <w:rFonts w:hint="eastAsia" w:cs="Times New Roman"/>
                      <w:color w:val="auto"/>
                      <w:sz w:val="21"/>
                      <w:szCs w:val="21"/>
                      <w:highlight w:val="none"/>
                      <w:shd w:val="clear" w:color="auto" w:fill="auto"/>
                      <w:lang w:val="en-US" w:eastAsia="zh-CN"/>
                    </w:rPr>
                    <w:t>8</w:t>
                  </w:r>
                  <w:r>
                    <w:rPr>
                      <w:rFonts w:hint="eastAsia" w:ascii="Times New Roman" w:hAnsi="Times New Roman" w:eastAsia="宋体" w:cs="Times New Roman"/>
                      <w:color w:val="auto"/>
                      <w:sz w:val="21"/>
                      <w:szCs w:val="21"/>
                      <w:highlight w:val="none"/>
                      <w:shd w:val="clear" w:color="auto" w:fill="auto"/>
                      <w:lang w:val="en-US" w:eastAsia="zh-CN"/>
                    </w:rPr>
                    <w:t>-9</w:t>
                  </w:r>
                  <w:r>
                    <w:rPr>
                      <w:rFonts w:hint="eastAsia" w:cs="Times New Roman"/>
                      <w:color w:val="auto"/>
                      <w:sz w:val="21"/>
                      <w:szCs w:val="21"/>
                      <w:highlight w:val="none"/>
                      <w:shd w:val="clear" w:color="auto" w:fill="auto"/>
                      <w:lang w:val="en-US" w:eastAsia="zh-CN"/>
                    </w:rPr>
                    <w:t>4</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1</w:t>
                  </w:r>
                </w:p>
              </w:tc>
              <w:tc>
                <w:tcPr>
                  <w:tcW w:w="2068" w:type="dxa"/>
                  <w:tcBorders>
                    <w:tl2br w:val="nil"/>
                    <w:tr2bl w:val="nil"/>
                  </w:tcBorders>
                  <w:noWrap w:val="0"/>
                  <w:vAlign w:val="center"/>
                </w:tcPr>
                <w:p w14:paraId="164081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-45</w:t>
                  </w:r>
                  <w:r>
                    <w:rPr>
                      <w:rFonts w:hint="default" w:ascii="Times New Roman" w:hAnsi="Times New Roman" w:eastAsia="宋体" w:cs="Times New Roman"/>
                      <w:color w:val="auto"/>
                      <w:sz w:val="21"/>
                      <w:szCs w:val="21"/>
                      <w:highlight w:val="none"/>
                      <w:shd w:val="clear" w:color="auto" w:fill="auto"/>
                      <w:lang w:val="en-US" w:eastAsia="zh-CN"/>
                    </w:rPr>
                    <w:t>℃</w:t>
                  </w:r>
                </w:p>
              </w:tc>
            </w:tr>
            <w:tr w14:paraId="38CAD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43" w:type="dxa"/>
                  <w:tcBorders>
                    <w:tl2br w:val="nil"/>
                    <w:tr2bl w:val="nil"/>
                  </w:tcBorders>
                  <w:noWrap w:val="0"/>
                  <w:vAlign w:val="center"/>
                </w:tcPr>
                <w:p w14:paraId="2C5781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相对空气密度（空气=1）</w:t>
                  </w:r>
                </w:p>
              </w:tc>
              <w:tc>
                <w:tcPr>
                  <w:tcW w:w="1276" w:type="dxa"/>
                  <w:tcBorders>
                    <w:tl2br w:val="nil"/>
                    <w:tr2bl w:val="nil"/>
                  </w:tcBorders>
                  <w:noWrap w:val="0"/>
                  <w:vAlign w:val="center"/>
                </w:tcPr>
                <w:p w14:paraId="17B982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临界压力</w:t>
                  </w:r>
                </w:p>
              </w:tc>
              <w:tc>
                <w:tcPr>
                  <w:tcW w:w="1418" w:type="dxa"/>
                  <w:tcBorders>
                    <w:tl2br w:val="nil"/>
                    <w:tr2bl w:val="nil"/>
                  </w:tcBorders>
                  <w:noWrap w:val="0"/>
                  <w:vAlign w:val="center"/>
                </w:tcPr>
                <w:p w14:paraId="22D026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临界温度</w:t>
                  </w:r>
                </w:p>
              </w:tc>
              <w:tc>
                <w:tcPr>
                  <w:tcW w:w="2085" w:type="dxa"/>
                  <w:tcBorders>
                    <w:tl2br w:val="nil"/>
                    <w:tr2bl w:val="nil"/>
                  </w:tcBorders>
                  <w:noWrap w:val="0"/>
                  <w:vAlign w:val="center"/>
                </w:tcPr>
                <w:p w14:paraId="222C59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相对</w:t>
                  </w:r>
                  <w:r>
                    <w:rPr>
                      <w:rFonts w:hint="eastAsia" w:ascii="Times New Roman" w:hAnsi="Times New Roman" w:eastAsia="宋体" w:cs="Times New Roman"/>
                      <w:color w:val="auto"/>
                      <w:sz w:val="21"/>
                      <w:szCs w:val="21"/>
                      <w:highlight w:val="none"/>
                      <w:shd w:val="clear" w:color="auto" w:fill="auto"/>
                      <w:lang w:val="en-US" w:eastAsia="zh-CN"/>
                    </w:rPr>
                    <w:t>密度（水=1）</w:t>
                  </w:r>
                </w:p>
              </w:tc>
              <w:tc>
                <w:tcPr>
                  <w:tcW w:w="2068" w:type="dxa"/>
                  <w:tcBorders>
                    <w:tl2br w:val="nil"/>
                    <w:tr2bl w:val="nil"/>
                  </w:tcBorders>
                  <w:noWrap w:val="0"/>
                  <w:vAlign w:val="center"/>
                </w:tcPr>
                <w:p w14:paraId="4E8319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饱和蒸气压</w:t>
                  </w:r>
                </w:p>
              </w:tc>
            </w:tr>
            <w:tr w14:paraId="10CF1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43" w:type="dxa"/>
                  <w:tcBorders>
                    <w:tl2br w:val="nil"/>
                    <w:tr2bl w:val="nil"/>
                  </w:tcBorders>
                  <w:noWrap w:val="0"/>
                  <w:vAlign w:val="center"/>
                </w:tcPr>
                <w:p w14:paraId="4C5A6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3.38</w:t>
                  </w:r>
                </w:p>
              </w:tc>
              <w:tc>
                <w:tcPr>
                  <w:tcW w:w="1276" w:type="dxa"/>
                  <w:tcBorders>
                    <w:tl2br w:val="nil"/>
                    <w:tr2bl w:val="nil"/>
                  </w:tcBorders>
                  <w:noWrap w:val="0"/>
                  <w:vAlign w:val="center"/>
                </w:tcPr>
                <w:p w14:paraId="2E667C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4.06MPa</w:t>
                  </w:r>
                </w:p>
              </w:tc>
              <w:tc>
                <w:tcPr>
                  <w:tcW w:w="1418" w:type="dxa"/>
                  <w:tcBorders>
                    <w:tl2br w:val="nil"/>
                    <w:tr2bl w:val="nil"/>
                  </w:tcBorders>
                  <w:noWrap w:val="0"/>
                  <w:vAlign w:val="center"/>
                </w:tcPr>
                <w:p w14:paraId="1C1547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385.9</w:t>
                  </w:r>
                  <w:r>
                    <w:rPr>
                      <w:rFonts w:hint="default" w:ascii="Times New Roman" w:hAnsi="Times New Roman" w:cs="Times New Roman"/>
                      <w:color w:val="auto"/>
                      <w:sz w:val="21"/>
                      <w:szCs w:val="21"/>
                      <w:highlight w:val="none"/>
                      <w:shd w:val="clear" w:color="auto" w:fill="auto"/>
                      <w:lang w:val="en-US" w:eastAsia="zh-CN"/>
                    </w:rPr>
                    <w:t>℃</w:t>
                  </w:r>
                </w:p>
              </w:tc>
              <w:tc>
                <w:tcPr>
                  <w:tcW w:w="2085" w:type="dxa"/>
                  <w:tcBorders>
                    <w:tl2br w:val="nil"/>
                    <w:tr2bl w:val="nil"/>
                  </w:tcBorders>
                  <w:noWrap w:val="0"/>
                  <w:vAlign w:val="center"/>
                </w:tcPr>
                <w:p w14:paraId="4F36EF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0.95</w:t>
                  </w:r>
                </w:p>
              </w:tc>
              <w:tc>
                <w:tcPr>
                  <w:tcW w:w="2068" w:type="dxa"/>
                  <w:tcBorders>
                    <w:tl2br w:val="nil"/>
                    <w:tr2bl w:val="nil"/>
                  </w:tcBorders>
                  <w:noWrap w:val="0"/>
                  <w:vAlign w:val="center"/>
                </w:tcPr>
                <w:p w14:paraId="04AB91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1.33（38.7</w:t>
                  </w:r>
                  <w:r>
                    <w:rPr>
                      <w:rFonts w:hint="default" w:ascii="Times New Roman" w:hAnsi="Times New Roman"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）kPa</w:t>
                  </w:r>
                </w:p>
              </w:tc>
            </w:tr>
            <w:tr w14:paraId="1230C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43" w:type="dxa"/>
                  <w:tcBorders>
                    <w:tl2br w:val="nil"/>
                    <w:tr2bl w:val="nil"/>
                  </w:tcBorders>
                  <w:noWrap w:val="0"/>
                  <w:vAlign w:val="center"/>
                </w:tcPr>
                <w:p w14:paraId="167638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燃烧性</w:t>
                  </w:r>
                </w:p>
              </w:tc>
              <w:tc>
                <w:tcPr>
                  <w:tcW w:w="2694" w:type="dxa"/>
                  <w:gridSpan w:val="2"/>
                  <w:tcBorders>
                    <w:tl2br w:val="nil"/>
                    <w:tr2bl w:val="nil"/>
                  </w:tcBorders>
                  <w:noWrap w:val="0"/>
                  <w:vAlign w:val="center"/>
                </w:tcPr>
                <w:p w14:paraId="1ED42A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闪点</w:t>
                  </w:r>
                </w:p>
              </w:tc>
              <w:tc>
                <w:tcPr>
                  <w:tcW w:w="2085" w:type="dxa"/>
                  <w:tcBorders>
                    <w:tl2br w:val="nil"/>
                    <w:tr2bl w:val="nil"/>
                  </w:tcBorders>
                  <w:noWrap w:val="0"/>
                  <w:vAlign w:val="center"/>
                </w:tcPr>
                <w:p w14:paraId="6ABD83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自燃温度</w:t>
                  </w:r>
                </w:p>
              </w:tc>
              <w:tc>
                <w:tcPr>
                  <w:tcW w:w="2068" w:type="dxa"/>
                  <w:tcBorders>
                    <w:tl2br w:val="nil"/>
                    <w:tr2bl w:val="nil"/>
                  </w:tcBorders>
                  <w:noWrap w:val="0"/>
                  <w:vAlign w:val="center"/>
                </w:tcPr>
                <w:p w14:paraId="5F8B9C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爆炸极限（V%）</w:t>
                  </w:r>
                </w:p>
              </w:tc>
            </w:tr>
            <w:tr w14:paraId="48403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543" w:type="dxa"/>
                  <w:tcBorders>
                    <w:tl2br w:val="nil"/>
                    <w:tr2bl w:val="nil"/>
                  </w:tcBorders>
                  <w:noWrap w:val="0"/>
                  <w:vAlign w:val="center"/>
                </w:tcPr>
                <w:p w14:paraId="3BEDC6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易燃</w:t>
                  </w:r>
                </w:p>
              </w:tc>
              <w:tc>
                <w:tcPr>
                  <w:tcW w:w="2694" w:type="dxa"/>
                  <w:gridSpan w:val="2"/>
                  <w:tcBorders>
                    <w:tl2br w:val="nil"/>
                    <w:tr2bl w:val="nil"/>
                  </w:tcBorders>
                  <w:noWrap w:val="0"/>
                  <w:vAlign w:val="center"/>
                </w:tcPr>
                <w:p w14:paraId="34DFF0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43</w:t>
                  </w:r>
                  <w:r>
                    <w:rPr>
                      <w:rFonts w:hint="default" w:ascii="Times New Roman" w:hAnsi="Times New Roman" w:cs="Times New Roman"/>
                      <w:color w:val="auto"/>
                      <w:sz w:val="21"/>
                      <w:szCs w:val="21"/>
                      <w:highlight w:val="none"/>
                      <w:shd w:val="clear" w:color="auto" w:fill="auto"/>
                      <w:lang w:val="en-US" w:eastAsia="zh-CN"/>
                    </w:rPr>
                    <w:t>℃</w:t>
                  </w:r>
                </w:p>
              </w:tc>
              <w:tc>
                <w:tcPr>
                  <w:tcW w:w="2085" w:type="dxa"/>
                  <w:tcBorders>
                    <w:tl2br w:val="nil"/>
                    <w:tr2bl w:val="nil"/>
                  </w:tcBorders>
                  <w:noWrap w:val="0"/>
                  <w:vAlign w:val="center"/>
                </w:tcPr>
                <w:p w14:paraId="5BAE1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420</w:t>
                  </w:r>
                  <w:r>
                    <w:rPr>
                      <w:rFonts w:hint="default" w:ascii="Times New Roman" w:hAnsi="Times New Roman" w:cs="Times New Roman"/>
                      <w:color w:val="auto"/>
                      <w:sz w:val="21"/>
                      <w:szCs w:val="21"/>
                      <w:highlight w:val="none"/>
                      <w:shd w:val="clear" w:color="auto" w:fill="auto"/>
                      <w:lang w:val="en-US" w:eastAsia="zh-CN"/>
                    </w:rPr>
                    <w:t>℃</w:t>
                  </w:r>
                </w:p>
              </w:tc>
              <w:tc>
                <w:tcPr>
                  <w:tcW w:w="2068" w:type="dxa"/>
                  <w:tcBorders>
                    <w:tl2br w:val="nil"/>
                    <w:tr2bl w:val="nil"/>
                  </w:tcBorders>
                  <w:noWrap w:val="0"/>
                  <w:vAlign w:val="center"/>
                </w:tcPr>
                <w:p w14:paraId="6FA13B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下限1.1，上限9.4</w:t>
                  </w:r>
                </w:p>
              </w:tc>
            </w:tr>
            <w:tr w14:paraId="02F05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43" w:type="dxa"/>
                  <w:tcBorders>
                    <w:tl2br w:val="nil"/>
                    <w:tr2bl w:val="nil"/>
                  </w:tcBorders>
                  <w:noWrap w:val="0"/>
                  <w:vAlign w:val="center"/>
                </w:tcPr>
                <w:p w14:paraId="63F8F0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性</w:t>
                  </w:r>
                  <w:r>
                    <w:rPr>
                      <w:rFonts w:hint="eastAsia" w:ascii="Times New Roman" w:hAnsi="Times New Roman" w:eastAsia="宋体" w:cs="Times New Roman"/>
                      <w:color w:val="auto"/>
                      <w:sz w:val="21"/>
                      <w:szCs w:val="21"/>
                      <w:highlight w:val="none"/>
                      <w:shd w:val="clear" w:color="auto" w:fill="auto"/>
                      <w:lang w:val="en-US" w:eastAsia="zh-CN"/>
                    </w:rPr>
                    <w:t>状和溶解性</w:t>
                  </w:r>
                </w:p>
              </w:tc>
              <w:tc>
                <w:tcPr>
                  <w:tcW w:w="6847" w:type="dxa"/>
                  <w:gridSpan w:val="4"/>
                  <w:tcBorders>
                    <w:tl2br w:val="nil"/>
                    <w:tr2bl w:val="nil"/>
                  </w:tcBorders>
                  <w:noWrap w:val="0"/>
                  <w:vAlign w:val="center"/>
                </w:tcPr>
                <w:p w14:paraId="6D36E3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ascii="宋体" w:hAnsi="宋体" w:eastAsia="宋体" w:cs="宋体"/>
                      <w:color w:val="auto"/>
                      <w:sz w:val="21"/>
                      <w:szCs w:val="21"/>
                    </w:rPr>
                    <w:t>无色或浅黄色透明液体，有强烈的刺激性臭味</w:t>
                  </w:r>
                  <w:r>
                    <w:rPr>
                      <w:rFonts w:hint="eastAsia" w:cs="Times New Roman"/>
                      <w:color w:val="auto"/>
                      <w:sz w:val="21"/>
                      <w:szCs w:val="21"/>
                      <w:highlight w:val="none"/>
                      <w:shd w:val="clear" w:color="auto" w:fill="auto"/>
                      <w:lang w:val="en-US" w:eastAsia="zh-CN"/>
                    </w:rPr>
                    <w:t>。</w:t>
                  </w:r>
                  <w:r>
                    <w:rPr>
                      <w:rFonts w:ascii="宋体" w:hAnsi="宋体" w:eastAsia="宋体" w:cs="宋体"/>
                      <w:color w:val="auto"/>
                      <w:sz w:val="21"/>
                      <w:szCs w:val="21"/>
                    </w:rPr>
                    <w:t>微溶于水，可混溶于醇、醚、苯、丙酮等多数有机溶剂</w:t>
                  </w:r>
                  <w:r>
                    <w:rPr>
                      <w:color w:val="auto"/>
                      <w:sz w:val="21"/>
                      <w:szCs w:val="21"/>
                    </w:rPr>
                    <w:t>。</w:t>
                  </w:r>
                </w:p>
              </w:tc>
            </w:tr>
            <w:tr w14:paraId="17FA3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43" w:type="dxa"/>
                  <w:tcBorders>
                    <w:tl2br w:val="nil"/>
                    <w:tr2bl w:val="nil"/>
                  </w:tcBorders>
                  <w:noWrap w:val="0"/>
                  <w:vAlign w:val="center"/>
                </w:tcPr>
                <w:p w14:paraId="559630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危险特性</w:t>
                  </w:r>
                </w:p>
              </w:tc>
              <w:tc>
                <w:tcPr>
                  <w:tcW w:w="6847" w:type="dxa"/>
                  <w:gridSpan w:val="4"/>
                  <w:tcBorders>
                    <w:tl2br w:val="nil"/>
                    <w:tr2bl w:val="nil"/>
                  </w:tcBorders>
                  <w:noWrap w:val="0"/>
                  <w:vAlign w:val="center"/>
                </w:tcPr>
                <w:p w14:paraId="1F1158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ascii="宋体" w:hAnsi="宋体" w:eastAsia="宋体" w:cs="宋体"/>
                      <w:color w:val="auto"/>
                      <w:sz w:val="21"/>
                      <w:szCs w:val="21"/>
                    </w:rPr>
                    <w:t>遇明火、高热或与氧化剂接触，有引起燃烧爆炸的危险。若遇高热，容器内压增大，有开裂和爆炸的危险</w:t>
                  </w:r>
                  <w:r>
                    <w:rPr>
                      <w:rFonts w:hint="eastAsia" w:ascii="宋体" w:hAnsi="宋体" w:eastAsia="宋体" w:cs="宋体"/>
                      <w:color w:val="auto"/>
                      <w:sz w:val="21"/>
                      <w:szCs w:val="21"/>
                      <w:lang w:eastAsia="zh-CN"/>
                    </w:rPr>
                    <w:t>。</w:t>
                  </w:r>
                </w:p>
              </w:tc>
            </w:tr>
            <w:tr w14:paraId="03DD0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43" w:type="dxa"/>
                  <w:tcBorders>
                    <w:tl2br w:val="nil"/>
                    <w:tr2bl w:val="nil"/>
                  </w:tcBorders>
                  <w:noWrap w:val="0"/>
                  <w:vAlign w:val="center"/>
                </w:tcPr>
                <w:p w14:paraId="2F5009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储存注意</w:t>
                  </w:r>
                </w:p>
              </w:tc>
              <w:tc>
                <w:tcPr>
                  <w:tcW w:w="6847" w:type="dxa"/>
                  <w:gridSpan w:val="4"/>
                  <w:tcBorders>
                    <w:tl2br w:val="nil"/>
                    <w:tr2bl w:val="nil"/>
                  </w:tcBorders>
                  <w:noWrap w:val="0"/>
                  <w:vAlign w:val="center"/>
                </w:tcPr>
                <w:p w14:paraId="147000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sz w:val="21"/>
                      <w:szCs w:val="21"/>
                      <w:lang w:eastAsia="zh-CN"/>
                    </w:rPr>
                  </w:pPr>
                  <w:r>
                    <w:rPr>
                      <w:rFonts w:ascii="宋体" w:hAnsi="宋体" w:eastAsia="宋体" w:cs="宋体"/>
                      <w:color w:val="auto"/>
                      <w:sz w:val="21"/>
                      <w:szCs w:val="21"/>
                    </w:rPr>
                    <w:t>储存于阴凉、通风仓间内。远离火种、热源。仓温不宜超过30℃。防止阳光直射。包装要求密封，不可与空气接触。应与氧化剂分开存放。储存间内的照明、通风等设施应采用防爆型，开关设在仓外。配备相应品种和数量的消防器材。罐储时要有防火防爆技术措施。禁止使用易产生火花的机械设备和工具。充装要控制流速，注意防止静电积聚。搬运时要轻装轻卸，防止包装及容器损坏</w:t>
                  </w:r>
                  <w:r>
                    <w:rPr>
                      <w:rFonts w:hint="default" w:ascii="Times New Roman" w:hAnsi="Times New Roman" w:eastAsia="宋体" w:cs="Times New Roman"/>
                      <w:color w:val="auto"/>
                      <w:sz w:val="21"/>
                      <w:szCs w:val="21"/>
                      <w:shd w:val="clear" w:fill="FFFFFF"/>
                      <w:lang w:eastAsia="zh-CN"/>
                    </w:rPr>
                    <w:t>。</w:t>
                  </w:r>
                </w:p>
              </w:tc>
            </w:tr>
            <w:tr w14:paraId="09CC9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43" w:type="dxa"/>
                  <w:tcBorders>
                    <w:tl2br w:val="nil"/>
                    <w:tr2bl w:val="nil"/>
                  </w:tcBorders>
                  <w:noWrap w:val="0"/>
                  <w:vAlign w:val="center"/>
                </w:tcPr>
                <w:p w14:paraId="68C0D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侵入途径</w:t>
                  </w:r>
                </w:p>
              </w:tc>
              <w:tc>
                <w:tcPr>
                  <w:tcW w:w="6847" w:type="dxa"/>
                  <w:gridSpan w:val="4"/>
                  <w:tcBorders>
                    <w:tl2br w:val="nil"/>
                    <w:tr2bl w:val="nil"/>
                  </w:tcBorders>
                  <w:noWrap w:val="0"/>
                  <w:vAlign w:val="center"/>
                </w:tcPr>
                <w:p w14:paraId="311E75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shd w:val="clear" w:fill="FFFFFF"/>
                      <w:lang w:eastAsia="zh-CN"/>
                    </w:rPr>
                  </w:pPr>
                  <w:r>
                    <w:rPr>
                      <w:rFonts w:ascii="宋体" w:hAnsi="宋体" w:eastAsia="宋体" w:cs="宋体"/>
                      <w:color w:val="auto"/>
                      <w:sz w:val="21"/>
                      <w:szCs w:val="21"/>
                    </w:rPr>
                    <w:t>吸入、食入、经皮吸收</w:t>
                  </w:r>
                </w:p>
              </w:tc>
            </w:tr>
            <w:tr w14:paraId="64808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43" w:type="dxa"/>
                  <w:tcBorders>
                    <w:tl2br w:val="nil"/>
                    <w:tr2bl w:val="nil"/>
                  </w:tcBorders>
                  <w:noWrap w:val="0"/>
                  <w:vAlign w:val="center"/>
                </w:tcPr>
                <w:p w14:paraId="21A38A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847" w:type="dxa"/>
                  <w:gridSpan w:val="4"/>
                  <w:tcBorders>
                    <w:tl2br w:val="nil"/>
                    <w:tr2bl w:val="nil"/>
                  </w:tcBorders>
                  <w:noWrap w:val="0"/>
                  <w:vAlign w:val="center"/>
                </w:tcPr>
                <w:p w14:paraId="261AF1CB">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Times New Roman" w:hAnsi="Times New Roman" w:eastAsia="宋体" w:cs="Times New Roman"/>
                      <w:color w:val="auto"/>
                      <w:szCs w:val="21"/>
                      <w:highlight w:val="none"/>
                      <w:shd w:val="clear" w:color="auto" w:fill="auto"/>
                      <w:lang w:val="en-US" w:eastAsia="zh-CN"/>
                    </w:rPr>
                  </w:pPr>
                  <w:r>
                    <w:rPr>
                      <w:rFonts w:ascii="宋体" w:hAnsi="宋体" w:eastAsia="宋体" w:cs="宋体"/>
                      <w:color w:val="auto"/>
                      <w:sz w:val="21"/>
                      <w:szCs w:val="21"/>
                    </w:rPr>
                    <w:t>气味强烈，对眼睛、皮肤、粘膜和上呼吸道有明显的刺激作用。本品进入身体后的主要作用是刺激和麻醉作用，可引起呼吸衰竭。因气味强烈，引人注意。尚无急、慢性中毒的报告</w:t>
                  </w:r>
                  <w:r>
                    <w:rPr>
                      <w:rFonts w:hint="eastAsia"/>
                      <w:color w:val="auto"/>
                      <w:lang w:val="en-US" w:eastAsia="zh-CN"/>
                    </w:rPr>
                    <w:t>。</w:t>
                  </w:r>
                </w:p>
              </w:tc>
            </w:tr>
            <w:tr w14:paraId="5097F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43" w:type="dxa"/>
                  <w:tcBorders>
                    <w:tl2br w:val="nil"/>
                    <w:tr2bl w:val="nil"/>
                  </w:tcBorders>
                  <w:noWrap w:val="0"/>
                  <w:vAlign w:val="center"/>
                </w:tcPr>
                <w:p w14:paraId="5D8C6C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泄漏处置</w:t>
                  </w:r>
                </w:p>
              </w:tc>
              <w:tc>
                <w:tcPr>
                  <w:tcW w:w="6847" w:type="dxa"/>
                  <w:gridSpan w:val="4"/>
                  <w:tcBorders>
                    <w:tl2br w:val="nil"/>
                    <w:tr2bl w:val="nil"/>
                  </w:tcBorders>
                  <w:noWrap w:val="0"/>
                  <w:vAlign w:val="center"/>
                </w:tcPr>
                <w:p w14:paraId="798AF642">
                  <w:pPr>
                    <w:pStyle w:val="31"/>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eastAsia="宋体"/>
                      <w:color w:val="auto"/>
                      <w:lang w:eastAsia="zh-CN"/>
                    </w:rPr>
                  </w:pPr>
                  <w:r>
                    <w:rPr>
                      <w:rFonts w:ascii="宋体" w:hAnsi="宋体" w:eastAsia="宋体" w:cs="宋体"/>
                      <w:color w:val="auto"/>
                      <w:sz w:val="21"/>
                      <w:szCs w:val="21"/>
                    </w:rPr>
                    <w:t>疏散泄漏污染区人员至安全区，禁止无关人员进入污染区，切断火源。建议应急处理人员戴好防毒面具，穿一般消防防护服。在确保安全情况下堵漏。喷水雾会减少蒸发，但不能降低泄漏物在受限制空间内的易燃性。用沙土或其它不燃性吸附剂混合吸收，然后收集运至废物处理场所处置。也可以用大量水冲洗，经稀释的洗水放入废水系统。如大量泄漏，利用围堤收容，然后收集、转移、回收或无害处理后废弃。</w:t>
                  </w:r>
                </w:p>
              </w:tc>
            </w:tr>
          </w:tbl>
          <w:p w14:paraId="5DA39763">
            <w:pPr>
              <w:numPr>
                <w:ilvl w:val="0"/>
                <w:numId w:val="0"/>
              </w:numPr>
              <w:ind w:leftChars="200"/>
              <w:rPr>
                <w:rFonts w:hint="default"/>
                <w:b/>
                <w:bCs/>
                <w:color w:val="auto"/>
                <w:highlight w:val="none"/>
                <w:lang w:val="en-US" w:eastAsia="zh-CN"/>
              </w:rPr>
            </w:pPr>
            <w:r>
              <w:rPr>
                <w:rFonts w:hint="eastAsia"/>
                <w:b/>
                <w:bCs/>
                <w:color w:val="auto"/>
                <w:highlight w:val="none"/>
                <w:lang w:val="en-US" w:eastAsia="zh-CN"/>
              </w:rPr>
              <w:t>7.2环境影响途径</w:t>
            </w:r>
          </w:p>
          <w:p w14:paraId="0D978718">
            <w:pPr>
              <w:spacing w:line="480" w:lineRule="exact"/>
              <w:ind w:firstLine="480" w:firstLineChars="200"/>
              <w:rPr>
                <w:rFonts w:hint="default" w:ascii="Times New Roman" w:hAnsi="Times New Roman" w:eastAsia="宋体" w:cs="Times New Roman"/>
                <w:b w:val="0"/>
                <w:bCs w:val="0"/>
                <w:smallCaps w:val="0"/>
                <w:color w:val="auto"/>
                <w:spacing w:val="0"/>
                <w:position w:val="0"/>
                <w:sz w:val="24"/>
                <w:szCs w:val="24"/>
                <w:highlight w:val="none"/>
              </w:rPr>
            </w:pPr>
            <w:r>
              <w:rPr>
                <w:rFonts w:hint="default" w:ascii="Times New Roman" w:hAnsi="Times New Roman" w:eastAsia="宋体" w:cs="Times New Roman"/>
                <w:b w:val="0"/>
                <w:bCs w:val="0"/>
                <w:smallCaps w:val="0"/>
                <w:color w:val="auto"/>
                <w:spacing w:val="0"/>
                <w:position w:val="0"/>
                <w:sz w:val="24"/>
                <w:szCs w:val="24"/>
                <w:highlight w:val="none"/>
              </w:rPr>
              <w:t>本项目可能影响环境的途径分别为：</w:t>
            </w:r>
          </w:p>
          <w:p w14:paraId="7E1E53AD">
            <w:pPr>
              <w:bidi w:val="0"/>
              <w:rPr>
                <w:rFonts w:hint="default"/>
                <w:color w:val="auto"/>
                <w:lang w:val="en-US" w:eastAsia="zh-CN"/>
              </w:rPr>
            </w:pPr>
            <w:r>
              <w:rPr>
                <w:rFonts w:hint="default"/>
                <w:color w:val="auto"/>
                <w:lang w:val="en-US" w:eastAsia="zh-CN"/>
              </w:rPr>
              <w:t>泄漏事故：</w:t>
            </w:r>
            <w:r>
              <w:rPr>
                <w:rFonts w:hint="eastAsia"/>
                <w:color w:val="auto"/>
                <w:lang w:val="en-US" w:eastAsia="zh-CN"/>
              </w:rPr>
              <w:t>漆料、废稀释剂泄漏，</w:t>
            </w:r>
            <w:r>
              <w:rPr>
                <w:rFonts w:hint="default"/>
                <w:color w:val="auto"/>
                <w:lang w:val="en-US" w:eastAsia="zh-CN"/>
              </w:rPr>
              <w:t>主要为因碰撞</w:t>
            </w:r>
            <w:r>
              <w:rPr>
                <w:rFonts w:hint="eastAsia"/>
                <w:color w:val="auto"/>
                <w:lang w:val="en-US" w:eastAsia="zh-CN"/>
              </w:rPr>
              <w:t>、包装损坏</w:t>
            </w:r>
            <w:r>
              <w:rPr>
                <w:rFonts w:hint="default"/>
                <w:color w:val="auto"/>
                <w:lang w:val="en-US" w:eastAsia="zh-CN"/>
              </w:rPr>
              <w:t>等原因导致泄漏，并且未及时收集处理，导致风险物质在生产使用区及厂区地面溢流，污染地下水；有害物质挥发到大气中，对环境空气造成影响</w:t>
            </w:r>
            <w:r>
              <w:rPr>
                <w:rFonts w:hint="eastAsia"/>
                <w:color w:val="auto"/>
                <w:lang w:val="en-US" w:eastAsia="zh-CN"/>
              </w:rPr>
              <w:t>；</w:t>
            </w:r>
            <w:r>
              <w:rPr>
                <w:rFonts w:hint="default"/>
                <w:color w:val="auto"/>
                <w:lang w:val="en-US" w:eastAsia="zh-CN"/>
              </w:rPr>
              <w:t>或于雨天发生泄漏，随雨水散排流出厂界，对外界环境造成影响。</w:t>
            </w:r>
          </w:p>
          <w:p w14:paraId="18283119">
            <w:pPr>
              <w:bidi w:val="0"/>
              <w:rPr>
                <w:rFonts w:hint="default"/>
                <w:color w:val="auto"/>
                <w:lang w:val="en-US" w:eastAsia="zh-CN"/>
              </w:rPr>
            </w:pPr>
            <w:r>
              <w:rPr>
                <w:rFonts w:hint="default"/>
                <w:color w:val="auto"/>
                <w:lang w:val="en-US" w:eastAsia="zh-CN"/>
              </w:rPr>
              <w:t>火灾事故次生环境风险事故：火灾事故对环境的危害主要为有毒烟雾和灭火过程中产生的消防废水散流造成的次生环境污染问题，同时消防水中携带了一定量的风险物质，若不能及时收集可能排出厂界，对外界水环境造成影响。</w:t>
            </w:r>
          </w:p>
          <w:p w14:paraId="5506A35E">
            <w:pPr>
              <w:numPr>
                <w:ilvl w:val="0"/>
                <w:numId w:val="0"/>
              </w:numPr>
              <w:ind w:leftChars="200"/>
              <w:rPr>
                <w:rFonts w:hint="eastAsia"/>
                <w:b/>
                <w:bCs/>
                <w:color w:val="auto"/>
                <w:sz w:val="24"/>
                <w:szCs w:val="24"/>
                <w:highlight w:val="none"/>
                <w:lang w:val="en-US" w:eastAsia="zh-CN"/>
              </w:rPr>
            </w:pPr>
            <w:r>
              <w:rPr>
                <w:rFonts w:hint="eastAsia"/>
                <w:b/>
                <w:bCs/>
                <w:color w:val="auto"/>
                <w:sz w:val="24"/>
                <w:szCs w:val="24"/>
                <w:highlight w:val="none"/>
                <w:lang w:val="en-US" w:eastAsia="zh-CN"/>
              </w:rPr>
              <w:t>7.3环境风险分析</w:t>
            </w:r>
          </w:p>
          <w:p w14:paraId="1AF3033F">
            <w:pPr>
              <w:bidi w:val="0"/>
              <w:rPr>
                <w:rFonts w:hint="default"/>
                <w:color w:val="auto"/>
                <w:lang w:val="en-US" w:eastAsia="zh-CN"/>
              </w:rPr>
            </w:pPr>
            <w:r>
              <w:rPr>
                <w:rFonts w:hint="default"/>
                <w:color w:val="auto"/>
                <w:lang w:val="en-US" w:eastAsia="zh-CN"/>
              </w:rPr>
              <w:t>泄漏事故：</w:t>
            </w:r>
            <w:r>
              <w:rPr>
                <w:rFonts w:hint="eastAsia"/>
                <w:color w:val="auto"/>
                <w:lang w:val="en-US" w:eastAsia="zh-CN"/>
              </w:rPr>
              <w:t>本项目风险物质储存量较小，风险物质发生</w:t>
            </w:r>
            <w:r>
              <w:rPr>
                <w:rFonts w:hint="default"/>
                <w:color w:val="auto"/>
                <w:lang w:val="en-US" w:eastAsia="zh-CN"/>
              </w:rPr>
              <w:t>泄漏，</w:t>
            </w:r>
            <w:r>
              <w:rPr>
                <w:rFonts w:hint="eastAsia"/>
                <w:color w:val="auto"/>
                <w:lang w:val="en-US" w:eastAsia="zh-CN"/>
              </w:rPr>
              <w:t>导致有害物质挥发到大气中的量很低，对环境空气影响不大；</w:t>
            </w:r>
            <w:r>
              <w:rPr>
                <w:rFonts w:hint="default"/>
                <w:color w:val="auto"/>
                <w:lang w:val="en-US" w:eastAsia="zh-CN"/>
              </w:rPr>
              <w:t>风险物质在</w:t>
            </w:r>
            <w:r>
              <w:rPr>
                <w:rFonts w:hint="eastAsia"/>
                <w:color w:val="auto"/>
                <w:lang w:val="en-US" w:eastAsia="zh-CN"/>
              </w:rPr>
              <w:t>储存区、</w:t>
            </w:r>
            <w:r>
              <w:rPr>
                <w:rFonts w:hint="default"/>
                <w:color w:val="auto"/>
                <w:lang w:val="en-US" w:eastAsia="zh-CN"/>
              </w:rPr>
              <w:t>生产使用区泄漏时，</w:t>
            </w:r>
            <w:r>
              <w:rPr>
                <w:rFonts w:hint="eastAsia"/>
                <w:color w:val="auto"/>
                <w:lang w:val="en-US" w:eastAsia="zh-CN"/>
              </w:rPr>
              <w:t>储存区、</w:t>
            </w:r>
            <w:r>
              <w:rPr>
                <w:rFonts w:hint="default"/>
                <w:color w:val="auto"/>
                <w:lang w:val="en-US" w:eastAsia="zh-CN"/>
              </w:rPr>
              <w:t>生产使用区设置防渗、防流失措施，不会溢流出</w:t>
            </w:r>
            <w:r>
              <w:rPr>
                <w:rFonts w:hint="eastAsia"/>
                <w:color w:val="auto"/>
                <w:lang w:val="en-US" w:eastAsia="zh-CN"/>
              </w:rPr>
              <w:t>储存区、</w:t>
            </w:r>
            <w:r>
              <w:rPr>
                <w:rFonts w:hint="default"/>
                <w:color w:val="auto"/>
                <w:lang w:val="en-US" w:eastAsia="zh-CN"/>
              </w:rPr>
              <w:t>生产使用区，不会对外界环境产生影响。风险物质在厂区运输过程泄漏，泄漏量较小，能够将泄漏物围堵在厂区范围内，基本不会对外部水环境产生影响</w:t>
            </w:r>
            <w:r>
              <w:rPr>
                <w:rFonts w:hint="eastAsia"/>
                <w:color w:val="auto"/>
                <w:lang w:val="en-US" w:eastAsia="zh-CN"/>
              </w:rPr>
              <w:t>。</w:t>
            </w:r>
          </w:p>
          <w:p w14:paraId="1A96C190">
            <w:pPr>
              <w:bidi w:val="0"/>
              <w:rPr>
                <w:rFonts w:hint="default"/>
                <w:color w:val="auto"/>
                <w:lang w:val="en-US" w:eastAsia="zh-CN"/>
              </w:rPr>
            </w:pPr>
            <w:r>
              <w:rPr>
                <w:rFonts w:hint="default"/>
                <w:color w:val="auto"/>
                <w:lang w:val="en-US" w:eastAsia="zh-CN"/>
              </w:rPr>
              <w:t>火灾本身是安全事故，但会产生消防废水，最坏情景是消防废水未控制住溢漏出厂外，本项目泄漏量小，对环境影响不大。</w:t>
            </w:r>
          </w:p>
          <w:p w14:paraId="18900E52">
            <w:pPr>
              <w:bidi w:val="0"/>
              <w:rPr>
                <w:rFonts w:hint="default" w:eastAsia="宋体"/>
                <w:color w:val="auto"/>
                <w:sz w:val="24"/>
                <w:szCs w:val="24"/>
                <w:highlight w:val="none"/>
                <w:lang w:val="en-US" w:eastAsia="zh-CN"/>
              </w:rPr>
            </w:pPr>
            <w:r>
              <w:rPr>
                <w:rFonts w:hint="eastAsia"/>
                <w:b/>
                <w:bCs/>
                <w:color w:val="auto"/>
                <w:sz w:val="24"/>
                <w:szCs w:val="24"/>
                <w:highlight w:val="none"/>
                <w:lang w:val="en-US" w:eastAsia="zh-CN"/>
              </w:rPr>
              <w:t>7.4环境风险防范措施及应急措施</w:t>
            </w:r>
          </w:p>
          <w:p w14:paraId="645663A5">
            <w:pPr>
              <w:bidi w:val="0"/>
              <w:rPr>
                <w:rFonts w:hint="eastAsia"/>
                <w:color w:val="auto"/>
                <w:lang w:val="en-US" w:eastAsia="zh-CN"/>
              </w:rPr>
            </w:pPr>
            <w:r>
              <w:rPr>
                <w:rFonts w:hint="eastAsia"/>
                <w:color w:val="auto"/>
                <w:lang w:val="en-US" w:eastAsia="zh-CN"/>
              </w:rPr>
              <w:t>（1）风险防范措施</w:t>
            </w:r>
          </w:p>
          <w:p w14:paraId="224ED4DA">
            <w:pPr>
              <w:bidi w:val="0"/>
              <w:rPr>
                <w:rFonts w:hint="default"/>
                <w:color w:val="auto"/>
                <w:lang w:val="en-US" w:eastAsia="zh-CN"/>
              </w:rPr>
            </w:pPr>
            <w:r>
              <w:rPr>
                <w:rFonts w:hint="eastAsia"/>
                <w:color w:val="auto"/>
                <w:lang w:val="en-US" w:eastAsia="zh-CN"/>
              </w:rPr>
              <w:t>企业储存的漆料密闭桶装储存于油漆库，废稀释剂桶装加盖，储存于危废间，油漆库、危废间</w:t>
            </w:r>
            <w:r>
              <w:rPr>
                <w:rFonts w:hint="default"/>
                <w:color w:val="auto"/>
                <w:lang w:val="en-US" w:eastAsia="zh-CN"/>
              </w:rPr>
              <w:t>配备相应的设备和抢险设施</w:t>
            </w:r>
            <w:r>
              <w:rPr>
                <w:rFonts w:hint="eastAsia"/>
                <w:color w:val="auto"/>
                <w:lang w:val="en-US" w:eastAsia="zh-CN"/>
              </w:rPr>
              <w:t>，</w:t>
            </w:r>
            <w:r>
              <w:rPr>
                <w:rFonts w:hint="default"/>
                <w:color w:val="auto"/>
                <w:lang w:val="en-US" w:eastAsia="zh-CN"/>
              </w:rPr>
              <w:t>风险物质</w:t>
            </w:r>
            <w:r>
              <w:rPr>
                <w:rFonts w:hint="eastAsia"/>
                <w:color w:val="auto"/>
                <w:lang w:val="en-US" w:eastAsia="zh-CN"/>
              </w:rPr>
              <w:t>使用</w:t>
            </w:r>
            <w:r>
              <w:rPr>
                <w:rFonts w:hint="default"/>
                <w:color w:val="auto"/>
                <w:lang w:val="en-US" w:eastAsia="zh-CN"/>
              </w:rPr>
              <w:t>区有防扬散、防流失、防渗漏等防治措施并参照国家标准《危险废物贮存污染控制标准》</w:t>
            </w:r>
            <w:r>
              <w:rPr>
                <w:rFonts w:hint="eastAsia"/>
                <w:color w:val="auto"/>
                <w:lang w:val="en-US" w:eastAsia="zh-CN"/>
              </w:rPr>
              <w:t>（</w:t>
            </w:r>
            <w:r>
              <w:rPr>
                <w:rFonts w:hint="default"/>
                <w:color w:val="auto"/>
                <w:lang w:val="en-US" w:eastAsia="zh-CN"/>
              </w:rPr>
              <w:t>GB</w:t>
            </w:r>
            <w:r>
              <w:rPr>
                <w:rFonts w:hint="eastAsia"/>
                <w:color w:val="auto"/>
                <w:lang w:val="en-US" w:eastAsia="zh-CN"/>
              </w:rPr>
              <w:t xml:space="preserve"> </w:t>
            </w:r>
            <w:r>
              <w:rPr>
                <w:rFonts w:hint="default"/>
                <w:color w:val="auto"/>
                <w:lang w:val="en-US" w:eastAsia="zh-CN"/>
              </w:rPr>
              <w:t>18597-20</w:t>
            </w:r>
            <w:r>
              <w:rPr>
                <w:rFonts w:hint="eastAsia"/>
                <w:color w:val="auto"/>
                <w:lang w:val="en-US" w:eastAsia="zh-CN"/>
              </w:rPr>
              <w:t>23）</w:t>
            </w:r>
            <w:r>
              <w:rPr>
                <w:rFonts w:hint="default"/>
                <w:color w:val="auto"/>
                <w:lang w:val="en-US" w:eastAsia="zh-CN"/>
              </w:rPr>
              <w:t>和《危险废物收集贮存运输技术规范》</w:t>
            </w:r>
            <w:r>
              <w:rPr>
                <w:rFonts w:hint="eastAsia"/>
                <w:color w:val="auto"/>
                <w:lang w:val="en-US" w:eastAsia="zh-CN"/>
              </w:rPr>
              <w:t>（</w:t>
            </w:r>
            <w:r>
              <w:rPr>
                <w:rFonts w:hint="default"/>
                <w:color w:val="auto"/>
                <w:lang w:val="en-US" w:eastAsia="zh-CN"/>
              </w:rPr>
              <w:t>HJ</w:t>
            </w:r>
            <w:r>
              <w:rPr>
                <w:rFonts w:hint="eastAsia"/>
                <w:color w:val="auto"/>
                <w:lang w:val="en-US" w:eastAsia="zh-CN"/>
              </w:rPr>
              <w:t xml:space="preserve"> </w:t>
            </w:r>
            <w:r>
              <w:rPr>
                <w:rFonts w:hint="default"/>
                <w:color w:val="auto"/>
                <w:lang w:val="en-US" w:eastAsia="zh-CN"/>
              </w:rPr>
              <w:t>2025-2012</w:t>
            </w:r>
            <w:r>
              <w:rPr>
                <w:rFonts w:hint="eastAsia"/>
                <w:color w:val="auto"/>
                <w:lang w:val="en-US" w:eastAsia="zh-CN"/>
              </w:rPr>
              <w:t>）</w:t>
            </w:r>
            <w:r>
              <w:rPr>
                <w:rFonts w:hint="default"/>
                <w:color w:val="auto"/>
                <w:lang w:val="en-US" w:eastAsia="zh-CN"/>
              </w:rPr>
              <w:t>的要求进行设计。门口设置围挡或斜坡，如果发生泄漏事故，确保风险物质不会溢流出上述区域，避免对水环境、土壤和大气环境造成影响。</w:t>
            </w:r>
          </w:p>
          <w:p w14:paraId="1C86AF1E">
            <w:pPr>
              <w:bidi w:val="0"/>
              <w:rPr>
                <w:rFonts w:hint="default"/>
                <w:color w:val="auto"/>
                <w:lang w:val="en-US" w:eastAsia="zh-CN"/>
              </w:rPr>
            </w:pPr>
            <w:r>
              <w:rPr>
                <w:rFonts w:hint="default"/>
                <w:color w:val="auto"/>
                <w:lang w:val="en-US" w:eastAsia="zh-CN"/>
              </w:rPr>
              <w:t>当发生事故时，为不使事故扩大，防止二次灾害的发生，要求及时抢险抢修，必须对各种险情进行事故前预测，保证抢险队伍的素质，遇险时应及时与当地消防部门取得联系，以获得有力支持。</w:t>
            </w:r>
          </w:p>
          <w:p w14:paraId="4C92EED5">
            <w:pPr>
              <w:bidi w:val="0"/>
              <w:rPr>
                <w:rFonts w:hint="default"/>
                <w:color w:val="auto"/>
                <w:lang w:val="en-US" w:eastAsia="zh-CN"/>
              </w:rPr>
            </w:pPr>
            <w:r>
              <w:rPr>
                <w:rFonts w:hint="default"/>
                <w:color w:val="auto"/>
                <w:lang w:val="en-US" w:eastAsia="zh-CN"/>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14:paraId="662FFF98">
            <w:pPr>
              <w:bidi w:val="0"/>
              <w:rPr>
                <w:rFonts w:hint="default"/>
                <w:color w:val="auto"/>
                <w:lang w:val="en-US" w:eastAsia="zh-CN"/>
              </w:rPr>
            </w:pPr>
            <w:r>
              <w:rPr>
                <w:rFonts w:hint="default"/>
                <w:color w:val="auto"/>
                <w:lang w:val="en-US" w:eastAsia="zh-CN"/>
              </w:rPr>
              <w:t>企业应建立健全防范制度，加强监督管理，规范操作，这类事故发生的概率处于可接受范围内。</w:t>
            </w:r>
          </w:p>
          <w:p w14:paraId="07211A43">
            <w:pPr>
              <w:bidi w:val="0"/>
              <w:rPr>
                <w:rFonts w:hint="default"/>
                <w:color w:val="auto"/>
                <w:lang w:val="en-US" w:eastAsia="zh-CN"/>
              </w:rPr>
            </w:pPr>
            <w:r>
              <w:rPr>
                <w:rFonts w:hint="eastAsia"/>
                <w:color w:val="auto"/>
                <w:lang w:val="en-US" w:eastAsia="zh-CN"/>
              </w:rPr>
              <w:t>（2）</w:t>
            </w:r>
            <w:r>
              <w:rPr>
                <w:rFonts w:hint="default"/>
                <w:color w:val="auto"/>
                <w:lang w:val="en-US" w:eastAsia="zh-CN"/>
              </w:rPr>
              <w:t>应急措施</w:t>
            </w:r>
          </w:p>
          <w:p w14:paraId="09D9C1C9">
            <w:pPr>
              <w:bidi w:val="0"/>
              <w:rPr>
                <w:rFonts w:hint="default"/>
                <w:color w:val="auto"/>
                <w:lang w:val="en-US" w:eastAsia="zh-CN"/>
              </w:rPr>
            </w:pPr>
            <w:r>
              <w:rPr>
                <w:rFonts w:hint="eastAsia"/>
                <w:color w:val="auto"/>
                <w:lang w:val="en-US" w:eastAsia="zh-CN"/>
              </w:rPr>
              <w:t>漆料、废稀释剂</w:t>
            </w:r>
            <w:r>
              <w:rPr>
                <w:rFonts w:hint="default"/>
                <w:color w:val="auto"/>
                <w:lang w:val="en-US" w:eastAsia="zh-CN"/>
              </w:rPr>
              <w:t>发生</w:t>
            </w:r>
            <w:r>
              <w:rPr>
                <w:rFonts w:hint="eastAsia"/>
                <w:color w:val="auto"/>
                <w:lang w:val="en-US" w:eastAsia="zh-CN"/>
              </w:rPr>
              <w:t>泄漏</w:t>
            </w:r>
            <w:r>
              <w:rPr>
                <w:rFonts w:hint="default"/>
                <w:color w:val="auto"/>
                <w:lang w:val="en-US" w:eastAsia="zh-CN"/>
              </w:rPr>
              <w:t>，通过工作人员或视频监控人员预警，根据现场情况将沙土</w:t>
            </w:r>
            <w:r>
              <w:rPr>
                <w:rFonts w:hint="eastAsia"/>
                <w:color w:val="auto"/>
                <w:lang w:val="en-US" w:eastAsia="zh-CN"/>
              </w:rPr>
              <w:t>、</w:t>
            </w:r>
            <w:r>
              <w:rPr>
                <w:rFonts w:hint="default"/>
                <w:color w:val="auto"/>
                <w:lang w:val="en-US" w:eastAsia="zh-CN"/>
              </w:rPr>
              <w:t>沙袋等运至</w:t>
            </w:r>
            <w:r>
              <w:rPr>
                <w:rFonts w:hint="eastAsia"/>
                <w:color w:val="auto"/>
                <w:lang w:val="en-US" w:eastAsia="zh-CN"/>
              </w:rPr>
              <w:t>事</w:t>
            </w:r>
            <w:r>
              <w:rPr>
                <w:rFonts w:hint="default"/>
                <w:color w:val="auto"/>
                <w:lang w:val="en-US" w:eastAsia="zh-CN"/>
              </w:rPr>
              <w:t>发现场进行现场环境应急处置，利用沙袋先进行溢流的围堵，避免污染面积扩散，用吸附材料吸收泄漏液体，然后移至安全地区，能够有效防止事故扩大。当风险物质泄漏至雨水管网时，应急组对厂区雨水排口进行封堵，防止泄漏物泄漏</w:t>
            </w:r>
            <w:r>
              <w:rPr>
                <w:rFonts w:hint="eastAsia"/>
                <w:color w:val="auto"/>
                <w:lang w:val="en-US" w:eastAsia="zh-CN"/>
              </w:rPr>
              <w:t>至</w:t>
            </w:r>
            <w:r>
              <w:rPr>
                <w:rFonts w:hint="default"/>
                <w:color w:val="auto"/>
                <w:lang w:val="en-US" w:eastAsia="zh-CN"/>
              </w:rPr>
              <w:t>厂区外。一旦泄漏</w:t>
            </w:r>
            <w:r>
              <w:rPr>
                <w:rFonts w:hint="eastAsia"/>
                <w:color w:val="auto"/>
                <w:lang w:val="en-US" w:eastAsia="zh-CN"/>
              </w:rPr>
              <w:t>至</w:t>
            </w:r>
            <w:r>
              <w:rPr>
                <w:rFonts w:hint="default"/>
                <w:color w:val="auto"/>
                <w:lang w:val="en-US" w:eastAsia="zh-CN"/>
              </w:rPr>
              <w:t>厂区外，企业应告知当地政府、生态环境局、环境保护监测站等进行处理。</w:t>
            </w:r>
          </w:p>
          <w:p w14:paraId="0433A055">
            <w:pPr>
              <w:ind w:firstLine="480"/>
              <w:rPr>
                <w:color w:val="auto"/>
                <w:highlight w:val="none"/>
              </w:rPr>
            </w:pPr>
            <w:r>
              <w:rPr>
                <w:rFonts w:hint="eastAsia"/>
                <w:color w:val="auto"/>
                <w:highlight w:val="none"/>
              </w:rPr>
              <w:t>（3）编制突发环境应急预案。</w:t>
            </w:r>
          </w:p>
          <w:p w14:paraId="533B0F82">
            <w:pPr>
              <w:ind w:firstLine="482"/>
              <w:rPr>
                <w:b/>
                <w:color w:val="auto"/>
                <w:highlight w:val="none"/>
              </w:rPr>
            </w:pPr>
            <w:r>
              <w:rPr>
                <w:rFonts w:hint="eastAsia"/>
                <w:b/>
                <w:color w:val="auto"/>
                <w:highlight w:val="none"/>
              </w:rPr>
              <w:t>7.5结论</w:t>
            </w:r>
          </w:p>
          <w:p w14:paraId="10303A53">
            <w:pPr>
              <w:ind w:firstLine="480"/>
              <w:rPr>
                <w:color w:val="auto"/>
                <w:highlight w:val="none"/>
              </w:rPr>
            </w:pPr>
            <w:r>
              <w:rPr>
                <w:bCs/>
                <w:color w:val="auto"/>
                <w:highlight w:val="none"/>
              </w:rPr>
              <w:t>在严格落实各项规章制度及风险防范措施，配备必要的应急物资并加强风险监控及管理前提下，本项目环境风险可控</w:t>
            </w:r>
            <w:r>
              <w:rPr>
                <w:rFonts w:hint="eastAsia"/>
                <w:bCs/>
                <w:color w:val="auto"/>
                <w:highlight w:val="none"/>
              </w:rPr>
              <w:t>。</w:t>
            </w:r>
          </w:p>
          <w:p w14:paraId="71B8D941">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8、电磁辐射</w:t>
            </w:r>
          </w:p>
          <w:p w14:paraId="27DB7B6D">
            <w:pPr>
              <w:rPr>
                <w:rFonts w:hint="default"/>
                <w:color w:val="auto"/>
                <w:highlight w:val="none"/>
                <w:lang w:val="en-US" w:eastAsia="zh-CN"/>
              </w:rPr>
            </w:pPr>
            <w:r>
              <w:rPr>
                <w:rFonts w:hint="default"/>
                <w:color w:val="auto"/>
                <w:highlight w:val="none"/>
                <w:lang w:val="en-US" w:eastAsia="zh-CN"/>
              </w:rPr>
              <w:t>本项目不涉及电磁辐射源，即不会对项目所在区环境产生相应的电磁辐射影响。</w:t>
            </w:r>
          </w:p>
          <w:p w14:paraId="13C35D13">
            <w:pPr>
              <w:rPr>
                <w:rFonts w:hint="eastAsia"/>
                <w:color w:val="auto"/>
                <w:highlight w:val="none"/>
              </w:rPr>
            </w:pPr>
          </w:p>
          <w:p w14:paraId="62FBB432">
            <w:pPr>
              <w:rPr>
                <w:rFonts w:hint="eastAsia"/>
                <w:color w:val="auto"/>
                <w:highlight w:val="none"/>
              </w:rPr>
            </w:pPr>
          </w:p>
          <w:p w14:paraId="2A5D9614">
            <w:pPr>
              <w:rPr>
                <w:rFonts w:hint="eastAsia"/>
                <w:color w:val="auto"/>
                <w:highlight w:val="none"/>
              </w:rPr>
            </w:pPr>
          </w:p>
          <w:p w14:paraId="05FA9EFC">
            <w:pPr>
              <w:rPr>
                <w:rFonts w:hint="eastAsia"/>
                <w:color w:val="auto"/>
                <w:highlight w:val="none"/>
              </w:rPr>
            </w:pPr>
          </w:p>
          <w:p w14:paraId="4DAEFD37">
            <w:pPr>
              <w:rPr>
                <w:rFonts w:hint="eastAsia"/>
                <w:color w:val="auto"/>
                <w:highlight w:val="none"/>
              </w:rPr>
            </w:pPr>
          </w:p>
          <w:p w14:paraId="3DA358D6">
            <w:pPr>
              <w:rPr>
                <w:rFonts w:hint="eastAsia"/>
                <w:color w:val="auto"/>
                <w:highlight w:val="none"/>
              </w:rPr>
            </w:pPr>
          </w:p>
          <w:p w14:paraId="5B402F14">
            <w:pPr>
              <w:rPr>
                <w:rFonts w:hint="eastAsia"/>
                <w:color w:val="auto"/>
                <w:highlight w:val="none"/>
              </w:rPr>
            </w:pPr>
          </w:p>
          <w:p w14:paraId="2C665BF3">
            <w:pPr>
              <w:rPr>
                <w:rFonts w:hint="eastAsia"/>
                <w:color w:val="auto"/>
                <w:highlight w:val="none"/>
              </w:rPr>
            </w:pPr>
          </w:p>
          <w:p w14:paraId="0E21DA3C">
            <w:pPr>
              <w:rPr>
                <w:rFonts w:hint="eastAsia"/>
                <w:color w:val="auto"/>
                <w:highlight w:val="none"/>
              </w:rPr>
            </w:pPr>
          </w:p>
          <w:p w14:paraId="5D7A5739">
            <w:pPr>
              <w:rPr>
                <w:rFonts w:hint="eastAsia"/>
                <w:color w:val="auto"/>
                <w:highlight w:val="none"/>
              </w:rPr>
            </w:pPr>
          </w:p>
          <w:p w14:paraId="2F987969">
            <w:pPr>
              <w:rPr>
                <w:rFonts w:hint="eastAsia"/>
                <w:color w:val="auto"/>
                <w:highlight w:val="none"/>
              </w:rPr>
            </w:pPr>
          </w:p>
          <w:p w14:paraId="234D0055">
            <w:pPr>
              <w:rPr>
                <w:rFonts w:hint="eastAsia"/>
                <w:color w:val="auto"/>
                <w:highlight w:val="none"/>
              </w:rPr>
            </w:pPr>
          </w:p>
          <w:p w14:paraId="7FB34220">
            <w:pPr>
              <w:rPr>
                <w:rFonts w:hint="eastAsia"/>
                <w:color w:val="auto"/>
                <w:highlight w:val="none"/>
              </w:rPr>
            </w:pPr>
          </w:p>
          <w:p w14:paraId="19D879BB">
            <w:pPr>
              <w:ind w:left="0" w:leftChars="0" w:firstLine="0" w:firstLineChars="0"/>
              <w:rPr>
                <w:rFonts w:hint="eastAsia"/>
                <w:color w:val="auto"/>
                <w:highlight w:val="none"/>
              </w:rPr>
            </w:pPr>
          </w:p>
          <w:p w14:paraId="4040D5D9">
            <w:pPr>
              <w:pStyle w:val="2"/>
              <w:rPr>
                <w:rFonts w:hint="eastAsia"/>
                <w:color w:val="auto"/>
                <w:highlight w:val="none"/>
              </w:rPr>
            </w:pPr>
          </w:p>
          <w:p w14:paraId="4C2DBADC">
            <w:pPr>
              <w:ind w:left="0" w:leftChars="0" w:firstLine="0" w:firstLineChars="0"/>
              <w:rPr>
                <w:rFonts w:hint="eastAsia"/>
                <w:color w:val="auto"/>
              </w:rPr>
            </w:pPr>
          </w:p>
        </w:tc>
      </w:tr>
    </w:tbl>
    <w:p w14:paraId="6ACFE240">
      <w:pPr>
        <w:rPr>
          <w:rFonts w:hint="eastAsia" w:ascii="黑体" w:hAnsi="黑体" w:eastAsia="黑体" w:cs="Times New Roman"/>
          <w:snapToGrid w:val="0"/>
          <w:color w:val="auto"/>
          <w:sz w:val="30"/>
          <w:szCs w:val="30"/>
          <w:highlight w:val="none"/>
          <w:lang w:val="en-US" w:eastAsia="zh-CN"/>
        </w:rPr>
      </w:pPr>
      <w:r>
        <w:rPr>
          <w:rFonts w:hint="eastAsia" w:ascii="黑体" w:hAnsi="黑体" w:eastAsia="黑体" w:cs="Times New Roman"/>
          <w:snapToGrid w:val="0"/>
          <w:color w:val="auto"/>
          <w:sz w:val="30"/>
          <w:szCs w:val="30"/>
          <w:highlight w:val="none"/>
          <w:lang w:val="en-US" w:eastAsia="zh-CN"/>
        </w:rPr>
        <w:br w:type="page"/>
      </w:r>
    </w:p>
    <w:p w14:paraId="5C43ADFB">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黑体" w:hAnsi="黑体" w:eastAsia="黑体" w:cs="Times New Roman"/>
          <w:snapToGrid w:val="0"/>
          <w:color w:val="auto"/>
          <w:sz w:val="30"/>
          <w:szCs w:val="30"/>
          <w:highlight w:val="none"/>
          <w:lang w:val="en-US" w:eastAsia="zh-CN"/>
        </w:rPr>
      </w:pPr>
      <w:r>
        <w:rPr>
          <w:rFonts w:hint="eastAsia" w:ascii="黑体" w:hAnsi="黑体" w:eastAsia="黑体" w:cs="Times New Roman"/>
          <w:snapToGrid w:val="0"/>
          <w:color w:val="auto"/>
          <w:sz w:val="30"/>
          <w:szCs w:val="30"/>
          <w:highlight w:val="none"/>
          <w:lang w:val="en-US" w:eastAsia="zh-CN"/>
        </w:rPr>
        <w:t>五、</w:t>
      </w:r>
      <w:bookmarkStart w:id="7" w:name="_Hlk54167917"/>
      <w:r>
        <w:rPr>
          <w:rFonts w:hint="eastAsia" w:ascii="黑体" w:hAnsi="黑体" w:eastAsia="黑体" w:cs="Times New Roman"/>
          <w:snapToGrid w:val="0"/>
          <w:color w:val="auto"/>
          <w:sz w:val="30"/>
          <w:szCs w:val="30"/>
          <w:highlight w:val="none"/>
          <w:lang w:val="en-US" w:eastAsia="zh-CN"/>
        </w:rPr>
        <w:t>环境保护措施监督检查清单</w:t>
      </w:r>
      <w:bookmarkEnd w:id="7"/>
    </w:p>
    <w:tbl>
      <w:tblPr>
        <w:tblStyle w:val="24"/>
        <w:tblW w:w="97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426"/>
        <w:gridCol w:w="1282"/>
        <w:gridCol w:w="2817"/>
        <w:gridCol w:w="3110"/>
      </w:tblGrid>
      <w:tr w14:paraId="2C52C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113" w:type="dxa"/>
            <w:tcBorders>
              <w:tl2br w:val="single" w:color="auto" w:sz="4" w:space="0"/>
            </w:tcBorders>
            <w:noWrap w:val="0"/>
            <w:vAlign w:val="top"/>
          </w:tcPr>
          <w:p w14:paraId="612DA8BA">
            <w:pPr>
              <w:pStyle w:val="31"/>
              <w:bidi w:val="0"/>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内容</w:t>
            </w:r>
          </w:p>
          <w:p w14:paraId="1F0BB352">
            <w:pPr>
              <w:pStyle w:val="31"/>
              <w:bidi w:val="0"/>
              <w:jc w:val="both"/>
              <w:rPr>
                <w:rFonts w:hint="eastAsia"/>
                <w:color w:val="auto"/>
                <w:sz w:val="24"/>
                <w:szCs w:val="24"/>
                <w:highlight w:val="none"/>
              </w:rPr>
            </w:pPr>
          </w:p>
          <w:p w14:paraId="6E9051D7">
            <w:pPr>
              <w:pStyle w:val="31"/>
              <w:bidi w:val="0"/>
              <w:jc w:val="both"/>
              <w:rPr>
                <w:rFonts w:hint="eastAsia"/>
                <w:color w:val="auto"/>
                <w:sz w:val="24"/>
                <w:szCs w:val="24"/>
                <w:highlight w:val="none"/>
              </w:rPr>
            </w:pPr>
            <w:r>
              <w:rPr>
                <w:rFonts w:hint="eastAsia"/>
                <w:color w:val="auto"/>
                <w:sz w:val="24"/>
                <w:szCs w:val="24"/>
                <w:highlight w:val="none"/>
              </w:rPr>
              <w:t>要素</w:t>
            </w:r>
          </w:p>
        </w:tc>
        <w:tc>
          <w:tcPr>
            <w:tcW w:w="1426" w:type="dxa"/>
            <w:noWrap w:val="0"/>
            <w:vAlign w:val="center"/>
          </w:tcPr>
          <w:p w14:paraId="102994B9">
            <w:pPr>
              <w:pStyle w:val="31"/>
              <w:bidi w:val="0"/>
              <w:rPr>
                <w:rFonts w:hint="eastAsia"/>
                <w:color w:val="auto"/>
                <w:sz w:val="24"/>
                <w:szCs w:val="24"/>
                <w:highlight w:val="none"/>
              </w:rPr>
            </w:pPr>
            <w:r>
              <w:rPr>
                <w:rFonts w:hint="eastAsia"/>
                <w:color w:val="auto"/>
                <w:sz w:val="24"/>
                <w:szCs w:val="24"/>
                <w:highlight w:val="none"/>
              </w:rPr>
              <w:t>排放口</w:t>
            </w:r>
            <w:r>
              <w:rPr>
                <w:rFonts w:hint="eastAsia"/>
                <w:color w:val="auto"/>
                <w:sz w:val="24"/>
                <w:szCs w:val="24"/>
                <w:highlight w:val="none"/>
                <w:lang w:eastAsia="zh-CN"/>
              </w:rPr>
              <w:t>（</w:t>
            </w:r>
            <w:r>
              <w:rPr>
                <w:rFonts w:hint="eastAsia"/>
                <w:color w:val="auto"/>
                <w:sz w:val="24"/>
                <w:szCs w:val="24"/>
                <w:highlight w:val="none"/>
              </w:rPr>
              <w:t>编号、名称</w:t>
            </w:r>
            <w:r>
              <w:rPr>
                <w:rFonts w:hint="eastAsia"/>
                <w:color w:val="auto"/>
                <w:sz w:val="24"/>
                <w:szCs w:val="24"/>
                <w:highlight w:val="none"/>
                <w:lang w:eastAsia="zh-CN"/>
              </w:rPr>
              <w:t>）</w:t>
            </w:r>
            <w:r>
              <w:rPr>
                <w:rFonts w:hint="eastAsia"/>
                <w:color w:val="auto"/>
                <w:sz w:val="24"/>
                <w:szCs w:val="24"/>
                <w:highlight w:val="none"/>
              </w:rPr>
              <w:t>/污染源</w:t>
            </w:r>
          </w:p>
        </w:tc>
        <w:tc>
          <w:tcPr>
            <w:tcW w:w="1282" w:type="dxa"/>
            <w:noWrap w:val="0"/>
            <w:vAlign w:val="center"/>
          </w:tcPr>
          <w:p w14:paraId="292EA9A1">
            <w:pPr>
              <w:pStyle w:val="31"/>
              <w:bidi w:val="0"/>
              <w:rPr>
                <w:rFonts w:hint="eastAsia"/>
                <w:color w:val="auto"/>
                <w:sz w:val="24"/>
                <w:szCs w:val="24"/>
                <w:highlight w:val="none"/>
              </w:rPr>
            </w:pPr>
            <w:r>
              <w:rPr>
                <w:rFonts w:hint="eastAsia"/>
                <w:color w:val="auto"/>
                <w:sz w:val="24"/>
                <w:szCs w:val="24"/>
                <w:highlight w:val="none"/>
              </w:rPr>
              <w:t>污染物项目</w:t>
            </w:r>
          </w:p>
        </w:tc>
        <w:tc>
          <w:tcPr>
            <w:tcW w:w="2817" w:type="dxa"/>
            <w:noWrap w:val="0"/>
            <w:vAlign w:val="center"/>
          </w:tcPr>
          <w:p w14:paraId="7DE9A6A8">
            <w:pPr>
              <w:pStyle w:val="31"/>
              <w:bidi w:val="0"/>
              <w:rPr>
                <w:rFonts w:hint="eastAsia"/>
                <w:color w:val="auto"/>
                <w:sz w:val="24"/>
                <w:szCs w:val="24"/>
                <w:highlight w:val="none"/>
              </w:rPr>
            </w:pPr>
            <w:r>
              <w:rPr>
                <w:rFonts w:hint="eastAsia"/>
                <w:color w:val="auto"/>
                <w:sz w:val="24"/>
                <w:szCs w:val="24"/>
                <w:highlight w:val="none"/>
              </w:rPr>
              <w:t>环境保护措施</w:t>
            </w:r>
          </w:p>
        </w:tc>
        <w:tc>
          <w:tcPr>
            <w:tcW w:w="3110" w:type="dxa"/>
            <w:noWrap w:val="0"/>
            <w:vAlign w:val="center"/>
          </w:tcPr>
          <w:p w14:paraId="52E4F0CD">
            <w:pPr>
              <w:pStyle w:val="31"/>
              <w:bidi w:val="0"/>
              <w:rPr>
                <w:rFonts w:hint="eastAsia"/>
                <w:color w:val="auto"/>
                <w:sz w:val="24"/>
                <w:szCs w:val="24"/>
                <w:highlight w:val="none"/>
              </w:rPr>
            </w:pPr>
            <w:r>
              <w:rPr>
                <w:rFonts w:hint="eastAsia"/>
                <w:color w:val="auto"/>
                <w:sz w:val="24"/>
                <w:szCs w:val="24"/>
                <w:highlight w:val="none"/>
              </w:rPr>
              <w:t>执行标准</w:t>
            </w:r>
          </w:p>
        </w:tc>
      </w:tr>
      <w:tr w14:paraId="018AB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13" w:type="dxa"/>
            <w:vMerge w:val="restart"/>
            <w:noWrap w:val="0"/>
            <w:vAlign w:val="center"/>
          </w:tcPr>
          <w:p w14:paraId="5E117F17">
            <w:pPr>
              <w:pStyle w:val="31"/>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大气环境</w:t>
            </w:r>
          </w:p>
        </w:tc>
        <w:tc>
          <w:tcPr>
            <w:tcW w:w="1426" w:type="dxa"/>
            <w:noWrap w:val="0"/>
            <w:vAlign w:val="center"/>
          </w:tcPr>
          <w:p w14:paraId="3A49DA0D">
            <w:pPr>
              <w:pStyle w:val="31"/>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eastAsia="宋体"/>
                <w:color w:val="auto"/>
                <w:sz w:val="24"/>
                <w:szCs w:val="24"/>
                <w:highlight w:val="none"/>
                <w:lang w:val="en-US" w:eastAsia="zh-CN"/>
              </w:rPr>
            </w:pPr>
            <w:r>
              <w:rPr>
                <w:rFonts w:hint="default" w:eastAsia="宋体"/>
                <w:color w:val="auto"/>
                <w:sz w:val="24"/>
                <w:szCs w:val="24"/>
                <w:highlight w:val="none"/>
                <w:lang w:val="en-US" w:eastAsia="zh-CN"/>
              </w:rPr>
              <w:t>打磨废气排放口（DA001）</w:t>
            </w:r>
          </w:p>
        </w:tc>
        <w:tc>
          <w:tcPr>
            <w:tcW w:w="1282" w:type="dxa"/>
            <w:noWrap w:val="0"/>
            <w:vAlign w:val="center"/>
          </w:tcPr>
          <w:p w14:paraId="12C71A61">
            <w:pPr>
              <w:pStyle w:val="31"/>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颗粒物</w:t>
            </w:r>
          </w:p>
        </w:tc>
        <w:tc>
          <w:tcPr>
            <w:tcW w:w="2817" w:type="dxa"/>
            <w:noWrap w:val="0"/>
            <w:vAlign w:val="center"/>
          </w:tcPr>
          <w:p w14:paraId="589297FB">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default"/>
                <w:color w:val="auto"/>
                <w:sz w:val="24"/>
                <w:szCs w:val="24"/>
                <w:highlight w:val="none"/>
                <w:lang w:val="en-US" w:eastAsia="zh-CN"/>
              </w:rPr>
              <w:t>打磨过程在封闭打磨房内进行，打磨房连接管道，采用风量为8000m</w:t>
            </w:r>
            <w:r>
              <w:rPr>
                <w:rFonts w:hint="default"/>
                <w:color w:val="auto"/>
                <w:sz w:val="24"/>
                <w:szCs w:val="24"/>
                <w:highlight w:val="none"/>
                <w:vertAlign w:val="superscript"/>
                <w:lang w:val="en-US" w:eastAsia="zh-CN"/>
              </w:rPr>
              <w:t>3</w:t>
            </w:r>
            <w:r>
              <w:rPr>
                <w:rFonts w:hint="default"/>
                <w:color w:val="auto"/>
                <w:sz w:val="24"/>
                <w:szCs w:val="24"/>
                <w:highlight w:val="none"/>
                <w:lang w:val="en-US" w:eastAsia="zh-CN"/>
              </w:rPr>
              <w:t>/h的风机将打磨过程产生的废气引入1套脉冲布袋除尘器（TA001）处理，处理后通过1根27m高排气筒（DA001）排放至大气中</w:t>
            </w:r>
          </w:p>
        </w:tc>
        <w:tc>
          <w:tcPr>
            <w:tcW w:w="3110" w:type="dxa"/>
            <w:noWrap w:val="0"/>
            <w:vAlign w:val="center"/>
          </w:tcPr>
          <w:p w14:paraId="22157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4"/>
                <w:szCs w:val="24"/>
                <w:highlight w:val="none"/>
              </w:rPr>
            </w:pPr>
            <w:r>
              <w:rPr>
                <w:rFonts w:hint="eastAsia" w:eastAsia="宋体"/>
                <w:color w:val="auto"/>
                <w:sz w:val="24"/>
                <w:szCs w:val="24"/>
                <w:highlight w:val="none"/>
                <w:lang w:val="en-US" w:eastAsia="zh-CN"/>
              </w:rPr>
              <w:t>《</w:t>
            </w:r>
            <w:r>
              <w:rPr>
                <w:rFonts w:hint="eastAsia" w:eastAsia="宋体"/>
                <w:color w:val="auto"/>
                <w:sz w:val="24"/>
                <w:szCs w:val="24"/>
                <w:highlight w:val="none"/>
                <w:lang w:eastAsia="zh-CN"/>
              </w:rPr>
              <w:t>钢铁工业大气污染物超低排放标准</w:t>
            </w:r>
            <w:r>
              <w:rPr>
                <w:rFonts w:hint="eastAsia" w:eastAsia="宋体"/>
                <w:color w:val="auto"/>
                <w:sz w:val="24"/>
                <w:szCs w:val="24"/>
                <w:highlight w:val="none"/>
                <w:lang w:val="en-US" w:eastAsia="zh-CN"/>
              </w:rPr>
              <w:t>》（DB13/2169-2018）</w:t>
            </w:r>
            <w:r>
              <w:rPr>
                <w:rFonts w:hint="eastAsia" w:eastAsia="宋体"/>
                <w:color w:val="auto"/>
                <w:sz w:val="24"/>
                <w:szCs w:val="24"/>
                <w:highlight w:val="none"/>
                <w:lang w:eastAsia="zh-CN"/>
              </w:rPr>
              <w:t>表1轧钢（热处理炉、拉矫、精整、抛丸、修磨、焊接机及其他生产设施）排放限值要求</w:t>
            </w:r>
            <w:r>
              <w:rPr>
                <w:rFonts w:hint="eastAsia" w:eastAsia="宋体"/>
                <w:color w:val="auto"/>
                <w:sz w:val="24"/>
                <w:szCs w:val="24"/>
                <w:highlight w:val="none"/>
                <w:lang w:val="en-US" w:eastAsia="zh-CN"/>
              </w:rPr>
              <w:t>，颗粒物最高允许排放浓度10mg/m</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w:t>
            </w:r>
            <w:r>
              <w:rPr>
                <w:rFonts w:hint="eastAsia" w:ascii="Times New Roman" w:eastAsia="宋体"/>
                <w:color w:val="auto"/>
                <w:sz w:val="24"/>
                <w:szCs w:val="24"/>
                <w:highlight w:val="none"/>
                <w:lang w:val="en-US" w:eastAsia="zh-CN"/>
              </w:rPr>
              <w:t>排气筒高度不低于15m</w:t>
            </w:r>
            <w:r>
              <w:rPr>
                <w:rFonts w:hint="eastAsia"/>
                <w:color w:val="auto"/>
                <w:sz w:val="24"/>
                <w:szCs w:val="24"/>
                <w:highlight w:val="none"/>
                <w:lang w:val="en-US" w:eastAsia="zh-CN"/>
              </w:rPr>
              <w:t>，且高出周围半径200m范围内最高建筑物3m以上</w:t>
            </w:r>
          </w:p>
        </w:tc>
      </w:tr>
      <w:tr w14:paraId="6CCDD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113" w:type="dxa"/>
            <w:vMerge w:val="continue"/>
            <w:noWrap w:val="0"/>
            <w:vAlign w:val="center"/>
          </w:tcPr>
          <w:p w14:paraId="1EB8E791">
            <w:pPr>
              <w:pStyle w:val="31"/>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color w:val="auto"/>
                <w:sz w:val="24"/>
                <w:szCs w:val="24"/>
                <w:highlight w:val="none"/>
                <w:lang w:val="en-US" w:eastAsia="zh-CN"/>
              </w:rPr>
            </w:pPr>
          </w:p>
        </w:tc>
        <w:tc>
          <w:tcPr>
            <w:tcW w:w="1426" w:type="dxa"/>
            <w:vMerge w:val="restart"/>
            <w:noWrap w:val="0"/>
            <w:vAlign w:val="center"/>
          </w:tcPr>
          <w:p w14:paraId="1C1CDB39">
            <w:pPr>
              <w:pStyle w:val="31"/>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color w:val="auto"/>
                <w:sz w:val="24"/>
                <w:szCs w:val="24"/>
                <w:highlight w:val="none"/>
                <w:lang w:val="en-US" w:eastAsia="zh-CN"/>
              </w:rPr>
            </w:pPr>
            <w:r>
              <w:rPr>
                <w:rFonts w:hint="eastAsia" w:ascii="Times New Roman" w:hAnsi="Times New Roman" w:eastAsia="宋体" w:cs="Times New Roman"/>
                <w:color w:val="auto"/>
                <w:sz w:val="24"/>
                <w:szCs w:val="24"/>
                <w:highlight w:val="none"/>
                <w:vertAlign w:val="baseline"/>
                <w:lang w:val="en-US" w:eastAsia="zh-CN"/>
              </w:rPr>
              <w:t>喷涂废气排放口</w:t>
            </w:r>
            <w:r>
              <w:rPr>
                <w:rFonts w:hint="default" w:eastAsia="宋体"/>
                <w:color w:val="auto"/>
                <w:sz w:val="24"/>
                <w:szCs w:val="24"/>
                <w:highlight w:val="none"/>
                <w:lang w:val="en-US" w:eastAsia="zh-CN"/>
              </w:rPr>
              <w:t>（DA00</w:t>
            </w:r>
            <w:r>
              <w:rPr>
                <w:rFonts w:hint="eastAsia"/>
                <w:color w:val="auto"/>
                <w:sz w:val="24"/>
                <w:szCs w:val="24"/>
                <w:highlight w:val="none"/>
                <w:lang w:val="en-US" w:eastAsia="zh-CN"/>
              </w:rPr>
              <w:t>2</w:t>
            </w:r>
            <w:r>
              <w:rPr>
                <w:rFonts w:hint="default" w:eastAsia="宋体"/>
                <w:color w:val="auto"/>
                <w:sz w:val="24"/>
                <w:szCs w:val="24"/>
                <w:highlight w:val="none"/>
                <w:lang w:val="en-US" w:eastAsia="zh-CN"/>
              </w:rPr>
              <w:t>）</w:t>
            </w:r>
          </w:p>
        </w:tc>
        <w:tc>
          <w:tcPr>
            <w:tcW w:w="1282" w:type="dxa"/>
            <w:noWrap w:val="0"/>
            <w:vAlign w:val="center"/>
          </w:tcPr>
          <w:p w14:paraId="041241B8">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颗粒物</w:t>
            </w:r>
          </w:p>
        </w:tc>
        <w:tc>
          <w:tcPr>
            <w:tcW w:w="2817" w:type="dxa"/>
            <w:vMerge w:val="restart"/>
            <w:noWrap w:val="0"/>
            <w:vAlign w:val="center"/>
          </w:tcPr>
          <w:p w14:paraId="3490A79C">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调漆、喷漆、刮腻子、腻子打磨、除油过程在喷漆房内进行，调漆、喷漆、腻子打磨、除油过程喷漆房封闭，喷漆房采取上进风，侧抽风，烘干/晾干过程在烘干房进行，烘干/晾干过程烘干房封闭，漆料储存于油漆库中，油漆库、危废间连接管道，采用</w:t>
            </w:r>
            <w:r>
              <w:rPr>
                <w:rFonts w:hint="eastAsia" w:ascii="Times New Roman" w:hAnsi="Times New Roman" w:cs="Times New Roman"/>
                <w:color w:val="auto"/>
                <w:sz w:val="24"/>
                <w:szCs w:val="24"/>
                <w:highlight w:val="none"/>
                <w:lang w:val="en-US" w:eastAsia="zh-CN"/>
              </w:rPr>
              <w:t>风量为30000m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/h的</w:t>
            </w:r>
            <w:r>
              <w:rPr>
                <w:rFonts w:hint="default" w:ascii="Times New Roman" w:hAnsi="Times New Roman" w:cs="Times New Roman"/>
                <w:color w:val="auto"/>
                <w:sz w:val="24"/>
                <w:szCs w:val="24"/>
                <w:highlight w:val="none"/>
                <w:lang w:val="en-US" w:eastAsia="zh-CN"/>
              </w:rPr>
              <w:t>风机将调漆、喷漆、刮腻子、腻子打磨、除油过程产生的颗粒物（含漆雾）、有机废气引入干式喷漆柜（纸盒）中去除大部分漆雾，然后与烘干/晾干、漆料及危废储存过程产生的废气一起进入过滤棉箱过滤+沸石转轮+催化燃烧装置进行处理，处理后通过1根15m高排气筒（DA002）排放至大气中</w:t>
            </w:r>
          </w:p>
        </w:tc>
        <w:tc>
          <w:tcPr>
            <w:tcW w:w="3110" w:type="dxa"/>
            <w:noWrap w:val="0"/>
            <w:vAlign w:val="center"/>
          </w:tcPr>
          <w:p w14:paraId="73FA5BF4">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eastAsia="宋体"/>
                <w:color w:val="auto"/>
                <w:sz w:val="24"/>
                <w:szCs w:val="24"/>
                <w:highlight w:val="none"/>
                <w:vertAlign w:val="baseline"/>
                <w:lang w:val="en-US" w:eastAsia="zh-CN"/>
              </w:rPr>
            </w:pPr>
            <w:r>
              <w:rPr>
                <w:rFonts w:hint="eastAsia"/>
                <w:color w:val="auto"/>
                <w:sz w:val="24"/>
                <w:szCs w:val="24"/>
                <w:highlight w:val="none"/>
                <w:lang w:val="en-US" w:eastAsia="zh-CN"/>
              </w:rPr>
              <w:t>《大气污染物综合排放标准》（GB16297-1996）表2中颗粒物相关排放限值，最高允许排放浓度18mg/m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，最高允许排放速率0.255kg/h（15m高排气筒最高允许排放速率一半），以及排气筒应高出周围200m半径范围的建筑5m以上，不能达到该要求的排气筒，应按其高度对应的表列排放速率标准值严格50%执行的要求</w:t>
            </w:r>
          </w:p>
        </w:tc>
      </w:tr>
      <w:tr w14:paraId="46372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1113" w:type="dxa"/>
            <w:vMerge w:val="continue"/>
            <w:noWrap w:val="0"/>
            <w:vAlign w:val="center"/>
          </w:tcPr>
          <w:p w14:paraId="381F9D91">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color w:val="auto"/>
              </w:rPr>
            </w:pPr>
          </w:p>
        </w:tc>
        <w:tc>
          <w:tcPr>
            <w:tcW w:w="1426" w:type="dxa"/>
            <w:vMerge w:val="continue"/>
            <w:noWrap w:val="0"/>
            <w:vAlign w:val="center"/>
          </w:tcPr>
          <w:p w14:paraId="319B3586">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color w:val="auto"/>
              </w:rPr>
            </w:pPr>
          </w:p>
        </w:tc>
        <w:tc>
          <w:tcPr>
            <w:tcW w:w="1282" w:type="dxa"/>
            <w:noWrap w:val="0"/>
            <w:vAlign w:val="center"/>
          </w:tcPr>
          <w:p w14:paraId="24DD7F2A">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非甲烷总烃</w:t>
            </w:r>
          </w:p>
        </w:tc>
        <w:tc>
          <w:tcPr>
            <w:tcW w:w="2817" w:type="dxa"/>
            <w:vMerge w:val="continue"/>
            <w:noWrap w:val="0"/>
            <w:vAlign w:val="center"/>
          </w:tcPr>
          <w:p w14:paraId="173C314F">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p>
        </w:tc>
        <w:tc>
          <w:tcPr>
            <w:tcW w:w="3110" w:type="dxa"/>
            <w:vMerge w:val="restart"/>
            <w:noWrap w:val="0"/>
            <w:vAlign w:val="center"/>
          </w:tcPr>
          <w:p w14:paraId="01217295">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rPr>
              <w:t>工业企业挥发性有机物排放控制标准》（DB13/2322-2016）</w:t>
            </w:r>
            <w:r>
              <w:rPr>
                <w:rFonts w:hint="eastAsia"/>
                <w:color w:val="auto"/>
                <w:sz w:val="24"/>
                <w:szCs w:val="24"/>
                <w:highlight w:val="none"/>
                <w:lang w:val="en-US" w:eastAsia="zh-CN"/>
              </w:rPr>
              <w:t>表1中表面涂装业非甲烷总烃最高允许排放浓度30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按表面涂装业最高允许排放浓度</w:t>
            </w:r>
            <w:r>
              <w:rPr>
                <w:rFonts w:hint="eastAsia"/>
                <w:color w:val="auto"/>
                <w:sz w:val="24"/>
                <w:szCs w:val="24"/>
                <w:highlight w:val="none"/>
                <w:lang w:val="en-US" w:eastAsia="zh-CN"/>
              </w:rPr>
              <w:t>60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val="en-US" w:eastAsia="zh-CN"/>
              </w:rPr>
              <w:t>的一半执行</w:t>
            </w:r>
            <w:r>
              <w:rPr>
                <w:rFonts w:hint="eastAsia"/>
                <w:color w:val="auto"/>
                <w:sz w:val="24"/>
                <w:szCs w:val="24"/>
                <w:highlight w:val="none"/>
                <w:vertAlign w:val="baseline"/>
                <w:lang w:eastAsia="zh-CN"/>
              </w:rPr>
              <w:t>）</w:t>
            </w:r>
            <w:r>
              <w:rPr>
                <w:rFonts w:hint="eastAsia"/>
                <w:color w:val="auto"/>
                <w:sz w:val="24"/>
                <w:szCs w:val="24"/>
                <w:highlight w:val="none"/>
              </w:rPr>
              <w:t>，</w:t>
            </w:r>
            <w:r>
              <w:rPr>
                <w:rFonts w:hint="eastAsia"/>
                <w:color w:val="auto"/>
                <w:sz w:val="24"/>
                <w:szCs w:val="24"/>
                <w:highlight w:val="none"/>
                <w:lang w:val="en-US" w:eastAsia="zh-CN"/>
              </w:rPr>
              <w:t>最低去除效率70%，苯最高允许排放浓度0.5</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按表面涂装业最高允许排放浓度</w:t>
            </w:r>
            <w:r>
              <w:rPr>
                <w:rFonts w:hint="eastAsia"/>
                <w:color w:val="auto"/>
                <w:sz w:val="24"/>
                <w:szCs w:val="24"/>
                <w:highlight w:val="none"/>
                <w:lang w:val="en-US" w:eastAsia="zh-CN"/>
              </w:rPr>
              <w:t>1</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val="en-US" w:eastAsia="zh-CN"/>
              </w:rPr>
              <w:t>的一半执行</w:t>
            </w:r>
            <w:r>
              <w:rPr>
                <w:rFonts w:hint="eastAsia"/>
                <w:color w:val="auto"/>
                <w:sz w:val="24"/>
                <w:szCs w:val="24"/>
                <w:highlight w:val="none"/>
                <w:vertAlign w:val="baseline"/>
                <w:lang w:eastAsia="zh-CN"/>
              </w:rPr>
              <w:t>）</w:t>
            </w:r>
            <w:r>
              <w:rPr>
                <w:rFonts w:hint="eastAsia"/>
                <w:color w:val="auto"/>
                <w:sz w:val="24"/>
                <w:szCs w:val="24"/>
                <w:highlight w:val="none"/>
              </w:rPr>
              <w:t>，</w:t>
            </w:r>
            <w:r>
              <w:rPr>
                <w:rFonts w:hint="eastAsia"/>
                <w:color w:val="auto"/>
                <w:sz w:val="24"/>
                <w:szCs w:val="24"/>
                <w:highlight w:val="none"/>
                <w:lang w:val="en-US" w:eastAsia="zh-CN"/>
              </w:rPr>
              <w:t>甲苯与二甲苯合计最高允许排放浓度10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按表面涂装业最高允许排放浓度</w:t>
            </w:r>
            <w:r>
              <w:rPr>
                <w:rFonts w:hint="eastAsia"/>
                <w:color w:val="auto"/>
                <w:sz w:val="24"/>
                <w:szCs w:val="24"/>
                <w:highlight w:val="none"/>
                <w:lang w:val="en-US" w:eastAsia="zh-CN"/>
              </w:rPr>
              <w:t>20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val="en-US" w:eastAsia="zh-CN"/>
              </w:rPr>
              <w:t>的一半执行</w:t>
            </w:r>
            <w:r>
              <w:rPr>
                <w:rFonts w:hint="eastAsia"/>
                <w:color w:val="auto"/>
                <w:sz w:val="24"/>
                <w:szCs w:val="24"/>
                <w:highlight w:val="none"/>
                <w:vertAlign w:val="baseline"/>
                <w:lang w:eastAsia="zh-CN"/>
              </w:rPr>
              <w:t>）</w:t>
            </w:r>
            <w:r>
              <w:rPr>
                <w:rFonts w:hint="eastAsia"/>
                <w:color w:val="auto"/>
                <w:sz w:val="24"/>
                <w:szCs w:val="24"/>
                <w:highlight w:val="none"/>
              </w:rPr>
              <w:t>，排气筒高度不低于15m</w:t>
            </w:r>
            <w:r>
              <w:rPr>
                <w:rFonts w:hint="eastAsia"/>
                <w:color w:val="auto"/>
                <w:sz w:val="24"/>
                <w:szCs w:val="24"/>
                <w:highlight w:val="none"/>
                <w:lang w:eastAsia="zh-CN"/>
              </w:rPr>
              <w:t>，排气筒高度应高出周围200m半径范围的建筑5m以上。高度如果达不到规定时，按排放限值的50%执行</w:t>
            </w:r>
          </w:p>
        </w:tc>
      </w:tr>
      <w:tr w14:paraId="1ABFA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113" w:type="dxa"/>
            <w:vMerge w:val="continue"/>
            <w:noWrap w:val="0"/>
            <w:vAlign w:val="center"/>
          </w:tcPr>
          <w:p w14:paraId="3CC20F41">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p>
        </w:tc>
        <w:tc>
          <w:tcPr>
            <w:tcW w:w="1426" w:type="dxa"/>
            <w:vMerge w:val="continue"/>
            <w:noWrap w:val="0"/>
            <w:vAlign w:val="center"/>
          </w:tcPr>
          <w:p w14:paraId="08454A34">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p>
        </w:tc>
        <w:tc>
          <w:tcPr>
            <w:tcW w:w="1282" w:type="dxa"/>
            <w:noWrap w:val="0"/>
            <w:vAlign w:val="center"/>
          </w:tcPr>
          <w:p w14:paraId="68F44EB4">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苯</w:t>
            </w:r>
          </w:p>
        </w:tc>
        <w:tc>
          <w:tcPr>
            <w:tcW w:w="2817" w:type="dxa"/>
            <w:vMerge w:val="continue"/>
            <w:noWrap w:val="0"/>
            <w:vAlign w:val="center"/>
          </w:tcPr>
          <w:p w14:paraId="5678F436">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p>
        </w:tc>
        <w:tc>
          <w:tcPr>
            <w:tcW w:w="3110" w:type="dxa"/>
            <w:vMerge w:val="continue"/>
            <w:noWrap w:val="0"/>
            <w:vAlign w:val="center"/>
          </w:tcPr>
          <w:p w14:paraId="6FB929CD">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p>
        </w:tc>
      </w:tr>
      <w:tr w14:paraId="616F4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3" w:type="dxa"/>
            <w:vMerge w:val="continue"/>
            <w:noWrap w:val="0"/>
            <w:vAlign w:val="center"/>
          </w:tcPr>
          <w:p w14:paraId="0641A46D">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p>
        </w:tc>
        <w:tc>
          <w:tcPr>
            <w:tcW w:w="1426" w:type="dxa"/>
            <w:vMerge w:val="continue"/>
            <w:noWrap w:val="0"/>
            <w:vAlign w:val="center"/>
          </w:tcPr>
          <w:p w14:paraId="28170718">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p>
        </w:tc>
        <w:tc>
          <w:tcPr>
            <w:tcW w:w="1282" w:type="dxa"/>
            <w:noWrap w:val="0"/>
            <w:vAlign w:val="center"/>
          </w:tcPr>
          <w:p w14:paraId="5305E4A7">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甲苯与二甲苯合计</w:t>
            </w:r>
          </w:p>
        </w:tc>
        <w:tc>
          <w:tcPr>
            <w:tcW w:w="2817" w:type="dxa"/>
            <w:vMerge w:val="continue"/>
            <w:noWrap w:val="0"/>
            <w:vAlign w:val="center"/>
          </w:tcPr>
          <w:p w14:paraId="08D52D8B">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p>
        </w:tc>
        <w:tc>
          <w:tcPr>
            <w:tcW w:w="3110" w:type="dxa"/>
            <w:vMerge w:val="continue"/>
            <w:noWrap w:val="0"/>
            <w:vAlign w:val="center"/>
          </w:tcPr>
          <w:p w14:paraId="139AF103">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p>
        </w:tc>
      </w:tr>
      <w:tr w14:paraId="74980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113" w:type="dxa"/>
            <w:vMerge w:val="continue"/>
            <w:noWrap w:val="0"/>
            <w:vAlign w:val="center"/>
          </w:tcPr>
          <w:p w14:paraId="42D049C6">
            <w:pPr>
              <w:pStyle w:val="31"/>
              <w:keepNext w:val="0"/>
              <w:keepLines w:val="0"/>
              <w:pageBreakBefore w:val="0"/>
              <w:widowControl w:val="0"/>
              <w:kinsoku/>
              <w:wordWrap/>
              <w:overflowPunct/>
              <w:topLinePunct w:val="0"/>
              <w:autoSpaceDE/>
              <w:autoSpaceDN/>
              <w:bidi w:val="0"/>
              <w:adjustRightInd/>
              <w:snapToGrid/>
              <w:spacing w:line="264" w:lineRule="auto"/>
              <w:textAlignment w:val="auto"/>
              <w:rPr>
                <w:color w:val="auto"/>
                <w:sz w:val="24"/>
                <w:szCs w:val="24"/>
                <w:highlight w:val="none"/>
              </w:rPr>
            </w:pPr>
          </w:p>
        </w:tc>
        <w:tc>
          <w:tcPr>
            <w:tcW w:w="1426" w:type="dxa"/>
            <w:vMerge w:val="restart"/>
            <w:noWrap w:val="0"/>
            <w:vAlign w:val="center"/>
          </w:tcPr>
          <w:p w14:paraId="2E4DE33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食堂</w:t>
            </w:r>
          </w:p>
        </w:tc>
        <w:tc>
          <w:tcPr>
            <w:tcW w:w="1282" w:type="dxa"/>
            <w:noWrap w:val="0"/>
            <w:vAlign w:val="center"/>
          </w:tcPr>
          <w:p w14:paraId="3A2F81DA">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油烟</w:t>
            </w:r>
          </w:p>
        </w:tc>
        <w:tc>
          <w:tcPr>
            <w:tcW w:w="2817" w:type="dxa"/>
            <w:vMerge w:val="restart"/>
            <w:noWrap w:val="0"/>
            <w:vAlign w:val="center"/>
          </w:tcPr>
          <w:p w14:paraId="6B9BE029">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default"/>
                <w:color w:val="auto"/>
                <w:sz w:val="24"/>
                <w:szCs w:val="24"/>
                <w:highlight w:val="none"/>
                <w:lang w:val="en-US" w:eastAsia="zh-CN"/>
              </w:rPr>
              <w:t>经油烟净化器处理后经专用烟道排放</w:t>
            </w:r>
          </w:p>
        </w:tc>
        <w:tc>
          <w:tcPr>
            <w:tcW w:w="3110" w:type="dxa"/>
            <w:vMerge w:val="restart"/>
            <w:noWrap w:val="0"/>
            <w:vAlign w:val="center"/>
          </w:tcPr>
          <w:p w14:paraId="69EDF479">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vertAlign w:val="baseline"/>
                <w:lang w:val="en-US"/>
              </w:rPr>
            </w:pPr>
            <w:r>
              <w:rPr>
                <w:rFonts w:hint="default"/>
                <w:color w:val="auto"/>
                <w:sz w:val="24"/>
                <w:szCs w:val="24"/>
                <w:highlight w:val="none"/>
                <w:lang w:val="zh-CN"/>
              </w:rPr>
              <w:t>《</w:t>
            </w:r>
            <w:r>
              <w:rPr>
                <w:rFonts w:hint="eastAsia"/>
                <w:color w:val="auto"/>
                <w:sz w:val="24"/>
                <w:szCs w:val="24"/>
                <w:highlight w:val="none"/>
                <w:lang w:val="en-US" w:eastAsia="zh-CN"/>
              </w:rPr>
              <w:t>餐饮业大气污染物排放标准</w:t>
            </w:r>
            <w:r>
              <w:rPr>
                <w:rFonts w:hint="default"/>
                <w:color w:val="auto"/>
                <w:sz w:val="24"/>
                <w:szCs w:val="24"/>
                <w:highlight w:val="none"/>
                <w:lang w:val="zh-CN"/>
              </w:rPr>
              <w:t>》</w:t>
            </w:r>
            <w:r>
              <w:rPr>
                <w:rFonts w:hint="eastAsia"/>
                <w:color w:val="auto"/>
                <w:sz w:val="24"/>
                <w:szCs w:val="24"/>
                <w:highlight w:val="none"/>
                <w:lang w:val="zh-CN"/>
              </w:rPr>
              <w:t>（</w:t>
            </w:r>
            <w:r>
              <w:rPr>
                <w:rFonts w:hint="eastAsia"/>
                <w:color w:val="auto"/>
                <w:sz w:val="24"/>
                <w:szCs w:val="24"/>
                <w:highlight w:val="none"/>
                <w:lang w:val="en-US" w:eastAsia="zh-CN"/>
              </w:rPr>
              <w:t>DB13/5808-2023</w:t>
            </w:r>
            <w:r>
              <w:rPr>
                <w:rFonts w:hint="eastAsia"/>
                <w:color w:val="auto"/>
                <w:sz w:val="24"/>
                <w:szCs w:val="24"/>
                <w:highlight w:val="none"/>
                <w:lang w:val="zh-CN"/>
              </w:rPr>
              <w:t>）</w:t>
            </w:r>
            <w:r>
              <w:rPr>
                <w:rFonts w:hint="default"/>
                <w:color w:val="auto"/>
                <w:sz w:val="24"/>
                <w:szCs w:val="24"/>
                <w:highlight w:val="none"/>
                <w:lang w:val="zh-CN"/>
              </w:rPr>
              <w:t>中的油烟最高允许排放浓度</w:t>
            </w:r>
            <w:r>
              <w:rPr>
                <w:rFonts w:hint="eastAsia"/>
                <w:color w:val="auto"/>
                <w:sz w:val="24"/>
                <w:szCs w:val="24"/>
                <w:highlight w:val="none"/>
                <w:lang w:val="en-US" w:eastAsia="zh-CN"/>
              </w:rPr>
              <w:t>1.2</w:t>
            </w:r>
            <w:r>
              <w:rPr>
                <w:rFonts w:hint="default"/>
                <w:color w:val="auto"/>
                <w:sz w:val="24"/>
                <w:szCs w:val="24"/>
                <w:highlight w:val="none"/>
                <w:lang w:val="zh-CN"/>
              </w:rPr>
              <w:t>mg/m</w:t>
            </w:r>
            <w:r>
              <w:rPr>
                <w:rFonts w:hint="default"/>
                <w:color w:val="auto"/>
                <w:sz w:val="24"/>
                <w:szCs w:val="24"/>
                <w:highlight w:val="none"/>
                <w:vertAlign w:val="superscript"/>
                <w:lang w:val="zh-CN"/>
              </w:rPr>
              <w:t>3</w:t>
            </w:r>
            <w:r>
              <w:rPr>
                <w:rFonts w:hint="default"/>
                <w:color w:val="auto"/>
                <w:sz w:val="24"/>
                <w:szCs w:val="24"/>
                <w:highlight w:val="none"/>
                <w:lang w:val="zh-CN"/>
              </w:rPr>
              <w:t>、</w:t>
            </w:r>
            <w:r>
              <w:rPr>
                <w:rFonts w:hint="eastAsia"/>
                <w:color w:val="auto"/>
                <w:sz w:val="24"/>
                <w:szCs w:val="24"/>
                <w:highlight w:val="none"/>
                <w:lang w:val="en-US" w:eastAsia="zh-CN"/>
              </w:rPr>
              <w:t>非甲烷总烃10.0mg/m</w:t>
            </w:r>
            <w:r>
              <w:rPr>
                <w:rFonts w:hint="eastAsia"/>
                <w:color w:val="auto"/>
                <w:sz w:val="24"/>
                <w:szCs w:val="24"/>
                <w:highlight w:val="none"/>
                <w:vertAlign w:val="superscript"/>
                <w:lang w:val="en-US" w:eastAsia="zh-CN"/>
              </w:rPr>
              <w:t>3</w:t>
            </w:r>
          </w:p>
        </w:tc>
      </w:tr>
      <w:tr w14:paraId="421CA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113" w:type="dxa"/>
            <w:vMerge w:val="continue"/>
            <w:noWrap w:val="0"/>
            <w:vAlign w:val="center"/>
          </w:tcPr>
          <w:p w14:paraId="7315FC7D">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color w:val="auto"/>
              </w:rPr>
            </w:pPr>
          </w:p>
        </w:tc>
        <w:tc>
          <w:tcPr>
            <w:tcW w:w="1426" w:type="dxa"/>
            <w:vMerge w:val="continue"/>
            <w:noWrap w:val="0"/>
            <w:vAlign w:val="center"/>
          </w:tcPr>
          <w:p w14:paraId="7A0CE3B9">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color w:val="auto"/>
              </w:rPr>
            </w:pPr>
          </w:p>
        </w:tc>
        <w:tc>
          <w:tcPr>
            <w:tcW w:w="1282" w:type="dxa"/>
            <w:noWrap w:val="0"/>
            <w:vAlign w:val="center"/>
          </w:tcPr>
          <w:p w14:paraId="779CBCEC">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非甲烷总烃</w:t>
            </w:r>
          </w:p>
        </w:tc>
        <w:tc>
          <w:tcPr>
            <w:tcW w:w="2817" w:type="dxa"/>
            <w:vMerge w:val="continue"/>
            <w:noWrap w:val="0"/>
            <w:vAlign w:val="center"/>
          </w:tcPr>
          <w:p w14:paraId="1BF75508">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c>
          <w:tcPr>
            <w:tcW w:w="3110" w:type="dxa"/>
            <w:vMerge w:val="continue"/>
            <w:noWrap w:val="0"/>
            <w:vAlign w:val="center"/>
          </w:tcPr>
          <w:p w14:paraId="0D6B98D7">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r>
      <w:tr w14:paraId="21EDD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13" w:type="dxa"/>
            <w:vMerge w:val="continue"/>
            <w:noWrap w:val="0"/>
            <w:vAlign w:val="center"/>
          </w:tcPr>
          <w:p w14:paraId="5222785D">
            <w:pPr>
              <w:pStyle w:val="31"/>
              <w:keepNext w:val="0"/>
              <w:keepLines w:val="0"/>
              <w:pageBreakBefore w:val="0"/>
              <w:widowControl w:val="0"/>
              <w:kinsoku/>
              <w:wordWrap/>
              <w:overflowPunct/>
              <w:topLinePunct w:val="0"/>
              <w:autoSpaceDE/>
              <w:autoSpaceDN/>
              <w:bidi w:val="0"/>
              <w:adjustRightInd/>
              <w:snapToGrid/>
              <w:spacing w:line="264" w:lineRule="auto"/>
              <w:textAlignment w:val="auto"/>
              <w:rPr>
                <w:color w:val="auto"/>
                <w:sz w:val="24"/>
                <w:szCs w:val="24"/>
                <w:highlight w:val="none"/>
              </w:rPr>
            </w:pPr>
          </w:p>
        </w:tc>
        <w:tc>
          <w:tcPr>
            <w:tcW w:w="1426" w:type="dxa"/>
            <w:vMerge w:val="restart"/>
            <w:noWrap w:val="0"/>
            <w:vAlign w:val="center"/>
          </w:tcPr>
          <w:p w14:paraId="6DDF89A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打磨过程未捕集废气</w:t>
            </w:r>
          </w:p>
        </w:tc>
        <w:tc>
          <w:tcPr>
            <w:tcW w:w="1282" w:type="dxa"/>
            <w:vMerge w:val="restart"/>
            <w:noWrap w:val="0"/>
            <w:vAlign w:val="center"/>
          </w:tcPr>
          <w:p w14:paraId="2D29DF95">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颗粒物</w:t>
            </w:r>
          </w:p>
        </w:tc>
        <w:tc>
          <w:tcPr>
            <w:tcW w:w="2817" w:type="dxa"/>
            <w:vMerge w:val="restart"/>
            <w:noWrap w:val="0"/>
            <w:vAlign w:val="center"/>
          </w:tcPr>
          <w:p w14:paraId="4486025B">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车间内无组织排放</w:t>
            </w:r>
          </w:p>
        </w:tc>
        <w:tc>
          <w:tcPr>
            <w:tcW w:w="3110" w:type="dxa"/>
            <w:noWrap w:val="0"/>
            <w:vAlign w:val="center"/>
          </w:tcPr>
          <w:p w14:paraId="45C1CD2F">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b w:val="0"/>
                <w:bCs w:val="0"/>
                <w:color w:val="auto"/>
                <w:sz w:val="24"/>
                <w:szCs w:val="24"/>
                <w:highlight w:val="none"/>
                <w:lang w:val="en-US" w:eastAsia="zh-CN"/>
              </w:rPr>
            </w:pPr>
            <w:r>
              <w:rPr>
                <w:rFonts w:hint="eastAsia" w:ascii="Times New Roman" w:eastAsia="宋体"/>
                <w:color w:val="auto"/>
                <w:sz w:val="24"/>
                <w:szCs w:val="24"/>
                <w:highlight w:val="none"/>
                <w:lang w:val="en-US" w:eastAsia="zh-CN"/>
              </w:rPr>
              <w:t>《钢铁工业大气污染物超低排放标准》（DB13/2169-2018）表5中有厂房车间颗粒物浓度限值8.0mg/m</w:t>
            </w:r>
            <w:r>
              <w:rPr>
                <w:rFonts w:hint="eastAsia" w:ascii="Times New Roman" w:eastAsia="宋体"/>
                <w:color w:val="auto"/>
                <w:sz w:val="24"/>
                <w:szCs w:val="24"/>
                <w:highlight w:val="none"/>
                <w:vertAlign w:val="superscript"/>
                <w:lang w:val="en-US" w:eastAsia="zh-CN"/>
              </w:rPr>
              <w:t>3</w:t>
            </w:r>
          </w:p>
        </w:tc>
      </w:tr>
      <w:tr w14:paraId="1B0D2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13" w:type="dxa"/>
            <w:vMerge w:val="continue"/>
            <w:noWrap w:val="0"/>
            <w:vAlign w:val="center"/>
          </w:tcPr>
          <w:p w14:paraId="6509EE81">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color w:val="auto"/>
              </w:rPr>
            </w:pPr>
          </w:p>
        </w:tc>
        <w:tc>
          <w:tcPr>
            <w:tcW w:w="1426" w:type="dxa"/>
            <w:vMerge w:val="continue"/>
            <w:noWrap w:val="0"/>
            <w:vAlign w:val="center"/>
          </w:tcPr>
          <w:p w14:paraId="03806DAF">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color w:val="auto"/>
              </w:rPr>
            </w:pPr>
          </w:p>
        </w:tc>
        <w:tc>
          <w:tcPr>
            <w:tcW w:w="1282" w:type="dxa"/>
            <w:vMerge w:val="continue"/>
            <w:noWrap w:val="0"/>
            <w:vAlign w:val="center"/>
          </w:tcPr>
          <w:p w14:paraId="0F9DFB12">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color w:val="auto"/>
              </w:rPr>
            </w:pPr>
          </w:p>
        </w:tc>
        <w:tc>
          <w:tcPr>
            <w:tcW w:w="2817" w:type="dxa"/>
            <w:vMerge w:val="continue"/>
            <w:noWrap w:val="0"/>
            <w:vAlign w:val="center"/>
          </w:tcPr>
          <w:p w14:paraId="4F44B147">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color w:val="auto"/>
              </w:rPr>
            </w:pPr>
          </w:p>
        </w:tc>
        <w:tc>
          <w:tcPr>
            <w:tcW w:w="3110" w:type="dxa"/>
            <w:vMerge w:val="restart"/>
            <w:noWrap w:val="0"/>
            <w:vAlign w:val="center"/>
          </w:tcPr>
          <w:p w14:paraId="2FCC23D6">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ascii="Times New Roman" w:eastAsia="宋体"/>
                <w:color w:val="auto"/>
                <w:sz w:val="21"/>
                <w:szCs w:val="21"/>
                <w:highlight w:val="none"/>
                <w:lang w:val="en-US" w:eastAsia="zh-CN"/>
              </w:rPr>
            </w:pPr>
            <w:r>
              <w:rPr>
                <w:rFonts w:hint="eastAsia" w:ascii="Times New Roman" w:eastAsia="宋体"/>
                <w:color w:val="auto"/>
                <w:sz w:val="24"/>
                <w:szCs w:val="24"/>
                <w:highlight w:val="none"/>
                <w:lang w:val="en-US" w:eastAsia="zh-CN"/>
              </w:rPr>
              <w:t>《钢铁工业大气污染物超低排放标准》（DB13/2169-2018）表5中厂界颗粒物浓度限值1.0mg/m</w:t>
            </w:r>
            <w:r>
              <w:rPr>
                <w:rFonts w:hint="eastAsia" w:ascii="Times New Roman" w:eastAsia="宋体"/>
                <w:color w:val="auto"/>
                <w:sz w:val="24"/>
                <w:szCs w:val="24"/>
                <w:highlight w:val="none"/>
                <w:vertAlign w:val="superscript"/>
                <w:lang w:val="en-US" w:eastAsia="zh-CN"/>
              </w:rPr>
              <w:t>3</w:t>
            </w:r>
          </w:p>
        </w:tc>
      </w:tr>
      <w:tr w14:paraId="38037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3" w:type="dxa"/>
            <w:vMerge w:val="continue"/>
            <w:noWrap w:val="0"/>
            <w:vAlign w:val="center"/>
          </w:tcPr>
          <w:p w14:paraId="6153F238">
            <w:pPr>
              <w:pStyle w:val="31"/>
              <w:keepNext w:val="0"/>
              <w:keepLines w:val="0"/>
              <w:pageBreakBefore w:val="0"/>
              <w:widowControl w:val="0"/>
              <w:kinsoku/>
              <w:wordWrap/>
              <w:overflowPunct/>
              <w:topLinePunct w:val="0"/>
              <w:autoSpaceDE/>
              <w:autoSpaceDN/>
              <w:bidi w:val="0"/>
              <w:adjustRightInd/>
              <w:snapToGrid/>
              <w:spacing w:line="264" w:lineRule="auto"/>
              <w:textAlignment w:val="auto"/>
              <w:rPr>
                <w:color w:val="auto"/>
                <w:sz w:val="24"/>
                <w:szCs w:val="24"/>
                <w:highlight w:val="none"/>
              </w:rPr>
            </w:pPr>
          </w:p>
        </w:tc>
        <w:tc>
          <w:tcPr>
            <w:tcW w:w="1426" w:type="dxa"/>
            <w:vMerge w:val="restart"/>
            <w:noWrap w:val="0"/>
            <w:vAlign w:val="center"/>
          </w:tcPr>
          <w:p w14:paraId="25E071D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调漆、喷漆、烘干/晾干、刮腻子、腻子打磨、除油、漆料及危废储存</w:t>
            </w:r>
            <w:r>
              <w:rPr>
                <w:rFonts w:hint="eastAsia"/>
                <w:color w:val="auto"/>
                <w:sz w:val="24"/>
                <w:szCs w:val="24"/>
                <w:highlight w:val="none"/>
                <w:lang w:val="en-US" w:eastAsia="zh-CN"/>
              </w:rPr>
              <w:t>过程未捕集废气</w:t>
            </w:r>
          </w:p>
        </w:tc>
        <w:tc>
          <w:tcPr>
            <w:tcW w:w="1282" w:type="dxa"/>
            <w:noWrap w:val="0"/>
            <w:vAlign w:val="center"/>
          </w:tcPr>
          <w:p w14:paraId="6763F69F">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颗粒物</w:t>
            </w:r>
          </w:p>
        </w:tc>
        <w:tc>
          <w:tcPr>
            <w:tcW w:w="2817" w:type="dxa"/>
            <w:vMerge w:val="restart"/>
            <w:noWrap w:val="0"/>
            <w:vAlign w:val="center"/>
          </w:tcPr>
          <w:p w14:paraId="577B0F2E">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车间内无组织排放</w:t>
            </w:r>
          </w:p>
        </w:tc>
        <w:tc>
          <w:tcPr>
            <w:tcW w:w="3110" w:type="dxa"/>
            <w:vMerge w:val="continue"/>
            <w:noWrap w:val="0"/>
            <w:vAlign w:val="center"/>
          </w:tcPr>
          <w:p w14:paraId="24B7EA5D">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b w:val="0"/>
                <w:bCs w:val="0"/>
                <w:color w:val="auto"/>
                <w:sz w:val="24"/>
                <w:szCs w:val="24"/>
                <w:highlight w:val="none"/>
                <w:lang w:val="en-US" w:eastAsia="zh-CN"/>
              </w:rPr>
            </w:pPr>
          </w:p>
        </w:tc>
      </w:tr>
      <w:tr w14:paraId="396C6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1113" w:type="dxa"/>
            <w:vMerge w:val="continue"/>
            <w:noWrap w:val="0"/>
            <w:vAlign w:val="center"/>
          </w:tcPr>
          <w:p w14:paraId="3A2E9998">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color w:val="auto"/>
              </w:rPr>
            </w:pPr>
          </w:p>
        </w:tc>
        <w:tc>
          <w:tcPr>
            <w:tcW w:w="1426" w:type="dxa"/>
            <w:vMerge w:val="continue"/>
            <w:noWrap w:val="0"/>
            <w:vAlign w:val="center"/>
          </w:tcPr>
          <w:p w14:paraId="1D52AAA7">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color w:val="auto"/>
              </w:rPr>
            </w:pPr>
          </w:p>
        </w:tc>
        <w:tc>
          <w:tcPr>
            <w:tcW w:w="1282" w:type="dxa"/>
            <w:noWrap w:val="0"/>
            <w:vAlign w:val="center"/>
          </w:tcPr>
          <w:p w14:paraId="30E98E21">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非甲烷总烃</w:t>
            </w:r>
          </w:p>
        </w:tc>
        <w:tc>
          <w:tcPr>
            <w:tcW w:w="2817" w:type="dxa"/>
            <w:vMerge w:val="continue"/>
            <w:noWrap w:val="0"/>
            <w:vAlign w:val="center"/>
          </w:tcPr>
          <w:p w14:paraId="744C5B36">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c>
          <w:tcPr>
            <w:tcW w:w="3110" w:type="dxa"/>
            <w:vMerge w:val="restart"/>
            <w:noWrap w:val="0"/>
            <w:vAlign w:val="center"/>
          </w:tcPr>
          <w:p w14:paraId="529A04A6">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color w:val="auto"/>
                <w:sz w:val="24"/>
                <w:szCs w:val="24"/>
                <w:highlight w:val="none"/>
              </w:rPr>
              <w:t>《工业企业挥发性有机物排放控制标准》（DB13/2322-2016）</w:t>
            </w:r>
            <w:r>
              <w:rPr>
                <w:rFonts w:hint="eastAsia"/>
                <w:color w:val="auto"/>
                <w:sz w:val="24"/>
                <w:szCs w:val="24"/>
                <w:highlight w:val="none"/>
              </w:rPr>
              <w:t>表</w:t>
            </w:r>
            <w:r>
              <w:rPr>
                <w:color w:val="auto"/>
                <w:sz w:val="24"/>
                <w:szCs w:val="24"/>
                <w:highlight w:val="none"/>
              </w:rPr>
              <w:t>2</w:t>
            </w:r>
            <w:r>
              <w:rPr>
                <w:rFonts w:hint="eastAsia"/>
                <w:color w:val="auto"/>
                <w:sz w:val="24"/>
                <w:szCs w:val="24"/>
                <w:highlight w:val="none"/>
              </w:rPr>
              <w:t>企业边界大气污染物浓度限值中其他企业：非甲烷总烃</w:t>
            </w:r>
            <w:r>
              <w:rPr>
                <w:color w:val="auto"/>
                <w:sz w:val="24"/>
                <w:szCs w:val="24"/>
                <w:highlight w:val="none"/>
              </w:rPr>
              <w:t>2.0mg/m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苯0.1</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甲苯0.6</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二甲苯0.2</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lang w:val="en-US" w:eastAsia="zh-CN"/>
              </w:rPr>
              <w:t>表3生产车间或生产设备边界：</w:t>
            </w:r>
            <w:r>
              <w:rPr>
                <w:rFonts w:hint="eastAsia"/>
                <w:color w:val="auto"/>
                <w:sz w:val="24"/>
                <w:szCs w:val="24"/>
                <w:highlight w:val="none"/>
              </w:rPr>
              <w:t>非甲烷总烃</w:t>
            </w:r>
            <w:r>
              <w:rPr>
                <w:rFonts w:hint="eastAsia"/>
                <w:color w:val="auto"/>
                <w:sz w:val="24"/>
                <w:szCs w:val="24"/>
                <w:highlight w:val="none"/>
                <w:lang w:val="en-US" w:eastAsia="zh-CN"/>
              </w:rPr>
              <w:t>4</w:t>
            </w:r>
            <w:r>
              <w:rPr>
                <w:color w:val="auto"/>
                <w:sz w:val="24"/>
                <w:szCs w:val="24"/>
                <w:highlight w:val="none"/>
              </w:rPr>
              <w:t>.0mg/m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vertAlign w:val="baseline"/>
                <w:lang w:val="en-US" w:eastAsia="zh-CN"/>
              </w:rPr>
              <w:t>苯0.4</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甲苯1.0</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二甲苯1.2</w:t>
            </w:r>
            <w:r>
              <w:rPr>
                <w:color w:val="auto"/>
                <w:sz w:val="24"/>
                <w:szCs w:val="24"/>
                <w:highlight w:val="none"/>
              </w:rPr>
              <w:t>mg/m</w:t>
            </w:r>
            <w:r>
              <w:rPr>
                <w:color w:val="auto"/>
                <w:sz w:val="24"/>
                <w:szCs w:val="24"/>
                <w:highlight w:val="none"/>
                <w:vertAlign w:val="superscript"/>
              </w:rPr>
              <w:t>3</w:t>
            </w:r>
            <w:r>
              <w:rPr>
                <w:rFonts w:hint="eastAsia"/>
                <w:color w:val="auto"/>
                <w:sz w:val="24"/>
                <w:szCs w:val="24"/>
                <w:highlight w:val="none"/>
                <w:vertAlign w:val="baseline"/>
                <w:lang w:val="en-US" w:eastAsia="zh-CN"/>
              </w:rPr>
              <w:t>；</w:t>
            </w:r>
            <w:r>
              <w:rPr>
                <w:rFonts w:hint="eastAsia"/>
                <w:color w:val="auto"/>
                <w:sz w:val="24"/>
                <w:szCs w:val="24"/>
                <w:highlight w:val="none"/>
                <w:lang w:eastAsia="zh-CN"/>
              </w:rPr>
              <w:t>《</w:t>
            </w:r>
            <w:r>
              <w:rPr>
                <w:rFonts w:hint="eastAsia"/>
                <w:color w:val="auto"/>
                <w:sz w:val="24"/>
                <w:szCs w:val="24"/>
                <w:highlight w:val="none"/>
                <w:lang w:val="en-US" w:eastAsia="zh-CN"/>
              </w:rPr>
              <w:t>挥发性有机物无组织排放控制标准</w:t>
            </w:r>
            <w:r>
              <w:rPr>
                <w:rFonts w:hint="eastAsia"/>
                <w:color w:val="auto"/>
                <w:sz w:val="24"/>
                <w:szCs w:val="24"/>
                <w:highlight w:val="none"/>
                <w:lang w:eastAsia="zh-CN"/>
              </w:rPr>
              <w:t>》（</w:t>
            </w:r>
            <w:r>
              <w:rPr>
                <w:rFonts w:hint="eastAsia"/>
                <w:color w:val="auto"/>
                <w:sz w:val="24"/>
                <w:szCs w:val="24"/>
                <w:highlight w:val="none"/>
                <w:lang w:val="en-US" w:eastAsia="zh-CN"/>
              </w:rPr>
              <w:t>GB37822-2019</w:t>
            </w:r>
            <w:r>
              <w:rPr>
                <w:rFonts w:hint="eastAsia"/>
                <w:color w:val="auto"/>
                <w:sz w:val="24"/>
                <w:szCs w:val="24"/>
                <w:highlight w:val="none"/>
                <w:lang w:eastAsia="zh-CN"/>
              </w:rPr>
              <w:t>）</w:t>
            </w:r>
            <w:r>
              <w:rPr>
                <w:rFonts w:hint="eastAsia"/>
                <w:color w:val="auto"/>
                <w:sz w:val="24"/>
                <w:szCs w:val="24"/>
                <w:highlight w:val="none"/>
                <w:lang w:val="en-US" w:eastAsia="zh-CN"/>
              </w:rPr>
              <w:t>附录A表A.1厂区内VOCs无组织排放限值中厂房外监控点1h平均浓度限值：非甲烷总烃6mg</w:t>
            </w:r>
            <w:r>
              <w:rPr>
                <w:rFonts w:hint="default"/>
                <w:color w:val="auto"/>
                <w:sz w:val="24"/>
                <w:szCs w:val="24"/>
                <w:highlight w:val="none"/>
              </w:rPr>
              <w:t>/m</w:t>
            </w:r>
            <w:r>
              <w:rPr>
                <w:rFonts w:hint="default"/>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任意一次浓度限值：非甲烷总烃20mg</w:t>
            </w:r>
            <w:r>
              <w:rPr>
                <w:rFonts w:hint="default"/>
                <w:color w:val="auto"/>
                <w:sz w:val="24"/>
                <w:szCs w:val="24"/>
                <w:highlight w:val="none"/>
              </w:rPr>
              <w:t>/m</w:t>
            </w:r>
            <w:r>
              <w:rPr>
                <w:rFonts w:hint="default"/>
                <w:color w:val="auto"/>
                <w:sz w:val="24"/>
                <w:szCs w:val="24"/>
                <w:highlight w:val="none"/>
                <w:vertAlign w:val="superscript"/>
              </w:rPr>
              <w:t>3</w:t>
            </w:r>
          </w:p>
        </w:tc>
      </w:tr>
      <w:tr w14:paraId="46752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113" w:type="dxa"/>
            <w:vMerge w:val="continue"/>
            <w:noWrap w:val="0"/>
            <w:vAlign w:val="center"/>
          </w:tcPr>
          <w:p w14:paraId="729277BB">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c>
          <w:tcPr>
            <w:tcW w:w="1426" w:type="dxa"/>
            <w:vMerge w:val="continue"/>
            <w:noWrap w:val="0"/>
            <w:vAlign w:val="center"/>
          </w:tcPr>
          <w:p w14:paraId="3656BD83">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c>
          <w:tcPr>
            <w:tcW w:w="1282" w:type="dxa"/>
            <w:noWrap w:val="0"/>
            <w:vAlign w:val="center"/>
          </w:tcPr>
          <w:p w14:paraId="345F658D">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苯</w:t>
            </w:r>
          </w:p>
        </w:tc>
        <w:tc>
          <w:tcPr>
            <w:tcW w:w="2817" w:type="dxa"/>
            <w:vMerge w:val="continue"/>
            <w:noWrap w:val="0"/>
            <w:vAlign w:val="center"/>
          </w:tcPr>
          <w:p w14:paraId="31CE985F">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c>
          <w:tcPr>
            <w:tcW w:w="3110" w:type="dxa"/>
            <w:vMerge w:val="continue"/>
            <w:noWrap w:val="0"/>
            <w:vAlign w:val="center"/>
          </w:tcPr>
          <w:p w14:paraId="294A7C56">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r>
      <w:tr w14:paraId="62E62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3" w:type="dxa"/>
            <w:vMerge w:val="continue"/>
            <w:noWrap w:val="0"/>
            <w:vAlign w:val="center"/>
          </w:tcPr>
          <w:p w14:paraId="1BB31CEE">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c>
          <w:tcPr>
            <w:tcW w:w="1426" w:type="dxa"/>
            <w:vMerge w:val="continue"/>
            <w:noWrap w:val="0"/>
            <w:vAlign w:val="center"/>
          </w:tcPr>
          <w:p w14:paraId="6D8F7F1D">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c>
          <w:tcPr>
            <w:tcW w:w="1282" w:type="dxa"/>
            <w:noWrap w:val="0"/>
            <w:vAlign w:val="center"/>
          </w:tcPr>
          <w:p w14:paraId="518B9C1D">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甲苯与二甲苯合计</w:t>
            </w:r>
          </w:p>
        </w:tc>
        <w:tc>
          <w:tcPr>
            <w:tcW w:w="2817" w:type="dxa"/>
            <w:vMerge w:val="continue"/>
            <w:noWrap w:val="0"/>
            <w:vAlign w:val="center"/>
          </w:tcPr>
          <w:p w14:paraId="55248937">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c>
          <w:tcPr>
            <w:tcW w:w="3110" w:type="dxa"/>
            <w:vMerge w:val="continue"/>
            <w:noWrap w:val="0"/>
            <w:vAlign w:val="center"/>
          </w:tcPr>
          <w:p w14:paraId="4BFC8D1F">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p>
        </w:tc>
      </w:tr>
      <w:tr w14:paraId="1CCE1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3" w:type="dxa"/>
            <w:noWrap w:val="0"/>
            <w:vAlign w:val="center"/>
          </w:tcPr>
          <w:p w14:paraId="79D99024">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地表水环境</w:t>
            </w:r>
          </w:p>
        </w:tc>
        <w:tc>
          <w:tcPr>
            <w:tcW w:w="1426" w:type="dxa"/>
            <w:noWrap w:val="0"/>
            <w:vAlign w:val="center"/>
          </w:tcPr>
          <w:p w14:paraId="6DA69225">
            <w:pPr>
              <w:pStyle w:val="31"/>
              <w:keepNext w:val="0"/>
              <w:keepLines w:val="0"/>
              <w:pageBreakBefore w:val="0"/>
              <w:widowControl w:val="0"/>
              <w:kinsoku/>
              <w:wordWrap/>
              <w:overflowPunct/>
              <w:topLinePunct w:val="0"/>
              <w:autoSpaceDE/>
              <w:autoSpaceDN/>
              <w:bidi w:val="0"/>
              <w:adjustRightInd/>
              <w:snapToGrid/>
              <w:spacing w:line="264" w:lineRule="auto"/>
              <w:ind w:firstLine="0" w:firstLineChars="0"/>
              <w:textAlignment w:val="auto"/>
              <w:rPr>
                <w:rFonts w:hint="default"/>
                <w:color w:val="auto"/>
                <w:sz w:val="24"/>
                <w:szCs w:val="24"/>
                <w:highlight w:val="none"/>
                <w:lang w:val="en-US" w:eastAsia="zh-CN"/>
              </w:rPr>
            </w:pPr>
            <w:r>
              <w:rPr>
                <w:rFonts w:hint="eastAsia" w:ascii="宋体" w:hAnsi="宋体" w:cs="宋体"/>
                <w:color w:val="auto"/>
                <w:sz w:val="24"/>
                <w:szCs w:val="24"/>
                <w:highlight w:val="none"/>
                <w:lang w:val="en-US" w:eastAsia="zh-CN"/>
              </w:rPr>
              <w:t>生活污水排放口（</w:t>
            </w:r>
            <w:r>
              <w:rPr>
                <w:rFonts w:hint="default" w:ascii="Times New Roman" w:hAnsi="Times New Roman" w:cs="Times New Roman"/>
                <w:color w:val="auto"/>
                <w:sz w:val="24"/>
                <w:szCs w:val="24"/>
                <w:highlight w:val="none"/>
                <w:lang w:val="en-US" w:eastAsia="zh-CN"/>
              </w:rPr>
              <w:t>DW001</w:t>
            </w:r>
            <w:r>
              <w:rPr>
                <w:rFonts w:hint="eastAsia" w:ascii="宋体" w:hAnsi="宋体" w:cs="宋体"/>
                <w:color w:val="auto"/>
                <w:sz w:val="24"/>
                <w:szCs w:val="24"/>
                <w:highlight w:val="none"/>
                <w:lang w:val="en-US" w:eastAsia="zh-CN"/>
              </w:rPr>
              <w:t>）</w:t>
            </w:r>
          </w:p>
        </w:tc>
        <w:tc>
          <w:tcPr>
            <w:tcW w:w="1282" w:type="dxa"/>
            <w:noWrap w:val="0"/>
            <w:vAlign w:val="center"/>
          </w:tcPr>
          <w:p w14:paraId="1348637A">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rPr>
              <w:t>pH、</w:t>
            </w:r>
            <w:r>
              <w:rPr>
                <w:rFonts w:ascii="Times New Roman" w:hAnsi="Times New Roman" w:eastAsia="宋体" w:cs="Times New Roman"/>
                <w:color w:val="auto"/>
                <w:spacing w:val="0"/>
                <w:position w:val="0"/>
                <w:sz w:val="24"/>
                <w:szCs w:val="24"/>
                <w:highlight w:val="none"/>
              </w:rPr>
              <w:t>COD、BOD</w:t>
            </w:r>
            <w:r>
              <w:rPr>
                <w:rFonts w:ascii="Times New Roman" w:hAnsi="Times New Roman" w:eastAsia="宋体" w:cs="Times New Roman"/>
                <w:color w:val="auto"/>
                <w:spacing w:val="0"/>
                <w:position w:val="0"/>
                <w:sz w:val="24"/>
                <w:szCs w:val="24"/>
                <w:highlight w:val="none"/>
                <w:vertAlign w:val="subscript"/>
              </w:rPr>
              <w:t>5</w:t>
            </w:r>
            <w:r>
              <w:rPr>
                <w:rFonts w:ascii="Times New Roman" w:hAnsi="Times New Roman" w:eastAsia="宋体" w:cs="Times New Roman"/>
                <w:color w:val="auto"/>
                <w:spacing w:val="0"/>
                <w:position w:val="0"/>
                <w:sz w:val="24"/>
                <w:szCs w:val="24"/>
                <w:highlight w:val="none"/>
              </w:rPr>
              <w:t>、氨氮、SS</w:t>
            </w:r>
            <w:r>
              <w:rPr>
                <w:rFonts w:hint="eastAsia" w:ascii="Times New Roman" w:hAnsi="Times New Roman" w:eastAsia="宋体" w:cs="Times New Roman"/>
                <w:color w:val="auto"/>
                <w:spacing w:val="0"/>
                <w:position w:val="0"/>
                <w:sz w:val="24"/>
                <w:szCs w:val="24"/>
                <w:highlight w:val="none"/>
              </w:rPr>
              <w:t>、总氮</w:t>
            </w:r>
            <w:r>
              <w:rPr>
                <w:rFonts w:hint="eastAsia" w:cs="Times New Roman"/>
                <w:color w:val="auto"/>
                <w:spacing w:val="0"/>
                <w:position w:val="0"/>
                <w:sz w:val="24"/>
                <w:szCs w:val="24"/>
                <w:highlight w:val="none"/>
                <w:lang w:eastAsia="zh-CN"/>
              </w:rPr>
              <w:t>、</w:t>
            </w:r>
            <w:r>
              <w:rPr>
                <w:rFonts w:hint="eastAsia" w:cs="Times New Roman"/>
                <w:color w:val="auto"/>
                <w:spacing w:val="0"/>
                <w:position w:val="0"/>
                <w:sz w:val="24"/>
                <w:szCs w:val="24"/>
                <w:highlight w:val="none"/>
                <w:lang w:val="en-US" w:eastAsia="zh-CN"/>
              </w:rPr>
              <w:t>总磷、动植物油</w:t>
            </w:r>
          </w:p>
        </w:tc>
        <w:tc>
          <w:tcPr>
            <w:tcW w:w="2817" w:type="dxa"/>
            <w:noWrap w:val="0"/>
            <w:vAlign w:val="center"/>
          </w:tcPr>
          <w:p w14:paraId="34C2B737">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default"/>
                <w:color w:val="auto"/>
                <w:sz w:val="24"/>
                <w:szCs w:val="24"/>
                <w:highlight w:val="none"/>
                <w:lang w:val="en-US" w:eastAsia="zh-CN"/>
              </w:rPr>
              <w:t>食堂废水经油水分离器隔油后，与其他生活污水一起排入市政污水管网，最终进入西郊污水处理厂处理</w:t>
            </w:r>
          </w:p>
        </w:tc>
        <w:tc>
          <w:tcPr>
            <w:tcW w:w="3110" w:type="dxa"/>
            <w:noWrap w:val="0"/>
            <w:vAlign w:val="center"/>
          </w:tcPr>
          <w:p w14:paraId="352B9034">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rPr>
            </w:pPr>
            <w:r>
              <w:rPr>
                <w:rFonts w:hint="default"/>
                <w:color w:val="auto"/>
                <w:sz w:val="24"/>
                <w:szCs w:val="24"/>
                <w:highlight w:val="none"/>
                <w:lang w:val="en-US" w:eastAsia="zh-CN"/>
              </w:rPr>
              <w:t>《污水综合排放标准》（GB8978－1996）表4中三级标准，氨氮、总氮、总磷参照《污水排入城镇下水道水质标准》（GB/T31962－2015）中限值要求，同时满足西郊污水处理厂进水水质</w:t>
            </w:r>
          </w:p>
        </w:tc>
      </w:tr>
      <w:tr w14:paraId="36194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113" w:type="dxa"/>
            <w:noWrap w:val="0"/>
            <w:vAlign w:val="center"/>
          </w:tcPr>
          <w:p w14:paraId="56966FB3">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声环境</w:t>
            </w:r>
          </w:p>
        </w:tc>
        <w:tc>
          <w:tcPr>
            <w:tcW w:w="1426" w:type="dxa"/>
            <w:noWrap w:val="0"/>
            <w:vAlign w:val="center"/>
          </w:tcPr>
          <w:p w14:paraId="2F6D55CE">
            <w:pPr>
              <w:pStyle w:val="31"/>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生产设备运行</w:t>
            </w:r>
          </w:p>
        </w:tc>
        <w:tc>
          <w:tcPr>
            <w:tcW w:w="1282" w:type="dxa"/>
            <w:noWrap w:val="0"/>
            <w:vAlign w:val="center"/>
          </w:tcPr>
          <w:p w14:paraId="2FA4154D">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噪声</w:t>
            </w:r>
          </w:p>
        </w:tc>
        <w:tc>
          <w:tcPr>
            <w:tcW w:w="2817" w:type="dxa"/>
            <w:noWrap w:val="0"/>
            <w:vAlign w:val="center"/>
          </w:tcPr>
          <w:p w14:paraId="0918EA2B">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基础减振，厂房隔声</w:t>
            </w:r>
          </w:p>
        </w:tc>
        <w:tc>
          <w:tcPr>
            <w:tcW w:w="3110" w:type="dxa"/>
            <w:noWrap w:val="0"/>
            <w:vAlign w:val="center"/>
          </w:tcPr>
          <w:p w14:paraId="06797F74">
            <w:pPr>
              <w:pStyle w:val="31"/>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default"/>
                <w:color w:val="auto"/>
                <w:sz w:val="24"/>
                <w:szCs w:val="24"/>
                <w:highlight w:val="none"/>
              </w:rPr>
              <w:t>《工业企业厂界环境噪声排放标准》（GB12348-2008）中</w:t>
            </w:r>
            <w:r>
              <w:rPr>
                <w:rFonts w:hint="eastAsia"/>
                <w:color w:val="auto"/>
                <w:sz w:val="24"/>
                <w:szCs w:val="24"/>
                <w:highlight w:val="none"/>
                <w:lang w:val="en-US" w:eastAsia="zh-CN"/>
              </w:rPr>
              <w:t>1类标准</w:t>
            </w:r>
          </w:p>
        </w:tc>
      </w:tr>
      <w:tr w14:paraId="421F6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13" w:type="dxa"/>
            <w:noWrap w:val="0"/>
            <w:vAlign w:val="center"/>
          </w:tcPr>
          <w:p w14:paraId="15DA24C5">
            <w:pPr>
              <w:pStyle w:val="31"/>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电磁辐射</w:t>
            </w:r>
          </w:p>
        </w:tc>
        <w:tc>
          <w:tcPr>
            <w:tcW w:w="1426" w:type="dxa"/>
            <w:noWrap w:val="0"/>
            <w:vAlign w:val="center"/>
          </w:tcPr>
          <w:p w14:paraId="065B5791">
            <w:pPr>
              <w:pStyle w:val="31"/>
              <w:keepNext w:val="0"/>
              <w:keepLines w:val="0"/>
              <w:pageBreakBefore w:val="0"/>
              <w:widowControl w:val="0"/>
              <w:kinsoku/>
              <w:wordWrap/>
              <w:overflowPunct/>
              <w:topLinePunct w:val="0"/>
              <w:autoSpaceDE/>
              <w:autoSpaceDN/>
              <w:bidi w:val="0"/>
              <w:adjustRightInd/>
              <w:snapToGrid/>
              <w:spacing w:line="264" w:lineRule="auto"/>
              <w:ind w:firstLine="0" w:firstLineChars="0"/>
              <w:textAlignment w:val="auto"/>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282" w:type="dxa"/>
            <w:noWrap w:val="0"/>
            <w:vAlign w:val="center"/>
          </w:tcPr>
          <w:p w14:paraId="18F9462F">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817" w:type="dxa"/>
            <w:noWrap w:val="0"/>
            <w:vAlign w:val="center"/>
          </w:tcPr>
          <w:p w14:paraId="4904576D">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3110" w:type="dxa"/>
            <w:noWrap w:val="0"/>
            <w:vAlign w:val="center"/>
          </w:tcPr>
          <w:p w14:paraId="45F071DB">
            <w:pPr>
              <w:pStyle w:val="31"/>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14:paraId="1DF8A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113" w:type="dxa"/>
            <w:vMerge w:val="restart"/>
            <w:noWrap w:val="0"/>
            <w:vAlign w:val="center"/>
          </w:tcPr>
          <w:p w14:paraId="17436FBE">
            <w:pPr>
              <w:pStyle w:val="31"/>
              <w:bidi w:val="0"/>
              <w:ind w:firstLine="0" w:firstLineChars="0"/>
              <w:rPr>
                <w:rFonts w:hint="eastAsia"/>
                <w:color w:val="auto"/>
                <w:sz w:val="24"/>
                <w:szCs w:val="24"/>
                <w:highlight w:val="none"/>
              </w:rPr>
            </w:pPr>
            <w:r>
              <w:rPr>
                <w:rFonts w:hint="eastAsia"/>
                <w:color w:val="auto"/>
                <w:sz w:val="24"/>
                <w:szCs w:val="24"/>
                <w:highlight w:val="none"/>
              </w:rPr>
              <w:t>固体废物</w:t>
            </w:r>
          </w:p>
        </w:tc>
        <w:tc>
          <w:tcPr>
            <w:tcW w:w="1426" w:type="dxa"/>
            <w:noWrap w:val="0"/>
            <w:vAlign w:val="center"/>
          </w:tcPr>
          <w:p w14:paraId="1036DB24">
            <w:pPr>
              <w:keepNext w:val="0"/>
              <w:keepLines w:val="0"/>
              <w:pageBreakBefore w:val="0"/>
              <w:widowControl/>
              <w:kinsoku/>
              <w:wordWrap/>
              <w:overflowPunct/>
              <w:topLinePunct w:val="0"/>
              <w:autoSpaceDE/>
              <w:autoSpaceDN w:val="0"/>
              <w:bidi w:val="0"/>
              <w:adjustRightInd/>
              <w:snapToGrid/>
              <w:spacing w:line="480" w:lineRule="exact"/>
              <w:ind w:firstLine="0" w:firstLineChars="0"/>
              <w:jc w:val="center"/>
              <w:textAlignment w:val="auto"/>
              <w:rPr>
                <w:rFonts w:hint="default"/>
                <w:color w:val="auto"/>
                <w:sz w:val="24"/>
                <w:szCs w:val="24"/>
                <w:highlight w:val="none"/>
                <w:lang w:val="en-US" w:eastAsia="zh-CN"/>
              </w:rPr>
            </w:pPr>
            <w:r>
              <w:rPr>
                <w:rFonts w:hint="eastAsia" w:cs="Times New Roman"/>
                <w:color w:val="auto"/>
                <w:kern w:val="2"/>
                <w:sz w:val="24"/>
                <w:szCs w:val="24"/>
                <w:highlight w:val="none"/>
                <w:lang w:val="en-US" w:eastAsia="zh-CN" w:bidi="ar-SA"/>
              </w:rPr>
              <w:t>一般工业固体废物</w:t>
            </w:r>
          </w:p>
        </w:tc>
        <w:tc>
          <w:tcPr>
            <w:tcW w:w="7209" w:type="dxa"/>
            <w:gridSpan w:val="3"/>
            <w:noWrap w:val="0"/>
            <w:vAlign w:val="center"/>
          </w:tcPr>
          <w:p w14:paraId="38EA127F">
            <w:pPr>
              <w:keepNext w:val="0"/>
              <w:keepLines w:val="0"/>
              <w:pageBreakBefore w:val="0"/>
              <w:widowControl/>
              <w:kinsoku/>
              <w:wordWrap/>
              <w:overflowPunct/>
              <w:topLinePunct w:val="0"/>
              <w:autoSpaceDE/>
              <w:autoSpaceDN w:val="0"/>
              <w:bidi w:val="0"/>
              <w:adjustRightInd/>
              <w:snapToGrid/>
              <w:spacing w:line="480" w:lineRule="exact"/>
              <w:ind w:firstLine="480" w:firstLineChars="200"/>
              <w:jc w:val="left"/>
              <w:textAlignment w:val="auto"/>
              <w:rPr>
                <w:rFonts w:hint="default"/>
                <w:color w:val="auto"/>
                <w:sz w:val="24"/>
                <w:szCs w:val="24"/>
                <w:highlight w:val="none"/>
                <w:lang w:val="en-US" w:eastAsia="zh-CN"/>
              </w:rPr>
            </w:pPr>
            <w:r>
              <w:rPr>
                <w:rFonts w:hint="eastAsia" w:cs="Times New Roman"/>
                <w:color w:val="auto"/>
                <w:sz w:val="24"/>
                <w:szCs w:val="24"/>
                <w:highlight w:val="none"/>
                <w:lang w:val="en-US" w:eastAsia="zh-CN"/>
              </w:rPr>
              <w:t>本项目产生的一般工业固体废物主要为除尘器收集的除尘灰，定期更换的废布袋，腻子打磨过程产生的废砂纸，均暂存于一般固废储存区，外售废品回收站</w:t>
            </w:r>
          </w:p>
        </w:tc>
      </w:tr>
      <w:tr w14:paraId="7144B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113" w:type="dxa"/>
            <w:vMerge w:val="continue"/>
            <w:noWrap w:val="0"/>
            <w:vAlign w:val="center"/>
          </w:tcPr>
          <w:p w14:paraId="347B9608">
            <w:pPr>
              <w:pStyle w:val="31"/>
              <w:bidi w:val="0"/>
              <w:ind w:firstLine="0" w:firstLineChars="0"/>
              <w:rPr>
                <w:rFonts w:hint="eastAsia"/>
                <w:color w:val="auto"/>
                <w:sz w:val="24"/>
                <w:szCs w:val="24"/>
                <w:highlight w:val="none"/>
              </w:rPr>
            </w:pPr>
          </w:p>
        </w:tc>
        <w:tc>
          <w:tcPr>
            <w:tcW w:w="1426" w:type="dxa"/>
            <w:noWrap w:val="0"/>
            <w:vAlign w:val="center"/>
          </w:tcPr>
          <w:p w14:paraId="3A9C1BD6">
            <w:pPr>
              <w:keepNext w:val="0"/>
              <w:keepLines w:val="0"/>
              <w:pageBreakBefore w:val="0"/>
              <w:widowControl/>
              <w:kinsoku/>
              <w:wordWrap/>
              <w:overflowPunct/>
              <w:topLinePunct w:val="0"/>
              <w:autoSpaceDE/>
              <w:autoSpaceDN w:val="0"/>
              <w:bidi w:val="0"/>
              <w:adjustRightInd/>
              <w:snapToGrid/>
              <w:spacing w:line="480" w:lineRule="exact"/>
              <w:ind w:firstLine="0" w:firstLineChars="0"/>
              <w:jc w:val="center"/>
              <w:textAlignment w:val="auto"/>
              <w:rPr>
                <w:rFonts w:hint="eastAsia"/>
                <w:color w:val="auto"/>
                <w:sz w:val="24"/>
                <w:szCs w:val="24"/>
                <w:highlight w:val="none"/>
                <w:lang w:val="en-US" w:eastAsia="zh-CN"/>
              </w:rPr>
            </w:pPr>
            <w:r>
              <w:rPr>
                <w:rFonts w:hint="eastAsia" w:cs="Times New Roman"/>
                <w:color w:val="auto"/>
                <w:kern w:val="2"/>
                <w:sz w:val="24"/>
                <w:szCs w:val="24"/>
                <w:highlight w:val="none"/>
                <w:lang w:val="en-US" w:eastAsia="zh-CN" w:bidi="ar-SA"/>
              </w:rPr>
              <w:t>生活垃圾</w:t>
            </w:r>
          </w:p>
        </w:tc>
        <w:tc>
          <w:tcPr>
            <w:tcW w:w="7209" w:type="dxa"/>
            <w:gridSpan w:val="3"/>
            <w:noWrap w:val="0"/>
            <w:vAlign w:val="center"/>
          </w:tcPr>
          <w:p w14:paraId="039AC1E2">
            <w:pPr>
              <w:keepNext w:val="0"/>
              <w:keepLines w:val="0"/>
              <w:pageBreakBefore w:val="0"/>
              <w:widowControl/>
              <w:kinsoku/>
              <w:wordWrap/>
              <w:overflowPunct/>
              <w:topLinePunct w:val="0"/>
              <w:autoSpaceDE/>
              <w:autoSpaceDN w:val="0"/>
              <w:bidi w:val="0"/>
              <w:adjustRightInd/>
              <w:snapToGrid/>
              <w:spacing w:line="480" w:lineRule="exact"/>
              <w:ind w:firstLine="480" w:firstLineChars="200"/>
              <w:jc w:val="left"/>
              <w:textAlignment w:val="auto"/>
              <w:rPr>
                <w:rFonts w:hint="default"/>
                <w:color w:val="auto"/>
                <w:sz w:val="24"/>
                <w:szCs w:val="24"/>
                <w:highlight w:val="none"/>
                <w:lang w:val="en-US" w:eastAsia="zh-CN"/>
              </w:rPr>
            </w:pPr>
            <w:r>
              <w:rPr>
                <w:rFonts w:hint="eastAsia" w:cs="Times New Roman"/>
                <w:color w:val="auto"/>
                <w:sz w:val="24"/>
                <w:szCs w:val="24"/>
                <w:highlight w:val="none"/>
                <w:lang w:val="en-US" w:eastAsia="zh-CN"/>
              </w:rPr>
              <w:t>本项目新增食堂，食堂会产生一定量的生活垃圾，其中，食用废油委托有特许经营许可的餐厨废弃物收集、运输、处置服务企业收集、运输、处置，其余生活垃圾垃圾袋装化收集，送环卫部门指定地点统一处理。</w:t>
            </w:r>
          </w:p>
        </w:tc>
      </w:tr>
      <w:tr w14:paraId="6E5BE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3" w:type="dxa"/>
            <w:vMerge w:val="continue"/>
            <w:noWrap w:val="0"/>
            <w:vAlign w:val="center"/>
          </w:tcPr>
          <w:p w14:paraId="1BB5C3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p>
        </w:tc>
        <w:tc>
          <w:tcPr>
            <w:tcW w:w="1426" w:type="dxa"/>
            <w:noWrap w:val="0"/>
            <w:vAlign w:val="center"/>
          </w:tcPr>
          <w:p w14:paraId="2FDA9F01">
            <w:pPr>
              <w:keepNext w:val="0"/>
              <w:keepLines w:val="0"/>
              <w:pageBreakBefore w:val="0"/>
              <w:widowControl/>
              <w:kinsoku/>
              <w:wordWrap/>
              <w:overflowPunct/>
              <w:topLinePunct w:val="0"/>
              <w:autoSpaceDE/>
              <w:autoSpaceDN w:val="0"/>
              <w:bidi w:val="0"/>
              <w:adjustRightInd/>
              <w:snapToGrid/>
              <w:spacing w:line="480" w:lineRule="exact"/>
              <w:ind w:firstLine="0" w:firstLineChars="0"/>
              <w:jc w:val="center"/>
              <w:textAlignment w:val="auto"/>
              <w:rPr>
                <w:rFonts w:hint="default"/>
                <w:color w:val="auto"/>
                <w:sz w:val="24"/>
                <w:szCs w:val="24"/>
                <w:highlight w:val="none"/>
                <w:lang w:val="en-US" w:eastAsia="zh-CN"/>
              </w:rPr>
            </w:pPr>
            <w:r>
              <w:rPr>
                <w:rFonts w:hint="eastAsia" w:cs="Times New Roman"/>
                <w:color w:val="auto"/>
                <w:kern w:val="2"/>
                <w:sz w:val="24"/>
                <w:szCs w:val="24"/>
                <w:highlight w:val="none"/>
                <w:lang w:val="en-US" w:eastAsia="zh-CN" w:bidi="ar-SA"/>
              </w:rPr>
              <w:t>危险废物</w:t>
            </w:r>
          </w:p>
        </w:tc>
        <w:tc>
          <w:tcPr>
            <w:tcW w:w="7209" w:type="dxa"/>
            <w:gridSpan w:val="3"/>
            <w:noWrap w:val="0"/>
            <w:vAlign w:val="center"/>
          </w:tcPr>
          <w:p w14:paraId="571E4F6C">
            <w:pPr>
              <w:pStyle w:val="31"/>
              <w:keepNext w:val="0"/>
              <w:keepLines w:val="0"/>
              <w:pageBreakBefore w:val="0"/>
              <w:widowControl/>
              <w:kinsoku/>
              <w:wordWrap/>
              <w:overflowPunct/>
              <w:topLinePunct w:val="0"/>
              <w:autoSpaceDE/>
              <w:autoSpaceDN/>
              <w:bidi w:val="0"/>
              <w:adjustRightInd/>
              <w:snapToGrid/>
              <w:spacing w:before="0" w:after="0" w:line="480" w:lineRule="exact"/>
              <w:ind w:firstLine="480" w:firstLineChars="200"/>
              <w:jc w:val="left"/>
              <w:textAlignment w:val="auto"/>
              <w:rPr>
                <w:rFonts w:hint="default" w:eastAsia="宋体"/>
                <w:b/>
                <w:bCs/>
                <w:color w:val="auto"/>
                <w:sz w:val="24"/>
                <w:szCs w:val="24"/>
                <w:highlight w:val="none"/>
                <w:lang w:val="en-US" w:eastAsia="zh-CN"/>
              </w:rPr>
            </w:pPr>
            <w:r>
              <w:rPr>
                <w:rFonts w:hint="eastAsia"/>
                <w:color w:val="auto"/>
                <w:sz w:val="24"/>
                <w:szCs w:val="24"/>
                <w:highlight w:val="none"/>
                <w:lang w:val="en-US" w:eastAsia="zh-CN"/>
              </w:rPr>
              <w:t>本项目产生的危险废物主要为除油过程产生的废稀释剂、废漆桶；喷漆过程产生的漆渣、废漆桶、废遮蔽物；有机废气处理设施定期更换下来的废纸盒、废过滤棉、废沸石分子筛、废催化剂。废稀释剂、漆渣、废漆桶、废遮蔽物、废纸盒、废过滤棉、废催化剂暂存于危废间，定期委托有资质单位运走处置，废沸石分子筛直接由有资质单位运走处置，不在厂区内储存。</w:t>
            </w:r>
          </w:p>
        </w:tc>
      </w:tr>
      <w:tr w14:paraId="5A44E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3" w:type="dxa"/>
            <w:noWrap w:val="0"/>
            <w:vAlign w:val="center"/>
          </w:tcPr>
          <w:p w14:paraId="29826390">
            <w:pPr>
              <w:pStyle w:val="31"/>
              <w:bidi w:val="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土壤及地下水污染防治措施</w:t>
            </w:r>
          </w:p>
        </w:tc>
        <w:tc>
          <w:tcPr>
            <w:tcW w:w="8635" w:type="dxa"/>
            <w:gridSpan w:val="4"/>
            <w:noWrap w:val="0"/>
            <w:vAlign w:val="center"/>
          </w:tcPr>
          <w:p w14:paraId="56246629">
            <w:pPr>
              <w:bidi w:val="0"/>
              <w:rPr>
                <w:rFonts w:hint="eastAsia"/>
                <w:color w:val="auto"/>
                <w:highlight w:val="none"/>
              </w:rPr>
            </w:pPr>
            <w:r>
              <w:rPr>
                <w:rFonts w:hint="eastAsia"/>
                <w:color w:val="auto"/>
                <w:highlight w:val="none"/>
                <w:lang w:eastAsia="zh-CN"/>
              </w:rPr>
              <w:t>本项目</w:t>
            </w:r>
            <w:r>
              <w:rPr>
                <w:rFonts w:hint="eastAsia"/>
                <w:color w:val="auto"/>
                <w:highlight w:val="none"/>
                <w:lang w:val="en-US" w:eastAsia="zh-CN"/>
              </w:rPr>
              <w:t>建成后对地下水、土壤的污染源</w:t>
            </w:r>
            <w:r>
              <w:rPr>
                <w:rFonts w:hint="eastAsia"/>
                <w:color w:val="auto"/>
                <w:highlight w:val="none"/>
                <w:lang w:eastAsia="zh-CN"/>
              </w:rPr>
              <w:t>主要</w:t>
            </w:r>
            <w:r>
              <w:rPr>
                <w:rFonts w:hint="eastAsia"/>
                <w:color w:val="auto"/>
                <w:highlight w:val="none"/>
                <w:lang w:val="en-US" w:eastAsia="zh-CN"/>
              </w:rPr>
              <w:t>为</w:t>
            </w:r>
            <w:r>
              <w:rPr>
                <w:rFonts w:hint="eastAsia"/>
                <w:color w:val="auto"/>
                <w:highlight w:val="none"/>
                <w:lang w:eastAsia="zh-CN"/>
              </w:rPr>
              <w:t>危废间</w:t>
            </w:r>
            <w:r>
              <w:rPr>
                <w:rFonts w:hint="eastAsia"/>
                <w:color w:val="auto"/>
                <w:highlight w:val="none"/>
                <w:lang w:val="en-US" w:eastAsia="zh-CN"/>
              </w:rPr>
              <w:t>储存的危险废物，油漆库储存的漆料，喷漆房，</w:t>
            </w:r>
            <w:r>
              <w:rPr>
                <w:rFonts w:hint="eastAsia"/>
                <w:color w:val="auto"/>
                <w:highlight w:val="none"/>
                <w:lang w:eastAsia="zh-CN"/>
              </w:rPr>
              <w:t>可能因泄漏导致垂直入渗污染地下水、土壤，本项目</w:t>
            </w:r>
            <w:r>
              <w:rPr>
                <w:rFonts w:hint="eastAsia"/>
                <w:color w:val="auto"/>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highlight w:val="none"/>
                <w:lang w:eastAsia="zh-CN"/>
              </w:rPr>
              <w:t>，做好防渗措施</w:t>
            </w:r>
            <w:r>
              <w:rPr>
                <w:rFonts w:hint="eastAsia"/>
                <w:color w:val="auto"/>
                <w:highlight w:val="none"/>
              </w:rPr>
              <w:t>，避免由于泄漏造成物料下渗污染地下水。</w:t>
            </w:r>
          </w:p>
          <w:p w14:paraId="07B4794E">
            <w:pPr>
              <w:bidi w:val="0"/>
              <w:rPr>
                <w:rFonts w:hint="eastAsia"/>
                <w:color w:val="auto"/>
              </w:rPr>
            </w:pPr>
            <w:r>
              <w:rPr>
                <w:rFonts w:hint="eastAsia"/>
                <w:color w:val="auto"/>
                <w:lang w:val="en-US" w:eastAsia="zh-CN"/>
              </w:rPr>
              <w:t>危废间、油漆库、喷漆房</w:t>
            </w:r>
            <w:r>
              <w:rPr>
                <w:rFonts w:hint="eastAsia"/>
                <w:color w:val="auto"/>
              </w:rPr>
              <w:t>为重点防渗区，</w:t>
            </w:r>
            <w:r>
              <w:rPr>
                <w:rFonts w:hint="eastAsia"/>
                <w:color w:val="auto"/>
                <w:lang w:val="en-US" w:eastAsia="zh-CN"/>
              </w:rPr>
              <w:t>打磨房、烘干房等其他生产区域</w:t>
            </w:r>
            <w:r>
              <w:rPr>
                <w:rFonts w:hint="eastAsia"/>
                <w:color w:val="auto"/>
              </w:rPr>
              <w:t>为一般防渗区</w:t>
            </w:r>
            <w:r>
              <w:rPr>
                <w:rFonts w:hint="eastAsia"/>
                <w:color w:val="auto"/>
                <w:lang w:eastAsia="zh-CN"/>
              </w:rPr>
              <w:t>，</w:t>
            </w:r>
            <w:r>
              <w:rPr>
                <w:rFonts w:hint="eastAsia"/>
                <w:color w:val="auto"/>
                <w:lang w:val="en-US" w:eastAsia="zh-CN"/>
              </w:rPr>
              <w:t>综合楼、厂区地面为简单防渗区</w:t>
            </w:r>
            <w:r>
              <w:rPr>
                <w:rFonts w:hint="eastAsia"/>
                <w:color w:val="auto"/>
              </w:rPr>
              <w:t>。</w:t>
            </w:r>
          </w:p>
          <w:p w14:paraId="6501A9C1">
            <w:pPr>
              <w:bidi w:val="0"/>
              <w:rPr>
                <w:rFonts w:hint="default"/>
                <w:color w:val="auto"/>
                <w:sz w:val="24"/>
                <w:szCs w:val="24"/>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w:t>
            </w:r>
            <w:r>
              <w:rPr>
                <w:color w:val="auto"/>
                <w:sz w:val="24"/>
                <w:szCs w:val="24"/>
                <w:highlight w:val="none"/>
              </w:rPr>
              <w:t>该分区需要做</w:t>
            </w:r>
            <w:r>
              <w:rPr>
                <w:rFonts w:hint="eastAsia"/>
                <w:color w:val="auto"/>
                <w:sz w:val="24"/>
                <w:szCs w:val="24"/>
                <w:highlight w:val="none"/>
              </w:rPr>
              <w:t>防</w:t>
            </w:r>
            <w:r>
              <w:rPr>
                <w:color w:val="auto"/>
                <w:sz w:val="24"/>
                <w:szCs w:val="24"/>
                <w:highlight w:val="none"/>
              </w:rPr>
              <w:t>渗处理，</w:t>
            </w:r>
            <w:r>
              <w:rPr>
                <w:rFonts w:hint="eastAsia"/>
                <w:color w:val="auto"/>
                <w:sz w:val="24"/>
                <w:szCs w:val="24"/>
                <w:highlight w:val="none"/>
                <w:lang w:val="en-US" w:eastAsia="zh-CN"/>
              </w:rPr>
              <w:t>油漆库、喷漆房</w:t>
            </w:r>
            <w:r>
              <w:rPr>
                <w:rFonts w:hint="eastAsia"/>
                <w:color w:val="auto"/>
                <w:sz w:val="24"/>
                <w:szCs w:val="24"/>
                <w:highlight w:val="none"/>
              </w:rPr>
              <w:t>地面</w:t>
            </w:r>
            <w:r>
              <w:rPr>
                <w:color w:val="auto"/>
                <w:sz w:val="24"/>
                <w:szCs w:val="24"/>
                <w:highlight w:val="none"/>
              </w:rPr>
              <w:t>采取抗渗水泥</w:t>
            </w:r>
            <w:r>
              <w:rPr>
                <w:rFonts w:hint="eastAsia"/>
                <w:color w:val="auto"/>
                <w:sz w:val="24"/>
                <w:szCs w:val="24"/>
                <w:highlight w:val="none"/>
              </w:rPr>
              <w:t>（</w:t>
            </w:r>
            <w:r>
              <w:rPr>
                <w:color w:val="auto"/>
                <w:sz w:val="24"/>
                <w:szCs w:val="24"/>
                <w:highlight w:val="none"/>
              </w:rPr>
              <w:t>20cm</w:t>
            </w:r>
            <w:r>
              <w:rPr>
                <w:rFonts w:hint="eastAsia"/>
                <w:color w:val="auto"/>
                <w:sz w:val="24"/>
                <w:szCs w:val="24"/>
                <w:highlight w:val="none"/>
              </w:rPr>
              <w:t>）+</w:t>
            </w:r>
            <w:r>
              <w:rPr>
                <w:color w:val="auto"/>
                <w:sz w:val="24"/>
                <w:szCs w:val="24"/>
                <w:highlight w:val="none"/>
              </w:rPr>
              <w:t>土工膜（2mm）防渗</w:t>
            </w:r>
            <w:r>
              <w:rPr>
                <w:rFonts w:hint="eastAsia"/>
                <w:color w:val="auto"/>
                <w:sz w:val="24"/>
                <w:szCs w:val="24"/>
                <w:highlight w:val="none"/>
              </w:rPr>
              <w:t>，</w:t>
            </w:r>
            <w:r>
              <w:rPr>
                <w:color w:val="auto"/>
                <w:sz w:val="24"/>
                <w:szCs w:val="24"/>
                <w:highlight w:val="none"/>
              </w:rPr>
              <w:t>防渗层渗透系数≤10</w:t>
            </w:r>
            <w:r>
              <w:rPr>
                <w:color w:val="auto"/>
                <w:sz w:val="24"/>
                <w:szCs w:val="24"/>
                <w:highlight w:val="none"/>
                <w:vertAlign w:val="superscript"/>
              </w:rPr>
              <w:t>-</w:t>
            </w:r>
            <w:r>
              <w:rPr>
                <w:rFonts w:hint="eastAsia"/>
                <w:color w:val="auto"/>
                <w:sz w:val="24"/>
                <w:szCs w:val="24"/>
                <w:highlight w:val="none"/>
                <w:vertAlign w:val="superscript"/>
              </w:rPr>
              <w:t>7</w:t>
            </w:r>
            <w:r>
              <w:rPr>
                <w:color w:val="auto"/>
                <w:sz w:val="24"/>
                <w:szCs w:val="24"/>
                <w:highlight w:val="none"/>
              </w:rPr>
              <w:t>cm/s</w:t>
            </w:r>
            <w:r>
              <w:rPr>
                <w:rFonts w:hint="eastAsia"/>
                <w:color w:val="auto"/>
                <w:sz w:val="24"/>
                <w:szCs w:val="24"/>
                <w:highlight w:val="none"/>
              </w:rPr>
              <w:t>；危废间</w:t>
            </w:r>
            <w:r>
              <w:rPr>
                <w:color w:val="auto"/>
                <w:sz w:val="24"/>
                <w:szCs w:val="24"/>
                <w:highlight w:val="none"/>
              </w:rPr>
              <w:t>地面与裙脚采取表面防渗措施</w:t>
            </w:r>
            <w:r>
              <w:rPr>
                <w:rFonts w:hint="eastAsia"/>
                <w:color w:val="auto"/>
                <w:sz w:val="24"/>
                <w:szCs w:val="24"/>
                <w:highlight w:val="none"/>
              </w:rPr>
              <w:t>，</w:t>
            </w:r>
            <w:r>
              <w:rPr>
                <w:color w:val="auto"/>
                <w:sz w:val="24"/>
                <w:szCs w:val="24"/>
                <w:highlight w:val="none"/>
              </w:rPr>
              <w:t>表面防渗材料与所接触的物料或污染物相容，可采用抗渗混凝土、高密度聚乙烯膜、钠基膨润土防水毯或其他防渗性能等效的材料</w:t>
            </w:r>
            <w:r>
              <w:rPr>
                <w:rFonts w:hint="eastAsia"/>
                <w:color w:val="auto"/>
                <w:sz w:val="24"/>
                <w:szCs w:val="24"/>
                <w:highlight w:val="none"/>
              </w:rPr>
              <w:t>，</w:t>
            </w:r>
            <w:r>
              <w:rPr>
                <w:color w:val="auto"/>
                <w:sz w:val="24"/>
                <w:szCs w:val="24"/>
                <w:highlight w:val="none"/>
              </w:rPr>
              <w:t>贮存的危险废物直接接触地面的，进行基础防渗，防渗层为至少1m厚黏土层（渗透系数不大于10</w:t>
            </w:r>
            <w:r>
              <w:rPr>
                <w:color w:val="auto"/>
                <w:sz w:val="24"/>
                <w:szCs w:val="24"/>
                <w:highlight w:val="none"/>
                <w:vertAlign w:val="superscript"/>
              </w:rPr>
              <w:t>-7</w:t>
            </w:r>
            <w:r>
              <w:rPr>
                <w:color w:val="auto"/>
                <w:sz w:val="24"/>
                <w:szCs w:val="24"/>
                <w:highlight w:val="none"/>
              </w:rPr>
              <w:t>cm/s），或至少2mm厚高密度聚乙烯膜等人工防渗材料（渗透系数不大于10</w:t>
            </w:r>
            <w:r>
              <w:rPr>
                <w:color w:val="auto"/>
                <w:sz w:val="24"/>
                <w:szCs w:val="24"/>
                <w:highlight w:val="none"/>
                <w:vertAlign w:val="superscript"/>
              </w:rPr>
              <w:t>-10</w:t>
            </w:r>
            <w:r>
              <w:rPr>
                <w:color w:val="auto"/>
                <w:sz w:val="24"/>
                <w:szCs w:val="24"/>
                <w:highlight w:val="none"/>
              </w:rPr>
              <w:t>cm/s），或其他防渗性能等效的材料</w:t>
            </w:r>
            <w:r>
              <w:rPr>
                <w:rFonts w:hint="eastAsia"/>
                <w:color w:val="auto"/>
                <w:sz w:val="24"/>
                <w:szCs w:val="24"/>
                <w:highlight w:val="none"/>
              </w:rPr>
              <w:t>。</w:t>
            </w:r>
          </w:p>
          <w:p w14:paraId="0E54FC77">
            <w:pPr>
              <w:bidi w:val="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color w:val="auto"/>
                <w:sz w:val="24"/>
                <w:szCs w:val="24"/>
                <w:highlight w:val="none"/>
                <w:lang w:val="en-US" w:eastAsia="zh-CN"/>
              </w:rPr>
              <w:t>打磨房、烘干房等其他生产区域</w:t>
            </w:r>
            <w:r>
              <w:rPr>
                <w:rFonts w:ascii="Times New Roman" w:hAnsi="Times New Roman" w:eastAsia="宋体"/>
                <w:color w:val="auto"/>
                <w:sz w:val="24"/>
                <w:szCs w:val="24"/>
                <w:highlight w:val="none"/>
              </w:rPr>
              <w:t>进行基础防渗处理，需满足等效黏土防渗层Mb≥</w:t>
            </w:r>
            <w:r>
              <w:rPr>
                <w:rFonts w:hint="eastAsia"/>
                <w:color w:val="auto"/>
                <w:sz w:val="24"/>
                <w:szCs w:val="24"/>
                <w:highlight w:val="none"/>
                <w:lang w:val="en-US" w:eastAsia="zh-CN"/>
              </w:rPr>
              <w:t>1.5</w:t>
            </w:r>
            <w:r>
              <w:rPr>
                <w:rFonts w:ascii="Times New Roman" w:hAnsi="Times New Roman" w:eastAsia="宋体"/>
                <w:color w:val="auto"/>
                <w:sz w:val="24"/>
                <w:szCs w:val="24"/>
                <w:highlight w:val="none"/>
              </w:rPr>
              <w:t>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r>
              <w:rPr>
                <w:rFonts w:hint="eastAsia"/>
                <w:color w:val="auto"/>
                <w:sz w:val="24"/>
                <w:szCs w:val="24"/>
                <w:highlight w:val="none"/>
                <w:lang w:eastAsia="zh-CN"/>
              </w:rPr>
              <w:t>。</w:t>
            </w:r>
          </w:p>
          <w:p w14:paraId="17F69EEB">
            <w:pPr>
              <w:bidi w:val="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olor w:val="auto"/>
                <w:sz w:val="24"/>
                <w:szCs w:val="24"/>
                <w:highlight w:val="none"/>
              </w:rPr>
              <w:t>③</w:t>
            </w:r>
            <w:r>
              <w:rPr>
                <w:rFonts w:hint="eastAsia"/>
                <w:color w:val="auto"/>
                <w:sz w:val="24"/>
                <w:szCs w:val="24"/>
                <w:highlight w:val="none"/>
                <w:lang w:val="en-US" w:eastAsia="zh-CN"/>
              </w:rPr>
              <w:t>简单防渗区：办公区地面硬化，综合楼、厂区地面非硬即绿。</w:t>
            </w:r>
          </w:p>
        </w:tc>
      </w:tr>
      <w:tr w14:paraId="645C0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3" w:type="dxa"/>
            <w:noWrap w:val="0"/>
            <w:vAlign w:val="center"/>
          </w:tcPr>
          <w:p w14:paraId="639D6883">
            <w:pPr>
              <w:pStyle w:val="31"/>
              <w:bidi w:val="0"/>
              <w:ind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生态保护措施</w:t>
            </w:r>
          </w:p>
        </w:tc>
        <w:tc>
          <w:tcPr>
            <w:tcW w:w="8635" w:type="dxa"/>
            <w:gridSpan w:val="4"/>
            <w:noWrap w:val="0"/>
            <w:vAlign w:val="center"/>
          </w:tcPr>
          <w:p w14:paraId="3DE7C3CF">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eastAsia="zh-CN"/>
              </w:rPr>
              <w:t>本项目</w:t>
            </w:r>
            <w:r>
              <w:rPr>
                <w:rFonts w:hint="eastAsia"/>
                <w:color w:val="auto"/>
                <w:sz w:val="24"/>
                <w:szCs w:val="24"/>
                <w:highlight w:val="none"/>
                <w:lang w:val="en-US" w:eastAsia="zh-CN"/>
              </w:rPr>
              <w:t>在现有厂区内进行建设，不新增占地，</w:t>
            </w:r>
            <w:r>
              <w:rPr>
                <w:rFonts w:hint="eastAsia"/>
                <w:color w:val="auto"/>
                <w:sz w:val="24"/>
                <w:szCs w:val="24"/>
                <w:highlight w:val="none"/>
                <w:lang w:eastAsia="zh-CN"/>
              </w:rPr>
              <w:t>用地范围内无生态环境保护目标，</w:t>
            </w:r>
            <w:r>
              <w:rPr>
                <w:rFonts w:hint="eastAsia"/>
                <w:color w:val="auto"/>
                <w:sz w:val="24"/>
                <w:szCs w:val="24"/>
                <w:highlight w:val="none"/>
                <w:lang w:val="en-US" w:eastAsia="zh-CN"/>
              </w:rPr>
              <w:t>不会</w:t>
            </w:r>
            <w:r>
              <w:rPr>
                <w:rFonts w:hint="eastAsia"/>
                <w:color w:val="auto"/>
                <w:sz w:val="24"/>
                <w:szCs w:val="24"/>
                <w:highlight w:val="none"/>
                <w:lang w:eastAsia="zh-CN"/>
              </w:rPr>
              <w:t>对区域生态环境</w:t>
            </w:r>
            <w:r>
              <w:rPr>
                <w:rFonts w:hint="eastAsia"/>
                <w:color w:val="auto"/>
                <w:sz w:val="24"/>
                <w:szCs w:val="24"/>
                <w:highlight w:val="none"/>
                <w:lang w:val="en-US" w:eastAsia="zh-CN"/>
              </w:rPr>
              <w:t>造成明显不利</w:t>
            </w:r>
            <w:r>
              <w:rPr>
                <w:rFonts w:hint="eastAsia"/>
                <w:color w:val="auto"/>
                <w:sz w:val="24"/>
                <w:szCs w:val="24"/>
                <w:highlight w:val="none"/>
                <w:lang w:eastAsia="zh-CN"/>
              </w:rPr>
              <w:t>影响。</w:t>
            </w:r>
          </w:p>
        </w:tc>
      </w:tr>
      <w:tr w14:paraId="07B90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113" w:type="dxa"/>
            <w:noWrap w:val="0"/>
            <w:vAlign w:val="center"/>
          </w:tcPr>
          <w:p w14:paraId="44DA0EC0">
            <w:pPr>
              <w:pStyle w:val="31"/>
              <w:bidi w:val="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环境风险防范措施</w:t>
            </w:r>
          </w:p>
        </w:tc>
        <w:tc>
          <w:tcPr>
            <w:tcW w:w="8635" w:type="dxa"/>
            <w:gridSpan w:val="4"/>
            <w:noWrap w:val="0"/>
            <w:vAlign w:val="center"/>
          </w:tcPr>
          <w:p w14:paraId="221AD5BA">
            <w:pPr>
              <w:bidi w:val="0"/>
              <w:rPr>
                <w:rFonts w:hint="eastAsia"/>
                <w:color w:val="auto"/>
                <w:lang w:val="en-US" w:eastAsia="zh-CN"/>
              </w:rPr>
            </w:pPr>
            <w:r>
              <w:rPr>
                <w:rFonts w:hint="eastAsia"/>
                <w:color w:val="auto"/>
                <w:lang w:val="en-US" w:eastAsia="zh-CN"/>
              </w:rPr>
              <w:t>（1）风险防范措施</w:t>
            </w:r>
          </w:p>
          <w:p w14:paraId="6E3D1CCB">
            <w:pPr>
              <w:bidi w:val="0"/>
              <w:rPr>
                <w:rFonts w:hint="default"/>
                <w:color w:val="auto"/>
                <w:lang w:val="en-US" w:eastAsia="zh-CN"/>
              </w:rPr>
            </w:pPr>
            <w:r>
              <w:rPr>
                <w:rFonts w:hint="eastAsia"/>
                <w:color w:val="auto"/>
                <w:lang w:val="en-US" w:eastAsia="zh-CN"/>
              </w:rPr>
              <w:t>企业储存的漆料密闭桶装储存于油漆库，废稀释剂桶装加盖，储存于危废间，油漆库、危废间</w:t>
            </w:r>
            <w:r>
              <w:rPr>
                <w:rFonts w:hint="default"/>
                <w:color w:val="auto"/>
                <w:lang w:val="en-US" w:eastAsia="zh-CN"/>
              </w:rPr>
              <w:t>配备相应的设备和抢险设施</w:t>
            </w:r>
            <w:r>
              <w:rPr>
                <w:rFonts w:hint="eastAsia"/>
                <w:color w:val="auto"/>
                <w:lang w:val="en-US" w:eastAsia="zh-CN"/>
              </w:rPr>
              <w:t>，</w:t>
            </w:r>
            <w:r>
              <w:rPr>
                <w:rFonts w:hint="default"/>
                <w:color w:val="auto"/>
                <w:lang w:val="en-US" w:eastAsia="zh-CN"/>
              </w:rPr>
              <w:t>风险物质</w:t>
            </w:r>
            <w:r>
              <w:rPr>
                <w:rFonts w:hint="eastAsia"/>
                <w:color w:val="auto"/>
                <w:lang w:val="en-US" w:eastAsia="zh-CN"/>
              </w:rPr>
              <w:t>使用</w:t>
            </w:r>
            <w:r>
              <w:rPr>
                <w:rFonts w:hint="default"/>
                <w:color w:val="auto"/>
                <w:lang w:val="en-US" w:eastAsia="zh-CN"/>
              </w:rPr>
              <w:t>区有防扬散、防流失、防渗漏等防治措施并参照国家标准《危险废物贮存污染控制标准》</w:t>
            </w:r>
            <w:r>
              <w:rPr>
                <w:rFonts w:hint="eastAsia"/>
                <w:color w:val="auto"/>
                <w:lang w:val="en-US" w:eastAsia="zh-CN"/>
              </w:rPr>
              <w:t>（</w:t>
            </w:r>
            <w:r>
              <w:rPr>
                <w:rFonts w:hint="default"/>
                <w:color w:val="auto"/>
                <w:lang w:val="en-US" w:eastAsia="zh-CN"/>
              </w:rPr>
              <w:t>GB</w:t>
            </w:r>
            <w:r>
              <w:rPr>
                <w:rFonts w:hint="eastAsia"/>
                <w:color w:val="auto"/>
                <w:lang w:val="en-US" w:eastAsia="zh-CN"/>
              </w:rPr>
              <w:t xml:space="preserve"> </w:t>
            </w:r>
            <w:r>
              <w:rPr>
                <w:rFonts w:hint="default"/>
                <w:color w:val="auto"/>
                <w:lang w:val="en-US" w:eastAsia="zh-CN"/>
              </w:rPr>
              <w:t>18597-20</w:t>
            </w:r>
            <w:r>
              <w:rPr>
                <w:rFonts w:hint="eastAsia"/>
                <w:color w:val="auto"/>
                <w:lang w:val="en-US" w:eastAsia="zh-CN"/>
              </w:rPr>
              <w:t>23）</w:t>
            </w:r>
            <w:r>
              <w:rPr>
                <w:rFonts w:hint="default"/>
                <w:color w:val="auto"/>
                <w:lang w:val="en-US" w:eastAsia="zh-CN"/>
              </w:rPr>
              <w:t>和《危险废物收集贮存运输技术规范》</w:t>
            </w:r>
            <w:r>
              <w:rPr>
                <w:rFonts w:hint="eastAsia"/>
                <w:color w:val="auto"/>
                <w:lang w:val="en-US" w:eastAsia="zh-CN"/>
              </w:rPr>
              <w:t>（</w:t>
            </w:r>
            <w:r>
              <w:rPr>
                <w:rFonts w:hint="default"/>
                <w:color w:val="auto"/>
                <w:lang w:val="en-US" w:eastAsia="zh-CN"/>
              </w:rPr>
              <w:t>HJ</w:t>
            </w:r>
            <w:r>
              <w:rPr>
                <w:rFonts w:hint="eastAsia"/>
                <w:color w:val="auto"/>
                <w:lang w:val="en-US" w:eastAsia="zh-CN"/>
              </w:rPr>
              <w:t xml:space="preserve"> </w:t>
            </w:r>
            <w:r>
              <w:rPr>
                <w:rFonts w:hint="default"/>
                <w:color w:val="auto"/>
                <w:lang w:val="en-US" w:eastAsia="zh-CN"/>
              </w:rPr>
              <w:t>2025-2012</w:t>
            </w:r>
            <w:r>
              <w:rPr>
                <w:rFonts w:hint="eastAsia"/>
                <w:color w:val="auto"/>
                <w:lang w:val="en-US" w:eastAsia="zh-CN"/>
              </w:rPr>
              <w:t>）</w:t>
            </w:r>
            <w:r>
              <w:rPr>
                <w:rFonts w:hint="default"/>
                <w:color w:val="auto"/>
                <w:lang w:val="en-US" w:eastAsia="zh-CN"/>
              </w:rPr>
              <w:t>的要求进行设计。门口设置围挡或斜坡，如果发生泄漏事故，确保风险物质不会溢流出上述区域，避免对水环境、土壤和大气环境造成影响。</w:t>
            </w:r>
          </w:p>
          <w:p w14:paraId="36DF9717">
            <w:pPr>
              <w:bidi w:val="0"/>
              <w:rPr>
                <w:rFonts w:hint="default"/>
                <w:color w:val="auto"/>
                <w:lang w:val="en-US" w:eastAsia="zh-CN"/>
              </w:rPr>
            </w:pPr>
            <w:r>
              <w:rPr>
                <w:rFonts w:hint="default"/>
                <w:color w:val="auto"/>
                <w:lang w:val="en-US" w:eastAsia="zh-CN"/>
              </w:rPr>
              <w:t>当发生事故时，为不使事故扩大，防止二次灾害的发生，要求及时抢险抢修，必须对各种险情进行事故前预测，保证抢险队伍的素质，遇险时应及时与当地消防部门取得联系，以获得有力支持。</w:t>
            </w:r>
          </w:p>
          <w:p w14:paraId="01DF2609">
            <w:pPr>
              <w:bidi w:val="0"/>
              <w:rPr>
                <w:rFonts w:hint="default"/>
                <w:color w:val="auto"/>
                <w:lang w:val="en-US" w:eastAsia="zh-CN"/>
              </w:rPr>
            </w:pPr>
            <w:r>
              <w:rPr>
                <w:rFonts w:hint="default"/>
                <w:color w:val="auto"/>
                <w:lang w:val="en-US" w:eastAsia="zh-CN"/>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14:paraId="3FCD8335">
            <w:pPr>
              <w:bidi w:val="0"/>
              <w:rPr>
                <w:rFonts w:hint="default"/>
                <w:color w:val="auto"/>
                <w:lang w:val="en-US" w:eastAsia="zh-CN"/>
              </w:rPr>
            </w:pPr>
            <w:r>
              <w:rPr>
                <w:rFonts w:hint="default"/>
                <w:color w:val="auto"/>
                <w:lang w:val="en-US" w:eastAsia="zh-CN"/>
              </w:rPr>
              <w:t>企业应建立健全防范制度，加强监督管理，规范操作，这类事故发生的概率处于可接受范围内。</w:t>
            </w:r>
          </w:p>
          <w:p w14:paraId="3ED901CC">
            <w:pPr>
              <w:bidi w:val="0"/>
              <w:rPr>
                <w:rFonts w:hint="default"/>
                <w:color w:val="auto"/>
                <w:lang w:val="en-US" w:eastAsia="zh-CN"/>
              </w:rPr>
            </w:pPr>
            <w:r>
              <w:rPr>
                <w:rFonts w:hint="eastAsia"/>
                <w:color w:val="auto"/>
                <w:lang w:val="en-US" w:eastAsia="zh-CN"/>
              </w:rPr>
              <w:t>（2）</w:t>
            </w:r>
            <w:r>
              <w:rPr>
                <w:rFonts w:hint="default"/>
                <w:color w:val="auto"/>
                <w:lang w:val="en-US" w:eastAsia="zh-CN"/>
              </w:rPr>
              <w:t>应急措施</w:t>
            </w:r>
          </w:p>
          <w:p w14:paraId="62568E18">
            <w:pPr>
              <w:bidi w:val="0"/>
              <w:rPr>
                <w:rFonts w:hint="default"/>
                <w:color w:val="auto"/>
                <w:lang w:val="en-US" w:eastAsia="zh-CN"/>
              </w:rPr>
            </w:pPr>
            <w:r>
              <w:rPr>
                <w:rFonts w:hint="eastAsia"/>
                <w:color w:val="auto"/>
                <w:lang w:val="en-US" w:eastAsia="zh-CN"/>
              </w:rPr>
              <w:t>漆料、废稀释剂</w:t>
            </w:r>
            <w:r>
              <w:rPr>
                <w:rFonts w:hint="default"/>
                <w:color w:val="auto"/>
                <w:lang w:val="en-US" w:eastAsia="zh-CN"/>
              </w:rPr>
              <w:t>发生</w:t>
            </w:r>
            <w:r>
              <w:rPr>
                <w:rFonts w:hint="eastAsia"/>
                <w:color w:val="auto"/>
                <w:lang w:val="en-US" w:eastAsia="zh-CN"/>
              </w:rPr>
              <w:t>泄漏</w:t>
            </w:r>
            <w:r>
              <w:rPr>
                <w:rFonts w:hint="default"/>
                <w:color w:val="auto"/>
                <w:lang w:val="en-US" w:eastAsia="zh-CN"/>
              </w:rPr>
              <w:t>，通过工作人员或视频监控人员预警，根据现场情况将沙土</w:t>
            </w:r>
            <w:r>
              <w:rPr>
                <w:rFonts w:hint="eastAsia"/>
                <w:color w:val="auto"/>
                <w:lang w:val="en-US" w:eastAsia="zh-CN"/>
              </w:rPr>
              <w:t>、</w:t>
            </w:r>
            <w:r>
              <w:rPr>
                <w:rFonts w:hint="default"/>
                <w:color w:val="auto"/>
                <w:lang w:val="en-US" w:eastAsia="zh-CN"/>
              </w:rPr>
              <w:t>沙袋等运至</w:t>
            </w:r>
            <w:r>
              <w:rPr>
                <w:rFonts w:hint="eastAsia"/>
                <w:color w:val="auto"/>
                <w:lang w:val="en-US" w:eastAsia="zh-CN"/>
              </w:rPr>
              <w:t>事</w:t>
            </w:r>
            <w:r>
              <w:rPr>
                <w:rFonts w:hint="default"/>
                <w:color w:val="auto"/>
                <w:lang w:val="en-US" w:eastAsia="zh-CN"/>
              </w:rPr>
              <w:t>发现场进行现场环境应急处置，利用沙袋先进行溢流的围堵，避免污染面积扩散，用吸附材料吸收泄漏液体，然后移至安全地区，能够有效防止事故扩大。当风险物质泄漏至雨水管网时，应急组对厂区雨水排口进行封堵，防止泄漏物泄漏</w:t>
            </w:r>
            <w:r>
              <w:rPr>
                <w:rFonts w:hint="eastAsia"/>
                <w:color w:val="auto"/>
                <w:lang w:val="en-US" w:eastAsia="zh-CN"/>
              </w:rPr>
              <w:t>至</w:t>
            </w:r>
            <w:r>
              <w:rPr>
                <w:rFonts w:hint="default"/>
                <w:color w:val="auto"/>
                <w:lang w:val="en-US" w:eastAsia="zh-CN"/>
              </w:rPr>
              <w:t>厂区外。一旦泄漏</w:t>
            </w:r>
            <w:r>
              <w:rPr>
                <w:rFonts w:hint="eastAsia"/>
                <w:color w:val="auto"/>
                <w:lang w:val="en-US" w:eastAsia="zh-CN"/>
              </w:rPr>
              <w:t>至</w:t>
            </w:r>
            <w:r>
              <w:rPr>
                <w:rFonts w:hint="default"/>
                <w:color w:val="auto"/>
                <w:lang w:val="en-US" w:eastAsia="zh-CN"/>
              </w:rPr>
              <w:t>厂区外，企业应告知当地政府、生态环境局、环境保护监测站等进行处理。</w:t>
            </w:r>
          </w:p>
          <w:p w14:paraId="2220FFBF">
            <w:pPr>
              <w:ind w:firstLine="480"/>
              <w:rPr>
                <w:rFonts w:hint="eastAsia" w:ascii="Times New Roman" w:hAnsi="Times New Roman" w:eastAsia="宋体"/>
                <w:color w:val="auto"/>
                <w:kern w:val="2"/>
                <w:sz w:val="24"/>
                <w:szCs w:val="24"/>
                <w:highlight w:val="none"/>
                <w:lang w:val="en-US" w:eastAsia="zh-CN" w:bidi="ar-SA"/>
              </w:rPr>
            </w:pPr>
            <w:r>
              <w:rPr>
                <w:rFonts w:hint="eastAsia"/>
                <w:color w:val="auto"/>
                <w:highlight w:val="none"/>
              </w:rPr>
              <w:t>（3）编制突发环境应急预案。</w:t>
            </w:r>
          </w:p>
        </w:tc>
      </w:tr>
      <w:tr w14:paraId="2A4D8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13" w:type="dxa"/>
            <w:noWrap w:val="0"/>
            <w:vAlign w:val="center"/>
          </w:tcPr>
          <w:p w14:paraId="2267083F">
            <w:pPr>
              <w:pStyle w:val="31"/>
              <w:bidi w:val="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其他环境管理要求</w:t>
            </w:r>
          </w:p>
        </w:tc>
        <w:tc>
          <w:tcPr>
            <w:tcW w:w="8635" w:type="dxa"/>
            <w:gridSpan w:val="4"/>
            <w:noWrap w:val="0"/>
            <w:vAlign w:val="center"/>
          </w:tcPr>
          <w:p w14:paraId="594D3A39">
            <w:pPr>
              <w:pStyle w:val="3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1、环境管理及监测计划</w:t>
            </w:r>
          </w:p>
          <w:p w14:paraId="76AFBA0A">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（1）</w:t>
            </w:r>
            <w:r>
              <w:rPr>
                <w:rFonts w:hint="default"/>
                <w:color w:val="auto"/>
                <w:sz w:val="24"/>
                <w:szCs w:val="24"/>
                <w:highlight w:val="none"/>
              </w:rPr>
              <w:t>环境管理措施</w:t>
            </w:r>
          </w:p>
          <w:p w14:paraId="7BBD1F59">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本项目实行厂长主管环保工作的领导体制，全面负责环保和安全工作。</w:t>
            </w:r>
          </w:p>
          <w:p w14:paraId="09FF9D29">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①机构组成</w:t>
            </w:r>
          </w:p>
          <w:p w14:paraId="6B0F84CC">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该厂实行厂长负责主管环保工作的领导体制。</w:t>
            </w:r>
          </w:p>
          <w:p w14:paraId="3F21EE85">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②机构职责</w:t>
            </w:r>
          </w:p>
          <w:p w14:paraId="4C1E1B23">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a.</w:t>
            </w:r>
            <w:r>
              <w:rPr>
                <w:rFonts w:hint="default"/>
                <w:color w:val="auto"/>
                <w:sz w:val="24"/>
                <w:szCs w:val="24"/>
                <w:highlight w:val="none"/>
              </w:rPr>
              <w:t>贯彻执行环境保护法规及环境保护标准；</w:t>
            </w:r>
          </w:p>
          <w:p w14:paraId="534CC7B8">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b.</w:t>
            </w:r>
            <w:r>
              <w:rPr>
                <w:rFonts w:hint="default"/>
                <w:color w:val="auto"/>
                <w:sz w:val="24"/>
                <w:szCs w:val="24"/>
                <w:highlight w:val="none"/>
              </w:rPr>
              <w:t>建立完善的本企业环境保护管理制度，经常监督检查车间执行环保法规情况；</w:t>
            </w:r>
          </w:p>
          <w:p w14:paraId="2FE3FE33">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c.</w:t>
            </w:r>
            <w:r>
              <w:rPr>
                <w:rFonts w:hint="default"/>
                <w:color w:val="auto"/>
                <w:sz w:val="24"/>
                <w:szCs w:val="24"/>
                <w:highlight w:val="none"/>
              </w:rPr>
              <w:t>搞好环境保护教育和宣传，提高职工的环境保护意识；</w:t>
            </w:r>
          </w:p>
          <w:p w14:paraId="6CD467CA">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d.</w:t>
            </w:r>
            <w:r>
              <w:rPr>
                <w:rFonts w:hint="default"/>
                <w:color w:val="auto"/>
                <w:sz w:val="24"/>
                <w:szCs w:val="24"/>
                <w:highlight w:val="none"/>
              </w:rPr>
              <w:t>组织对基层环保员的培训，提高工作素质；</w:t>
            </w:r>
          </w:p>
          <w:p w14:paraId="4DB21327">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e.</w:t>
            </w:r>
            <w:r>
              <w:rPr>
                <w:rFonts w:hint="default"/>
                <w:color w:val="auto"/>
                <w:sz w:val="24"/>
                <w:szCs w:val="24"/>
                <w:highlight w:val="none"/>
              </w:rPr>
              <w:t>定时考核和统计，以保证各项环保设施常年处于良好运行状态，确保全厂污染物排放达到国家排放标准或总量控制指标。</w:t>
            </w:r>
          </w:p>
          <w:p w14:paraId="6D15BAB0">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default"/>
                <w:color w:val="auto"/>
                <w:sz w:val="24"/>
                <w:szCs w:val="24"/>
                <w:highlight w:val="none"/>
              </w:rPr>
              <w:t>监测制度</w:t>
            </w:r>
          </w:p>
          <w:p w14:paraId="6A29E8AE">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环境监测是环境保护的基础，是进行污染源治理及环保设施运行管理的依据，因而企业应定期对废气、废水、噪声等环保设施运行情况进行监测。</w:t>
            </w:r>
          </w:p>
          <w:p w14:paraId="3152A261">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通过对项目运行中环保设施进行监控，掌握废气、</w:t>
            </w:r>
            <w:r>
              <w:rPr>
                <w:rFonts w:hint="eastAsia"/>
                <w:color w:val="auto"/>
                <w:sz w:val="24"/>
                <w:szCs w:val="24"/>
                <w:highlight w:val="none"/>
                <w:lang w:val="en-US" w:eastAsia="zh-CN"/>
              </w:rPr>
              <w:t>废水、</w:t>
            </w:r>
            <w:r>
              <w:rPr>
                <w:rFonts w:hint="default"/>
                <w:color w:val="auto"/>
                <w:sz w:val="24"/>
                <w:szCs w:val="24"/>
                <w:highlight w:val="none"/>
              </w:rPr>
              <w:t>噪声等污染源排放是否符合国家或地方排放标准的要求，做到达标排放，同时对废气、</w:t>
            </w:r>
            <w:r>
              <w:rPr>
                <w:rFonts w:hint="eastAsia"/>
                <w:color w:val="auto"/>
                <w:sz w:val="24"/>
                <w:szCs w:val="24"/>
                <w:highlight w:val="none"/>
                <w:lang w:val="en-US" w:eastAsia="zh-CN"/>
              </w:rPr>
              <w:t>废水、</w:t>
            </w:r>
            <w:r>
              <w:rPr>
                <w:rFonts w:hint="default"/>
                <w:color w:val="auto"/>
                <w:sz w:val="24"/>
                <w:szCs w:val="24"/>
                <w:highlight w:val="none"/>
              </w:rPr>
              <w:t>固体废物及噪声防治设施进行监督检查，保证正常运行。</w:t>
            </w:r>
          </w:p>
          <w:p w14:paraId="4BB5E22C">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（3）</w:t>
            </w:r>
            <w:r>
              <w:rPr>
                <w:rFonts w:hint="default"/>
                <w:color w:val="auto"/>
                <w:sz w:val="24"/>
                <w:szCs w:val="24"/>
                <w:highlight w:val="none"/>
              </w:rPr>
              <w:t>环境监测机构及设备配置</w:t>
            </w:r>
          </w:p>
          <w:p w14:paraId="7A065CF0">
            <w:pPr>
              <w:pStyle w:val="31"/>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环境监测是环境保护的基础，是进行污染治理和监督管理的依据。根据《排污单位自行监测技术指南 总则》（HJ 819-2017）</w:t>
            </w:r>
            <w:r>
              <w:rPr>
                <w:rFonts w:hint="eastAsia"/>
                <w:color w:val="auto"/>
                <w:sz w:val="24"/>
                <w:szCs w:val="24"/>
                <w:highlight w:val="none"/>
                <w:lang w:eastAsia="zh-CN"/>
              </w:rPr>
              <w:t>、</w:t>
            </w:r>
            <w:r>
              <w:rPr>
                <w:rFonts w:hint="eastAsia"/>
                <w:b w:val="0"/>
                <w:bCs w:val="0"/>
                <w:color w:val="auto"/>
                <w:sz w:val="24"/>
                <w:szCs w:val="24"/>
                <w:highlight w:val="none"/>
                <w:lang w:val="en-US" w:eastAsia="zh-CN"/>
              </w:rPr>
              <w:t>《排污许可证申请与核发技术规范 铁路、船舶、航空航天和其他运输设备制造业》（HJ1124-2020）附录A、</w:t>
            </w:r>
            <w:r>
              <w:rPr>
                <w:rFonts w:hint="default" w:ascii="Times New Roman" w:hAnsi="Times New Roman" w:eastAsia="宋体" w:cs="Times New Roman"/>
                <w:color w:val="auto"/>
                <w:kern w:val="1"/>
                <w:sz w:val="24"/>
                <w:szCs w:val="22"/>
                <w:highlight w:val="none"/>
                <w:lang w:eastAsia="zh-CN" w:bidi="ar"/>
              </w:rPr>
              <w:t>《</w:t>
            </w:r>
            <w:r>
              <w:rPr>
                <w:rFonts w:hint="default" w:ascii="Times New Roman" w:hAnsi="Times New Roman" w:eastAsia="宋体" w:cs="Times New Roman"/>
                <w:color w:val="auto"/>
                <w:kern w:val="1"/>
                <w:sz w:val="24"/>
                <w:szCs w:val="22"/>
                <w:highlight w:val="none"/>
                <w:lang w:bidi="ar"/>
              </w:rPr>
              <w:fldChar w:fldCharType="begin"/>
            </w:r>
            <w:r>
              <w:rPr>
                <w:rFonts w:hint="default" w:ascii="Times New Roman" w:hAnsi="Times New Roman" w:eastAsia="宋体" w:cs="Times New Roman"/>
                <w:color w:val="auto"/>
                <w:kern w:val="1"/>
                <w:sz w:val="24"/>
                <w:szCs w:val="22"/>
                <w:highlight w:val="none"/>
                <w:lang w:bidi="ar"/>
              </w:rPr>
              <w:instrText xml:space="preserve"> HYPERLINK "http://www.mee.gov.cn/ywgz/fgbz/bz/bzwb/jcffbz/202001/W020200113417476489912.pdf" </w:instrText>
            </w:r>
            <w:r>
              <w:rPr>
                <w:rFonts w:hint="default" w:ascii="Times New Roman" w:hAnsi="Times New Roman" w:eastAsia="宋体" w:cs="Times New Roman"/>
                <w:color w:val="auto"/>
                <w:kern w:val="1"/>
                <w:sz w:val="24"/>
                <w:szCs w:val="22"/>
                <w:highlight w:val="none"/>
                <w:lang w:bidi="ar"/>
              </w:rPr>
              <w:fldChar w:fldCharType="separate"/>
            </w:r>
            <w:r>
              <w:rPr>
                <w:rFonts w:hint="default" w:ascii="Times New Roman" w:hAnsi="Times New Roman" w:eastAsia="宋体" w:cs="Times New Roman"/>
                <w:color w:val="auto"/>
                <w:kern w:val="1"/>
                <w:sz w:val="24"/>
                <w:szCs w:val="22"/>
                <w:highlight w:val="none"/>
                <w:lang w:bidi="ar"/>
              </w:rPr>
              <w:t>排污</w:t>
            </w:r>
            <w:r>
              <w:rPr>
                <w:rFonts w:hint="default" w:ascii="Times New Roman" w:hAnsi="Times New Roman" w:eastAsia="宋体" w:cs="Times New Roman"/>
                <w:color w:val="auto"/>
                <w:kern w:val="1"/>
                <w:sz w:val="24"/>
                <w:szCs w:val="22"/>
                <w:highlight w:val="none"/>
                <w:lang w:bidi="ar"/>
              </w:rPr>
              <w:fldChar w:fldCharType="begin"/>
            </w:r>
            <w:r>
              <w:rPr>
                <w:rFonts w:hint="default" w:ascii="Times New Roman" w:hAnsi="Times New Roman" w:eastAsia="宋体" w:cs="Times New Roman"/>
                <w:color w:val="auto"/>
                <w:kern w:val="1"/>
                <w:sz w:val="24"/>
                <w:szCs w:val="22"/>
                <w:highlight w:val="none"/>
                <w:lang w:bidi="ar"/>
              </w:rPr>
              <w:instrText xml:space="preserve"> HYPERLINK "http://www.mee.gov.cn/ywgz/fgbz/bz/bzwb/jcffbz/202001/W020200113417476489912.pdf" </w:instrText>
            </w:r>
            <w:r>
              <w:rPr>
                <w:rFonts w:hint="default" w:ascii="Times New Roman" w:hAnsi="Times New Roman" w:eastAsia="宋体" w:cs="Times New Roman"/>
                <w:color w:val="auto"/>
                <w:kern w:val="1"/>
                <w:sz w:val="24"/>
                <w:szCs w:val="22"/>
                <w:highlight w:val="none"/>
                <w:lang w:bidi="ar"/>
              </w:rPr>
              <w:fldChar w:fldCharType="separate"/>
            </w:r>
            <w:r>
              <w:rPr>
                <w:rFonts w:hint="default" w:ascii="Times New Roman" w:hAnsi="Times New Roman" w:eastAsia="宋体" w:cs="Times New Roman"/>
                <w:color w:val="auto"/>
                <w:kern w:val="1"/>
                <w:sz w:val="24"/>
                <w:szCs w:val="22"/>
                <w:highlight w:val="none"/>
                <w:lang w:bidi="ar"/>
              </w:rPr>
              <w:t>排污单位自行监测技术指南 涂装</w:t>
            </w:r>
            <w:r>
              <w:rPr>
                <w:rFonts w:hint="default" w:ascii="Times New Roman" w:hAnsi="Times New Roman" w:eastAsia="宋体" w:cs="Times New Roman"/>
                <w:color w:val="auto"/>
                <w:kern w:val="1"/>
                <w:sz w:val="24"/>
                <w:szCs w:val="22"/>
                <w:highlight w:val="none"/>
                <w:lang w:bidi="ar"/>
              </w:rPr>
              <w:fldChar w:fldCharType="end"/>
            </w:r>
            <w:r>
              <w:rPr>
                <w:rFonts w:hint="default" w:ascii="Times New Roman" w:hAnsi="Times New Roman" w:eastAsia="宋体" w:cs="Times New Roman"/>
                <w:color w:val="auto"/>
                <w:kern w:val="1"/>
                <w:sz w:val="24"/>
                <w:szCs w:val="22"/>
                <w:highlight w:val="none"/>
                <w:lang w:bidi="ar"/>
              </w:rPr>
              <w:fldChar w:fldCharType="end"/>
            </w:r>
            <w:r>
              <w:rPr>
                <w:rFonts w:hint="default" w:ascii="Times New Roman" w:hAnsi="Times New Roman" w:eastAsia="宋体" w:cs="Times New Roman"/>
                <w:color w:val="auto"/>
                <w:kern w:val="1"/>
                <w:sz w:val="24"/>
                <w:szCs w:val="22"/>
                <w:highlight w:val="none"/>
                <w:lang w:eastAsia="zh-CN" w:bidi="ar"/>
              </w:rPr>
              <w:t>》</w:t>
            </w:r>
            <w:r>
              <w:rPr>
                <w:rFonts w:hint="default" w:ascii="Times New Roman" w:hAnsi="Times New Roman" w:eastAsia="宋体" w:cs="Times New Roman"/>
                <w:color w:val="auto"/>
                <w:kern w:val="1"/>
                <w:sz w:val="24"/>
                <w:szCs w:val="22"/>
                <w:highlight w:val="none"/>
                <w:lang w:bidi="ar"/>
              </w:rPr>
              <w:t>（HJ 1086</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kern w:val="1"/>
                <w:sz w:val="24"/>
                <w:szCs w:val="22"/>
                <w:highlight w:val="none"/>
                <w:lang w:bidi="ar"/>
              </w:rPr>
              <w:t>2020）</w:t>
            </w:r>
            <w:r>
              <w:rPr>
                <w:rFonts w:hint="default"/>
                <w:color w:val="auto"/>
                <w:sz w:val="24"/>
                <w:szCs w:val="24"/>
                <w:highlight w:val="none"/>
              </w:rPr>
              <w:t>要求，本评价建议企业环境监测工作委托当地有资质的环境监测机构承担。</w:t>
            </w:r>
          </w:p>
          <w:p w14:paraId="7AE0B0E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rPr>
            </w:pPr>
            <w:r>
              <w:rPr>
                <w:rFonts w:hint="eastAsia"/>
                <w:color w:val="auto"/>
                <w:sz w:val="24"/>
                <w:szCs w:val="24"/>
                <w:highlight w:val="none"/>
                <w:lang w:val="en-US" w:eastAsia="zh-CN"/>
              </w:rPr>
              <w:t>（4）</w:t>
            </w:r>
            <w:r>
              <w:rPr>
                <w:rFonts w:hint="default"/>
                <w:color w:val="auto"/>
                <w:sz w:val="24"/>
                <w:szCs w:val="24"/>
                <w:highlight w:val="none"/>
              </w:rPr>
              <w:t>监测计划</w:t>
            </w:r>
          </w:p>
          <w:p w14:paraId="0FCE0F5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rPr>
            </w:pPr>
            <w:r>
              <w:rPr>
                <w:rFonts w:hint="default"/>
                <w:color w:val="auto"/>
                <w:sz w:val="24"/>
                <w:szCs w:val="24"/>
                <w:highlight w:val="none"/>
              </w:rPr>
              <w:t>根据污染物排放特征，依据国家颁布的环境质量标准、污染物排放标准及地方环保部门的要求，制定项目的监测计划和工作方案，监测工作可委托有资质的环境监测部门承担。企业投入运行后，各污染源</w:t>
            </w:r>
            <w:r>
              <w:rPr>
                <w:rFonts w:hint="eastAsia"/>
                <w:color w:val="auto"/>
                <w:sz w:val="24"/>
                <w:szCs w:val="24"/>
                <w:highlight w:val="none"/>
                <w:lang w:val="en-US" w:eastAsia="zh-CN"/>
              </w:rPr>
              <w:t>按</w:t>
            </w:r>
            <w:r>
              <w:rPr>
                <w:rFonts w:hint="default"/>
                <w:color w:val="auto"/>
                <w:sz w:val="24"/>
                <w:szCs w:val="24"/>
                <w:highlight w:val="none"/>
              </w:rPr>
              <w:t>监测计划</w:t>
            </w:r>
            <w:r>
              <w:rPr>
                <w:rFonts w:hint="eastAsia"/>
                <w:color w:val="auto"/>
                <w:sz w:val="24"/>
                <w:szCs w:val="24"/>
                <w:highlight w:val="none"/>
                <w:lang w:val="en-US" w:eastAsia="zh-CN"/>
              </w:rPr>
              <w:t>进行检测</w:t>
            </w:r>
            <w:r>
              <w:rPr>
                <w:rFonts w:hint="default"/>
                <w:color w:val="auto"/>
                <w:sz w:val="24"/>
                <w:szCs w:val="24"/>
                <w:highlight w:val="none"/>
              </w:rPr>
              <w:t>。</w:t>
            </w:r>
          </w:p>
          <w:p w14:paraId="58D376E1">
            <w:pPr>
              <w:pStyle w:val="23"/>
              <w:keepNext w:val="0"/>
              <w:keepLines w:val="0"/>
              <w:pageBreakBefore w:val="0"/>
              <w:widowControl w:val="0"/>
              <w:kinsoku/>
              <w:wordWrap/>
              <w:overflowPunct/>
              <w:topLinePunct w:val="0"/>
              <w:autoSpaceDE/>
              <w:autoSpaceDN/>
              <w:bidi w:val="0"/>
              <w:adjustRightInd/>
              <w:snapToGrid/>
              <w:spacing w:before="0" w:after="0" w:line="480" w:lineRule="exact"/>
              <w:ind w:left="0"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2、企业环境信息公开要求</w:t>
            </w:r>
          </w:p>
          <w:p w14:paraId="2A3C59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（1）企业环境信息公开</w:t>
            </w:r>
          </w:p>
          <w:p w14:paraId="2982325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企业环境信息依法披露管理办法》（部令第24号）的规定，企业事业单位应当按照强制公开和自愿公开相结合的原则，及时、如实地公开其环境信息。如环境信息涉及国家秘密、商业秘密或者个人隐私的，依法可以不公开；法律、法规另有规定的，从其规定。</w:t>
            </w:r>
          </w:p>
          <w:p w14:paraId="6A616D6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该企业应当建立健全本单位环境信息公开制度，指定机构负责本单位环境信息公开日常工作。</w:t>
            </w:r>
          </w:p>
          <w:p w14:paraId="298975F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（2）建设单位应当公开下列信息内容</w:t>
            </w:r>
          </w:p>
          <w:p w14:paraId="16A27A1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该企业应当公开信息内容如下：</w:t>
            </w:r>
          </w:p>
          <w:p w14:paraId="7A5B9AF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①基础信息：包括单位名称、组织机构代码、法定代表人、生产地址、联系方式，以及生产经营和管理服务的主要内容、产品及规模；</w:t>
            </w:r>
          </w:p>
          <w:p w14:paraId="2369441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②排污信息：包括主要污染物及特征污染物的名称、排放方式、排放口数量和分布情况、排放浓度和总量、超标情况，以及执行的污染物排放标准、核定的排放总量；</w:t>
            </w:r>
          </w:p>
          <w:p w14:paraId="4C74023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③防治污染设施的建设和运行情况；</w:t>
            </w:r>
          </w:p>
          <w:p w14:paraId="46B3B29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④建设项目环境影响评价及其他环境保护行政许可情况；</w:t>
            </w:r>
          </w:p>
          <w:p w14:paraId="452C086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⑤其他应当公开的环境信息。</w:t>
            </w:r>
          </w:p>
          <w:p w14:paraId="006E36B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（3）信息公开方式</w:t>
            </w:r>
          </w:p>
          <w:p w14:paraId="0FFA7FE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该企业采取信息公开栏方式公开相关信息；</w:t>
            </w:r>
          </w:p>
          <w:p w14:paraId="3F7417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3、排污许可规范化管理要求</w:t>
            </w:r>
          </w:p>
          <w:p w14:paraId="61EDEE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国家实行排污许可制度，环境保护部门通过对企事业单位发放排污许可证并依证监管实施排污许可制。实行排污许可管理的企业事业单位和其他生产经营者应当按照排污许可证的要求排放污染物；未取得排污许可证的，不得排放污染物。</w:t>
            </w:r>
          </w:p>
          <w:p w14:paraId="3FB2EC0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国务院办公厅关于印发控制污染物排放许可制实施方案的通知》（国办发[2016]81号）、《关于做好环境影响评价制度与排污许可制衔接相关工作的通知》（环办环评[2017]84号）和《固定污染源排污许可分类管理名录（2019 年版）》等相关文件要求，企业事业单位和其他生产经营者应该按照名录的规定，在实施时限内申请排污许可证。</w:t>
            </w:r>
          </w:p>
          <w:p w14:paraId="678EF4A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经对照《固定污染源排污许可分类管理名录（2019 年版）》本项目已纳入名录管理的行业，应及时申请取得排污许可证或填报排污登记表。本项目仅在现有生产工艺的基础上新增壳体除锈、除油、喷漆等工序，喷漆后的壳体用于机器人生产，不单独作为产品外售，因此，中信重工开诚智能装备有限公司排污许可类别应按照生产机器人所属行业确定，机器人生产属于“三十、专用设备制造业35-84.环保、邮政、社会公共服务及其他专用设备制造359-其他”，为登记管理。现有工程已进行排污登记，应当在本项目启动生产设施或者发生实际排污之前，进行排污登记变更。并且在国家及地方环保监管部门有要求的情况下实施监测。</w:t>
            </w:r>
          </w:p>
          <w:p w14:paraId="2DE2A27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4、环保竣工验收管理</w:t>
            </w:r>
          </w:p>
          <w:p w14:paraId="700A14F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建设单位是建设项目竣工环境保护验收的责任主体，应当按照《建设项目竣工环境保护验收暂行办法》（国环规环评[2017]4号）、《建设项目竣工环境保护验收技术指南污染影响类》（生态环境部办公厅2018 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7E7B6D9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5、</w:t>
            </w:r>
            <w:r>
              <w:rPr>
                <w:rFonts w:hint="default"/>
                <w:color w:val="auto"/>
                <w:sz w:val="24"/>
                <w:szCs w:val="24"/>
                <w:highlight w:val="none"/>
                <w:lang w:val="en-US"/>
              </w:rPr>
              <w:t>排污口规范化</w:t>
            </w:r>
          </w:p>
          <w:p w14:paraId="699C3BA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rPr>
            </w:pPr>
            <w:r>
              <w:rPr>
                <w:rFonts w:hint="default"/>
                <w:color w:val="auto"/>
                <w:sz w:val="24"/>
                <w:szCs w:val="24"/>
                <w:highlight w:val="none"/>
                <w:lang w:val="en-US"/>
              </w:rPr>
              <w:t>排污口是企业污染物进入受纳环境的通道，做好排污口管理是实施污染物总量控制和达标排放的基础工作之—，必须实行规范化管理。</w:t>
            </w:r>
          </w:p>
          <w:p w14:paraId="1554E4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（1）</w:t>
            </w:r>
            <w:r>
              <w:rPr>
                <w:rFonts w:hint="default"/>
                <w:color w:val="auto"/>
                <w:sz w:val="24"/>
                <w:szCs w:val="24"/>
                <w:highlight w:val="none"/>
                <w:lang w:val="en-US"/>
              </w:rPr>
              <w:t>废气排污口规范化：排气筒应设置便于采样、监测的采样口和采样平台。当采样平台设置在离地面高度≥5m的位置时，应有通往平台的Z字梯/旋梯/升降梯。在各排气筒近地面处，应设立醒目的环境保护图形标志牌。本项目</w:t>
            </w:r>
            <w:r>
              <w:rPr>
                <w:rFonts w:hint="eastAsia"/>
                <w:color w:val="auto"/>
                <w:sz w:val="24"/>
                <w:szCs w:val="24"/>
                <w:highlight w:val="none"/>
                <w:lang w:val="en-US" w:eastAsia="zh-CN"/>
              </w:rPr>
              <w:t>建成后全厂共设置2根排气筒（不含油烟排放口），主要排放污染物为颗粒物、非甲烷总烃、甲苯与二甲苯合计</w:t>
            </w:r>
            <w:r>
              <w:rPr>
                <w:rFonts w:hint="default"/>
                <w:color w:val="auto"/>
                <w:sz w:val="24"/>
                <w:szCs w:val="24"/>
                <w:highlight w:val="none"/>
                <w:lang w:val="en-US"/>
              </w:rPr>
              <w:t>。</w:t>
            </w:r>
          </w:p>
          <w:p w14:paraId="62166B9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（2）</w:t>
            </w:r>
            <w:r>
              <w:rPr>
                <w:rFonts w:hint="default"/>
                <w:color w:val="auto"/>
                <w:sz w:val="24"/>
                <w:szCs w:val="24"/>
                <w:highlight w:val="none"/>
                <w:lang w:val="en-US"/>
              </w:rPr>
              <w:t>废水：污水排放口须进行规范化建设，设置环保图形标志牌，需达到《环境保护图形标志排放口（源）》相关要求。</w:t>
            </w:r>
          </w:p>
          <w:p w14:paraId="4A42026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（3）</w:t>
            </w:r>
            <w:r>
              <w:rPr>
                <w:rFonts w:hint="default"/>
                <w:color w:val="auto"/>
                <w:sz w:val="24"/>
                <w:szCs w:val="24"/>
                <w:highlight w:val="none"/>
                <w:lang w:val="en-US"/>
              </w:rPr>
              <w:t>噪声排污口规范化：须按《工业企业厂界环境噪声排放标准》（GB12348-2008）的规定，设置环境噪声监测点，并在该处附近醒目处设置环境保护图形标志牌。</w:t>
            </w:r>
          </w:p>
          <w:p w14:paraId="1107A2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（4）</w:t>
            </w:r>
            <w:r>
              <w:rPr>
                <w:rFonts w:hint="default"/>
                <w:color w:val="auto"/>
                <w:sz w:val="24"/>
                <w:szCs w:val="24"/>
                <w:highlight w:val="none"/>
                <w:lang w:val="en-US"/>
              </w:rPr>
              <w:t>固体废物：本项目固体废物堆放场所必须有防火、防扬散、防渗漏等防止污染环境的措施，标志牌达到 《环境保护图形标志-固体废物贮存（处置）场》（GB15562.2-1995）</w:t>
            </w:r>
            <w:r>
              <w:rPr>
                <w:rFonts w:hint="eastAsia"/>
                <w:color w:val="auto"/>
                <w:sz w:val="24"/>
                <w:szCs w:val="24"/>
                <w:highlight w:val="none"/>
                <w:lang w:val="en-US" w:eastAsia="zh-CN"/>
              </w:rPr>
              <w:t>及修改单</w:t>
            </w:r>
            <w:r>
              <w:rPr>
                <w:rFonts w:hint="default"/>
                <w:color w:val="auto"/>
                <w:sz w:val="24"/>
                <w:szCs w:val="24"/>
                <w:highlight w:val="none"/>
                <w:lang w:val="en-US"/>
              </w:rPr>
              <w:t>的规定。</w:t>
            </w:r>
          </w:p>
          <w:p w14:paraId="28550FA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rPr>
            </w:pPr>
            <w:r>
              <w:rPr>
                <w:rFonts w:hint="default"/>
                <w:color w:val="auto"/>
                <w:sz w:val="24"/>
                <w:szCs w:val="24"/>
                <w:highlight w:val="none"/>
                <w:lang w:val="en-US"/>
              </w:rPr>
              <w:t>管理要求：排放口规范化的相关设施（如：计量、监控装置、标志牌等）属污染治理设施的组成部分，环境保护部门应按照有关污染治理设施的监督管理规定，加强日常监督管理，排污单位应将规范化排放的相关设施纳入本单位设备管理范围。</w:t>
            </w:r>
          </w:p>
          <w:p w14:paraId="4D4959C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rPr>
            </w:pPr>
            <w:r>
              <w:rPr>
                <w:rFonts w:hint="default"/>
                <w:color w:val="auto"/>
                <w:sz w:val="24"/>
                <w:szCs w:val="24"/>
                <w:highlight w:val="none"/>
                <w:lang w:val="en-US"/>
              </w:rPr>
              <w:t>排放口立标要求：设立排污口标志牌，标志牌由国家环境保护总局统一定点监制，达到《环境保护图形标志》（GB15562.1～2-1995）的规定。</w:t>
            </w:r>
          </w:p>
          <w:p w14:paraId="5958265A">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rPr>
            </w:pPr>
          </w:p>
          <w:p w14:paraId="43BBD4A2">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14:paraId="08575023">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14:paraId="0BC08B88">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14:paraId="6784F1DF">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color w:val="auto"/>
                <w:sz w:val="24"/>
                <w:szCs w:val="24"/>
                <w:highlight w:val="none"/>
                <w:lang w:val="en-US" w:eastAsia="zh-CN"/>
              </w:rPr>
            </w:pPr>
          </w:p>
        </w:tc>
      </w:tr>
    </w:tbl>
    <w:p w14:paraId="7BF2F206">
      <w:pPr>
        <w:rPr>
          <w:color w:val="auto"/>
          <w:highlight w:val="none"/>
        </w:rPr>
      </w:pPr>
      <w:r>
        <w:rPr>
          <w:color w:val="auto"/>
          <w:highlight w:val="none"/>
        </w:rPr>
        <w:br w:type="page"/>
      </w:r>
    </w:p>
    <w:p w14:paraId="0FAEE093">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黑体" w:hAnsi="黑体" w:eastAsia="黑体"/>
          <w:snapToGrid w:val="0"/>
          <w:color w:val="auto"/>
          <w:sz w:val="30"/>
          <w:szCs w:val="30"/>
          <w:highlight w:val="none"/>
          <w:lang w:val="en-US" w:eastAsia="zh-CN"/>
        </w:rPr>
      </w:pPr>
      <w:bookmarkStart w:id="8" w:name="_Toc14984"/>
      <w:r>
        <w:rPr>
          <w:rFonts w:hint="eastAsia" w:ascii="黑体" w:hAnsi="黑体" w:eastAsia="黑体"/>
          <w:snapToGrid w:val="0"/>
          <w:color w:val="auto"/>
          <w:sz w:val="30"/>
          <w:szCs w:val="30"/>
          <w:highlight w:val="none"/>
          <w:lang w:val="en-US" w:eastAsia="zh-CN"/>
        </w:rPr>
        <w:t>六、结论</w:t>
      </w:r>
      <w:bookmarkEnd w:id="8"/>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071C6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400" w:type="dxa"/>
            <w:noWrap w:val="0"/>
            <w:vAlign w:val="top"/>
          </w:tcPr>
          <w:p w14:paraId="4FF61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olor w:val="auto"/>
                <w:highlight w:val="none"/>
                <w:lang w:val="en-US"/>
              </w:rPr>
            </w:pPr>
            <w:r>
              <w:rPr>
                <w:rFonts w:hint="eastAsia"/>
                <w:color w:val="auto"/>
                <w:sz w:val="24"/>
                <w:szCs w:val="24"/>
                <w:highlight w:val="none"/>
                <w:lang w:val="en-US" w:eastAsia="zh-CN"/>
              </w:rPr>
              <w:t>中信重工开诚智能装备有限公司在河北省唐山市高新技术产业开发区学院北路1686号，中信重工开诚智能装备有限公司院内，投资21028万元，建设</w:t>
            </w:r>
            <w:r>
              <w:rPr>
                <w:rFonts w:hint="eastAsia"/>
                <w:color w:val="auto"/>
                <w:highlight w:val="none"/>
                <w:lang w:val="en-US" w:eastAsia="zh-CN"/>
              </w:rPr>
              <w:t>特种机器人研发及产业化基地项目（二期）项目，符合国家产业政策，选址合理，采取环评提出的污染防治措施后，污染物可达标排放，不会对周围环境质量造成明显的不利影响，从环保角度而言，该项目建设可行。</w:t>
            </w:r>
          </w:p>
          <w:p w14:paraId="02186367">
            <w:pPr>
              <w:spacing w:line="360" w:lineRule="auto"/>
              <w:rPr>
                <w:color w:val="auto"/>
                <w:highlight w:val="none"/>
              </w:rPr>
            </w:pPr>
          </w:p>
          <w:p w14:paraId="243FC963">
            <w:pPr>
              <w:pStyle w:val="2"/>
              <w:rPr>
                <w:color w:val="auto"/>
                <w:highlight w:val="none"/>
              </w:rPr>
            </w:pPr>
          </w:p>
          <w:p w14:paraId="6EA851E7">
            <w:pPr>
              <w:pStyle w:val="5"/>
              <w:outlineLvl w:val="9"/>
              <w:rPr>
                <w:color w:val="auto"/>
                <w:highlight w:val="none"/>
              </w:rPr>
            </w:pPr>
          </w:p>
          <w:p w14:paraId="56654F91">
            <w:pPr>
              <w:rPr>
                <w:color w:val="auto"/>
                <w:highlight w:val="none"/>
              </w:rPr>
            </w:pPr>
          </w:p>
          <w:p w14:paraId="1E4CBEBB">
            <w:pPr>
              <w:pStyle w:val="2"/>
              <w:rPr>
                <w:color w:val="auto"/>
                <w:highlight w:val="none"/>
              </w:rPr>
            </w:pPr>
          </w:p>
          <w:p w14:paraId="1B97DEE8">
            <w:pPr>
              <w:pStyle w:val="5"/>
              <w:outlineLvl w:val="9"/>
              <w:rPr>
                <w:color w:val="auto"/>
                <w:highlight w:val="none"/>
              </w:rPr>
            </w:pPr>
          </w:p>
          <w:p w14:paraId="60622D53">
            <w:pPr>
              <w:rPr>
                <w:color w:val="auto"/>
                <w:highlight w:val="none"/>
              </w:rPr>
            </w:pPr>
          </w:p>
          <w:p w14:paraId="6B66B090">
            <w:pPr>
              <w:pStyle w:val="2"/>
              <w:rPr>
                <w:color w:val="auto"/>
                <w:highlight w:val="none"/>
              </w:rPr>
            </w:pPr>
          </w:p>
          <w:p w14:paraId="618A5F5B">
            <w:pPr>
              <w:pStyle w:val="5"/>
              <w:outlineLvl w:val="9"/>
              <w:rPr>
                <w:color w:val="auto"/>
                <w:highlight w:val="none"/>
              </w:rPr>
            </w:pPr>
          </w:p>
          <w:p w14:paraId="027BE8EC">
            <w:pPr>
              <w:rPr>
                <w:color w:val="auto"/>
                <w:highlight w:val="none"/>
              </w:rPr>
            </w:pPr>
          </w:p>
          <w:p w14:paraId="656FA517">
            <w:pPr>
              <w:pStyle w:val="2"/>
              <w:rPr>
                <w:color w:val="auto"/>
                <w:highlight w:val="none"/>
              </w:rPr>
            </w:pPr>
          </w:p>
          <w:p w14:paraId="662353FC">
            <w:pPr>
              <w:pStyle w:val="5"/>
              <w:outlineLvl w:val="9"/>
              <w:rPr>
                <w:color w:val="auto"/>
                <w:highlight w:val="none"/>
              </w:rPr>
            </w:pPr>
          </w:p>
          <w:p w14:paraId="102E8B7B">
            <w:pPr>
              <w:rPr>
                <w:color w:val="auto"/>
                <w:highlight w:val="none"/>
              </w:rPr>
            </w:pPr>
          </w:p>
          <w:p w14:paraId="71D4CF65">
            <w:pPr>
              <w:pStyle w:val="2"/>
              <w:rPr>
                <w:color w:val="auto"/>
                <w:highlight w:val="none"/>
              </w:rPr>
            </w:pPr>
          </w:p>
          <w:p w14:paraId="3CFE713F">
            <w:pPr>
              <w:pStyle w:val="5"/>
              <w:outlineLvl w:val="9"/>
              <w:rPr>
                <w:color w:val="auto"/>
                <w:highlight w:val="none"/>
              </w:rPr>
            </w:pPr>
          </w:p>
          <w:p w14:paraId="4ADDF00F">
            <w:pPr>
              <w:rPr>
                <w:color w:val="auto"/>
                <w:highlight w:val="none"/>
              </w:rPr>
            </w:pPr>
          </w:p>
          <w:p w14:paraId="0430D6E8">
            <w:pPr>
              <w:pStyle w:val="2"/>
              <w:rPr>
                <w:color w:val="auto"/>
                <w:highlight w:val="none"/>
              </w:rPr>
            </w:pPr>
          </w:p>
          <w:p w14:paraId="3E749412">
            <w:pPr>
              <w:pStyle w:val="5"/>
              <w:outlineLvl w:val="9"/>
              <w:rPr>
                <w:color w:val="auto"/>
                <w:highlight w:val="none"/>
              </w:rPr>
            </w:pPr>
          </w:p>
          <w:p w14:paraId="6220EDFD">
            <w:pPr>
              <w:rPr>
                <w:color w:val="auto"/>
                <w:highlight w:val="none"/>
              </w:rPr>
            </w:pPr>
          </w:p>
          <w:p w14:paraId="7D9094FA">
            <w:pPr>
              <w:pStyle w:val="2"/>
              <w:rPr>
                <w:color w:val="auto"/>
                <w:highlight w:val="none"/>
              </w:rPr>
            </w:pPr>
          </w:p>
          <w:p w14:paraId="66C201F7">
            <w:pPr>
              <w:pStyle w:val="5"/>
              <w:outlineLvl w:val="9"/>
              <w:rPr>
                <w:color w:val="auto"/>
                <w:highlight w:val="none"/>
              </w:rPr>
            </w:pPr>
          </w:p>
          <w:p w14:paraId="430231E4">
            <w:pPr>
              <w:pStyle w:val="2"/>
              <w:ind w:left="0" w:leftChars="0" w:firstLine="0" w:firstLineChars="0"/>
              <w:rPr>
                <w:color w:val="auto"/>
                <w:highlight w:val="none"/>
              </w:rPr>
            </w:pPr>
          </w:p>
        </w:tc>
      </w:tr>
    </w:tbl>
    <w:p w14:paraId="1227310C">
      <w:pPr>
        <w:rPr>
          <w:rFonts w:hint="eastAsia" w:ascii="黑体" w:hAnsi="黑体" w:eastAsia="黑体"/>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6"/>
    <w:p w14:paraId="553419DD">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Fonts w:ascii="黑体" w:hAnsi="黑体" w:eastAsia="黑体"/>
          <w:snapToGrid w:val="0"/>
          <w:color w:val="auto"/>
          <w:sz w:val="32"/>
          <w:szCs w:val="32"/>
          <w:highlight w:val="none"/>
        </w:rPr>
      </w:pPr>
      <w:bookmarkStart w:id="9" w:name="_Toc9780"/>
      <w:r>
        <w:rPr>
          <w:rFonts w:hint="eastAsia" w:ascii="黑体" w:hAnsi="黑体" w:eastAsia="黑体"/>
          <w:snapToGrid w:val="0"/>
          <w:color w:val="auto"/>
          <w:sz w:val="32"/>
          <w:szCs w:val="32"/>
          <w:highlight w:val="none"/>
        </w:rPr>
        <w:t>附表</w:t>
      </w:r>
      <w:bookmarkEnd w:id="9"/>
    </w:p>
    <w:p w14:paraId="5A495DDA">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eastAsia" w:ascii="方正小标宋_GBK" w:hAnsi="黑体" w:eastAsia="方正小标宋_GBK"/>
          <w:snapToGrid w:val="0"/>
          <w:color w:val="auto"/>
          <w:sz w:val="38"/>
          <w:szCs w:val="38"/>
          <w:highlight w:val="none"/>
        </w:rPr>
      </w:pPr>
      <w:bookmarkStart w:id="10" w:name="_Toc15559"/>
      <w:bookmarkStart w:id="11" w:name="_Toc25866"/>
      <w:r>
        <w:rPr>
          <w:rFonts w:hint="eastAsia" w:ascii="方正小标宋_GBK" w:hAnsi="黑体" w:eastAsia="方正小标宋_GBK"/>
          <w:snapToGrid w:val="0"/>
          <w:color w:val="auto"/>
          <w:sz w:val="38"/>
          <w:szCs w:val="38"/>
          <w:highlight w:val="none"/>
        </w:rPr>
        <w:t>建设项目污染物排放量汇总表</w:t>
      </w:r>
      <w:bookmarkEnd w:id="10"/>
      <w:bookmarkEnd w:id="11"/>
    </w:p>
    <w:tbl>
      <w:tblPr>
        <w:tblStyle w:val="2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732"/>
        <w:gridCol w:w="1595"/>
        <w:gridCol w:w="1254"/>
        <w:gridCol w:w="1814"/>
        <w:gridCol w:w="1500"/>
        <w:gridCol w:w="1355"/>
        <w:gridCol w:w="1542"/>
        <w:gridCol w:w="1656"/>
      </w:tblGrid>
      <w:tr w14:paraId="3FD40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340" w:type="dxa"/>
            <w:tcBorders>
              <w:tl2br w:val="single" w:color="auto" w:sz="4" w:space="0"/>
            </w:tcBorders>
            <w:noWrap w:val="0"/>
            <w:tcMar>
              <w:left w:w="28" w:type="dxa"/>
              <w:right w:w="28" w:type="dxa"/>
            </w:tcMar>
            <w:vAlign w:val="center"/>
          </w:tcPr>
          <w:p w14:paraId="5D7044CB">
            <w:pPr>
              <w:pStyle w:val="31"/>
              <w:spacing w:beforeLines="0" w:afterLines="0" w:line="240" w:lineRule="auto"/>
              <w:jc w:val="right"/>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项目</w:t>
            </w:r>
          </w:p>
          <w:p w14:paraId="2784BCCA">
            <w:pPr>
              <w:pStyle w:val="31"/>
              <w:spacing w:beforeLines="0" w:afterLines="0" w:line="240" w:lineRule="auto"/>
              <w:jc w:val="left"/>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分类</w:t>
            </w:r>
          </w:p>
        </w:tc>
        <w:tc>
          <w:tcPr>
            <w:tcW w:w="1732" w:type="dxa"/>
            <w:noWrap w:val="0"/>
            <w:tcMar>
              <w:left w:w="28" w:type="dxa"/>
              <w:right w:w="28" w:type="dxa"/>
            </w:tcMar>
            <w:vAlign w:val="center"/>
          </w:tcPr>
          <w:p w14:paraId="74B76323">
            <w:pPr>
              <w:pStyle w:val="31"/>
              <w:spacing w:beforeLines="0" w:afterLines="0" w:line="240" w:lineRule="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污染物名称</w:t>
            </w:r>
          </w:p>
        </w:tc>
        <w:tc>
          <w:tcPr>
            <w:tcW w:w="1595" w:type="dxa"/>
            <w:noWrap w:val="0"/>
            <w:tcMar>
              <w:left w:w="28" w:type="dxa"/>
              <w:right w:w="28" w:type="dxa"/>
            </w:tcMar>
            <w:vAlign w:val="center"/>
          </w:tcPr>
          <w:p w14:paraId="516F5827">
            <w:pPr>
              <w:pStyle w:val="31"/>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现有工程</w:t>
            </w:r>
          </w:p>
          <w:p w14:paraId="2BFD03B8">
            <w:pPr>
              <w:pStyle w:val="31"/>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1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①</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254" w:type="dxa"/>
            <w:noWrap w:val="0"/>
            <w:tcMar>
              <w:left w:w="28" w:type="dxa"/>
              <w:right w:w="28" w:type="dxa"/>
            </w:tcMar>
            <w:vAlign w:val="center"/>
          </w:tcPr>
          <w:p w14:paraId="7F805224">
            <w:pPr>
              <w:pStyle w:val="31"/>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现有工程许可排放量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2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snapToGrid w:val="0"/>
                <w:color w:val="auto"/>
                <w:spacing w:val="-6"/>
                <w:kern w:val="21"/>
                <w:sz w:val="24"/>
                <w:szCs w:val="24"/>
                <w:highlight w:val="none"/>
              </w:rPr>
              <w:t>②</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814" w:type="dxa"/>
            <w:noWrap w:val="0"/>
            <w:tcMar>
              <w:left w:w="28" w:type="dxa"/>
              <w:right w:w="28" w:type="dxa"/>
            </w:tcMar>
            <w:vAlign w:val="center"/>
          </w:tcPr>
          <w:p w14:paraId="5F25A0F5">
            <w:pPr>
              <w:pStyle w:val="31"/>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在建工程排放量（固体废物产生量）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3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③</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500" w:type="dxa"/>
            <w:noWrap w:val="0"/>
            <w:tcMar>
              <w:left w:w="28" w:type="dxa"/>
              <w:right w:w="28" w:type="dxa"/>
            </w:tcMar>
            <w:vAlign w:val="center"/>
          </w:tcPr>
          <w:p w14:paraId="6A117969">
            <w:pPr>
              <w:pStyle w:val="31"/>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本项目排放量（固体废物产生量）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4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④</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355" w:type="dxa"/>
            <w:noWrap w:val="0"/>
            <w:tcMar>
              <w:left w:w="28" w:type="dxa"/>
              <w:right w:w="28" w:type="dxa"/>
            </w:tcMar>
            <w:vAlign w:val="center"/>
          </w:tcPr>
          <w:p w14:paraId="0DD516AE">
            <w:pPr>
              <w:pStyle w:val="31"/>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以新带老削减量（新建项目不填）</w:t>
            </w:r>
            <w:r>
              <w:rPr>
                <w:rFonts w:hint="default" w:ascii="Times New Roman" w:hAnsi="Times New Roman" w:cs="Times New Roman" w:eastAsiaTheme="minorEastAsia"/>
                <w:b/>
                <w:bCs/>
                <w:snapToGrid w:val="0"/>
                <w:color w:val="auto"/>
                <w:spacing w:val="-16"/>
                <w:kern w:val="21"/>
                <w:sz w:val="24"/>
                <w:szCs w:val="24"/>
                <w:highlight w:val="none"/>
              </w:rPr>
              <w:fldChar w:fldCharType="begin"/>
            </w:r>
            <w:r>
              <w:rPr>
                <w:rFonts w:hint="default" w:ascii="Times New Roman" w:hAnsi="Times New Roman" w:cs="Times New Roman" w:eastAsiaTheme="minorEastAsia"/>
                <w:b/>
                <w:bCs/>
                <w:snapToGrid w:val="0"/>
                <w:color w:val="auto"/>
                <w:spacing w:val="-16"/>
                <w:kern w:val="21"/>
                <w:sz w:val="24"/>
                <w:szCs w:val="24"/>
                <w:highlight w:val="none"/>
              </w:rPr>
              <w:instrText xml:space="preserve"> = 5 \* GB3 \* MERGEFORMAT </w:instrText>
            </w:r>
            <w:r>
              <w:rPr>
                <w:rFonts w:hint="default" w:ascii="Times New Roman" w:hAnsi="Times New Roman" w:cs="Times New Roman" w:eastAsiaTheme="minorEastAsia"/>
                <w:b/>
                <w:bCs/>
                <w:snapToGrid w:val="0"/>
                <w:color w:val="auto"/>
                <w:spacing w:val="-1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⑤</w:t>
            </w:r>
            <w:r>
              <w:rPr>
                <w:rFonts w:hint="default" w:ascii="Times New Roman" w:hAnsi="Times New Roman" w:cs="Times New Roman" w:eastAsiaTheme="minorEastAsia"/>
                <w:b/>
                <w:bCs/>
                <w:snapToGrid w:val="0"/>
                <w:color w:val="auto"/>
                <w:spacing w:val="-16"/>
                <w:kern w:val="21"/>
                <w:sz w:val="24"/>
                <w:szCs w:val="24"/>
                <w:highlight w:val="none"/>
              </w:rPr>
              <w:fldChar w:fldCharType="end"/>
            </w:r>
          </w:p>
        </w:tc>
        <w:tc>
          <w:tcPr>
            <w:tcW w:w="1542" w:type="dxa"/>
            <w:noWrap w:val="0"/>
            <w:tcMar>
              <w:left w:w="28" w:type="dxa"/>
              <w:right w:w="28" w:type="dxa"/>
            </w:tcMar>
            <w:vAlign w:val="center"/>
          </w:tcPr>
          <w:p w14:paraId="63122C43">
            <w:pPr>
              <w:pStyle w:val="31"/>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本项目建成后全厂排放量（固体废物产生量）</w:t>
            </w:r>
            <w:r>
              <w:rPr>
                <w:rFonts w:hint="default" w:ascii="Times New Roman" w:hAnsi="Times New Roman" w:cs="Times New Roman" w:eastAsiaTheme="minorEastAsia"/>
                <w:b/>
                <w:bCs/>
                <w:snapToGrid w:val="0"/>
                <w:color w:val="auto"/>
                <w:spacing w:val="-16"/>
                <w:kern w:val="21"/>
                <w:sz w:val="24"/>
                <w:szCs w:val="24"/>
                <w:highlight w:val="none"/>
              </w:rPr>
              <w:fldChar w:fldCharType="begin"/>
            </w:r>
            <w:r>
              <w:rPr>
                <w:rFonts w:hint="default" w:ascii="Times New Roman" w:hAnsi="Times New Roman" w:cs="Times New Roman" w:eastAsiaTheme="minorEastAsia"/>
                <w:b/>
                <w:bCs/>
                <w:snapToGrid w:val="0"/>
                <w:color w:val="auto"/>
                <w:spacing w:val="-16"/>
                <w:kern w:val="21"/>
                <w:sz w:val="24"/>
                <w:szCs w:val="24"/>
                <w:highlight w:val="none"/>
              </w:rPr>
              <w:instrText xml:space="preserve"> = 6 \* GB3 \* MERGEFORMAT </w:instrText>
            </w:r>
            <w:r>
              <w:rPr>
                <w:rFonts w:hint="default" w:ascii="Times New Roman" w:hAnsi="Times New Roman" w:cs="Times New Roman" w:eastAsiaTheme="minorEastAsia"/>
                <w:b/>
                <w:bCs/>
                <w:snapToGrid w:val="0"/>
                <w:color w:val="auto"/>
                <w:spacing w:val="-1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⑥</w:t>
            </w:r>
            <w:r>
              <w:rPr>
                <w:rFonts w:hint="default" w:ascii="Times New Roman" w:hAnsi="Times New Roman" w:cs="Times New Roman" w:eastAsiaTheme="minorEastAsia"/>
                <w:b/>
                <w:bCs/>
                <w:snapToGrid w:val="0"/>
                <w:color w:val="auto"/>
                <w:spacing w:val="-16"/>
                <w:kern w:val="21"/>
                <w:sz w:val="24"/>
                <w:szCs w:val="24"/>
                <w:highlight w:val="none"/>
              </w:rPr>
              <w:fldChar w:fldCharType="end"/>
            </w:r>
          </w:p>
        </w:tc>
        <w:tc>
          <w:tcPr>
            <w:tcW w:w="1656" w:type="dxa"/>
            <w:noWrap w:val="0"/>
            <w:tcMar>
              <w:left w:w="28" w:type="dxa"/>
              <w:right w:w="28" w:type="dxa"/>
            </w:tcMar>
            <w:vAlign w:val="center"/>
          </w:tcPr>
          <w:p w14:paraId="025BE0B7">
            <w:pPr>
              <w:pStyle w:val="31"/>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变化量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7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⑦</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r>
      <w:tr w14:paraId="169E0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340" w:type="dxa"/>
            <w:vMerge w:val="restart"/>
            <w:noWrap w:val="0"/>
            <w:vAlign w:val="center"/>
          </w:tcPr>
          <w:p w14:paraId="41675D24">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废气</w:t>
            </w:r>
          </w:p>
        </w:tc>
        <w:tc>
          <w:tcPr>
            <w:tcW w:w="1732" w:type="dxa"/>
            <w:noWrap w:val="0"/>
            <w:vAlign w:val="center"/>
          </w:tcPr>
          <w:p w14:paraId="5319680D">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颗粒物</w:t>
            </w:r>
          </w:p>
        </w:tc>
        <w:tc>
          <w:tcPr>
            <w:tcW w:w="1595" w:type="dxa"/>
            <w:noWrap w:val="0"/>
            <w:vAlign w:val="center"/>
          </w:tcPr>
          <w:p w14:paraId="1B729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2BEFC0A1">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76B58B47">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5646AB28">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rPr>
              <w:t>0.217t/a</w:t>
            </w:r>
          </w:p>
        </w:tc>
        <w:tc>
          <w:tcPr>
            <w:tcW w:w="1355" w:type="dxa"/>
            <w:noWrap w:val="0"/>
            <w:vAlign w:val="center"/>
          </w:tcPr>
          <w:p w14:paraId="602A165F">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72E8737F">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0.217t/a</w:t>
            </w:r>
          </w:p>
        </w:tc>
        <w:tc>
          <w:tcPr>
            <w:tcW w:w="1656" w:type="dxa"/>
            <w:noWrap w:val="0"/>
            <w:vAlign w:val="center"/>
          </w:tcPr>
          <w:p w14:paraId="6399986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+0.217t/a</w:t>
            </w:r>
          </w:p>
        </w:tc>
      </w:tr>
      <w:tr w14:paraId="02649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340" w:type="dxa"/>
            <w:vMerge w:val="continue"/>
            <w:noWrap w:val="0"/>
            <w:vAlign w:val="center"/>
          </w:tcPr>
          <w:p w14:paraId="4AEB67EC">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14:paraId="198F77C4">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非甲烷总烃</w:t>
            </w:r>
          </w:p>
        </w:tc>
        <w:tc>
          <w:tcPr>
            <w:tcW w:w="1595" w:type="dxa"/>
            <w:noWrap w:val="0"/>
            <w:vAlign w:val="center"/>
          </w:tcPr>
          <w:p w14:paraId="773CB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7630CD0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3BDD9BE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646B4A9E">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0.317t/a</w:t>
            </w:r>
          </w:p>
        </w:tc>
        <w:tc>
          <w:tcPr>
            <w:tcW w:w="1355" w:type="dxa"/>
            <w:noWrap w:val="0"/>
            <w:vAlign w:val="center"/>
          </w:tcPr>
          <w:p w14:paraId="0B382D9E">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21BCA03F">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0.317t/a</w:t>
            </w:r>
          </w:p>
        </w:tc>
        <w:tc>
          <w:tcPr>
            <w:tcW w:w="1656" w:type="dxa"/>
            <w:noWrap w:val="0"/>
            <w:vAlign w:val="center"/>
          </w:tcPr>
          <w:p w14:paraId="549948A5">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+0.317t/a</w:t>
            </w:r>
          </w:p>
        </w:tc>
      </w:tr>
      <w:tr w14:paraId="3885A1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340" w:type="dxa"/>
            <w:vMerge w:val="continue"/>
            <w:noWrap w:val="0"/>
            <w:vAlign w:val="center"/>
          </w:tcPr>
          <w:p w14:paraId="2E271C67">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14:paraId="39ED51B2">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bidi="ar-SA"/>
              </w:rPr>
              <w:t>甲苯与二甲苯合计</w:t>
            </w:r>
          </w:p>
        </w:tc>
        <w:tc>
          <w:tcPr>
            <w:tcW w:w="1595" w:type="dxa"/>
            <w:noWrap w:val="0"/>
            <w:vAlign w:val="center"/>
          </w:tcPr>
          <w:p w14:paraId="611C9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b w:val="0"/>
                <w:bCs w:val="0"/>
                <w:smallCaps w:val="0"/>
                <w:color w:val="auto"/>
                <w:spacing w:val="0"/>
                <w:position w:val="0"/>
                <w:sz w:val="24"/>
                <w:szCs w:val="24"/>
                <w:highlight w:val="none"/>
                <w:vertAlign w:val="baseli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54CA56E9">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7C9A4440">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0B5B66BF">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0.175t/a</w:t>
            </w:r>
          </w:p>
        </w:tc>
        <w:tc>
          <w:tcPr>
            <w:tcW w:w="1355" w:type="dxa"/>
            <w:noWrap w:val="0"/>
            <w:vAlign w:val="center"/>
          </w:tcPr>
          <w:p w14:paraId="5D74D90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3E6D8CC4">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0.175t/a</w:t>
            </w:r>
          </w:p>
        </w:tc>
        <w:tc>
          <w:tcPr>
            <w:tcW w:w="1656" w:type="dxa"/>
            <w:noWrap w:val="0"/>
            <w:vAlign w:val="center"/>
          </w:tcPr>
          <w:p w14:paraId="5A788A4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+0.175t/a</w:t>
            </w:r>
          </w:p>
        </w:tc>
      </w:tr>
      <w:tr w14:paraId="59BBE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40" w:type="dxa"/>
            <w:vMerge w:val="continue"/>
            <w:noWrap w:val="0"/>
            <w:vAlign w:val="center"/>
          </w:tcPr>
          <w:p w14:paraId="055FA6CA">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14:paraId="455F723B">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油烟</w:t>
            </w:r>
          </w:p>
        </w:tc>
        <w:tc>
          <w:tcPr>
            <w:tcW w:w="1595" w:type="dxa"/>
            <w:noWrap w:val="0"/>
            <w:vAlign w:val="center"/>
          </w:tcPr>
          <w:p w14:paraId="22158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w:t>
            </w:r>
          </w:p>
        </w:tc>
        <w:tc>
          <w:tcPr>
            <w:tcW w:w="1254" w:type="dxa"/>
            <w:noWrap w:val="0"/>
            <w:vAlign w:val="center"/>
          </w:tcPr>
          <w:p w14:paraId="44D9D8F4">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561672B0">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7EF772E8">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0.009t/a</w:t>
            </w:r>
          </w:p>
        </w:tc>
        <w:tc>
          <w:tcPr>
            <w:tcW w:w="1355" w:type="dxa"/>
            <w:noWrap w:val="0"/>
            <w:vAlign w:val="center"/>
          </w:tcPr>
          <w:p w14:paraId="795A72BB">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74534FB2">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0.009t/a</w:t>
            </w:r>
          </w:p>
        </w:tc>
        <w:tc>
          <w:tcPr>
            <w:tcW w:w="1656" w:type="dxa"/>
            <w:noWrap w:val="0"/>
            <w:vAlign w:val="center"/>
          </w:tcPr>
          <w:p w14:paraId="4C21D1FB">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+0.009t/a</w:t>
            </w:r>
          </w:p>
        </w:tc>
      </w:tr>
      <w:tr w14:paraId="7F35E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40" w:type="dxa"/>
            <w:vMerge w:val="restart"/>
            <w:noWrap w:val="0"/>
            <w:vAlign w:val="center"/>
          </w:tcPr>
          <w:p w14:paraId="7B1115BB">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废水</w:t>
            </w:r>
          </w:p>
        </w:tc>
        <w:tc>
          <w:tcPr>
            <w:tcW w:w="1732" w:type="dxa"/>
            <w:noWrap w:val="0"/>
            <w:vAlign w:val="center"/>
          </w:tcPr>
          <w:p w14:paraId="4EC9443E">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COD</w:t>
            </w:r>
          </w:p>
        </w:tc>
        <w:tc>
          <w:tcPr>
            <w:tcW w:w="1595" w:type="dxa"/>
            <w:noWrap w:val="0"/>
            <w:vAlign w:val="center"/>
          </w:tcPr>
          <w:p w14:paraId="57CCE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0.154</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254" w:type="dxa"/>
            <w:noWrap w:val="0"/>
            <w:vAlign w:val="center"/>
          </w:tcPr>
          <w:p w14:paraId="6F82EB5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228E22F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6EB1CCA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0.960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355" w:type="dxa"/>
            <w:noWrap w:val="0"/>
            <w:vAlign w:val="center"/>
          </w:tcPr>
          <w:p w14:paraId="3B0F5E2E">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7CC05471">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0.960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656" w:type="dxa"/>
            <w:noWrap w:val="0"/>
            <w:vAlign w:val="center"/>
          </w:tcPr>
          <w:p w14:paraId="51BFEDC5">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+0.806</w:t>
            </w:r>
            <w:r>
              <w:rPr>
                <w:rFonts w:hint="default" w:ascii="Times New Roman" w:hAnsi="Times New Roman" w:cs="Times New Roman" w:eastAsiaTheme="minorEastAsia"/>
                <w:snapToGrid w:val="0"/>
                <w:color w:val="auto"/>
                <w:kern w:val="21"/>
                <w:sz w:val="24"/>
                <w:szCs w:val="24"/>
                <w:highlight w:val="none"/>
                <w:lang w:val="en-US" w:eastAsia="zh-CN"/>
              </w:rPr>
              <w:t>t/a</w:t>
            </w:r>
          </w:p>
        </w:tc>
      </w:tr>
      <w:tr w14:paraId="13A65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40" w:type="dxa"/>
            <w:vMerge w:val="continue"/>
            <w:noWrap w:val="0"/>
            <w:vAlign w:val="center"/>
          </w:tcPr>
          <w:p w14:paraId="386A116A">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1A3D1D17">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ascii="Times New Roman" w:hAnsi="Times New Roman" w:eastAsia="宋体" w:cs="Times New Roman"/>
                <w:color w:val="auto"/>
                <w:spacing w:val="0"/>
                <w:position w:val="0"/>
                <w:sz w:val="24"/>
                <w:szCs w:val="24"/>
                <w:highlight w:val="none"/>
              </w:rPr>
              <w:t>BOD</w:t>
            </w:r>
            <w:r>
              <w:rPr>
                <w:rFonts w:ascii="Times New Roman" w:hAnsi="Times New Roman" w:eastAsia="宋体" w:cs="Times New Roman"/>
                <w:color w:val="auto"/>
                <w:spacing w:val="0"/>
                <w:position w:val="0"/>
                <w:sz w:val="24"/>
                <w:szCs w:val="24"/>
                <w:highlight w:val="none"/>
                <w:vertAlign w:val="subscript"/>
              </w:rPr>
              <w:t>5</w:t>
            </w:r>
          </w:p>
        </w:tc>
        <w:tc>
          <w:tcPr>
            <w:tcW w:w="1595" w:type="dxa"/>
            <w:noWrap w:val="0"/>
            <w:vAlign w:val="center"/>
          </w:tcPr>
          <w:p w14:paraId="22AB34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0.037</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254" w:type="dxa"/>
            <w:noWrap w:val="0"/>
            <w:vAlign w:val="center"/>
          </w:tcPr>
          <w:p w14:paraId="1E7E03E0">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41608D69">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02F15720">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0.640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355" w:type="dxa"/>
            <w:noWrap w:val="0"/>
            <w:vAlign w:val="center"/>
          </w:tcPr>
          <w:p w14:paraId="14506C2D">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1DD29B78">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0.640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656" w:type="dxa"/>
            <w:noWrap w:val="0"/>
            <w:vAlign w:val="center"/>
          </w:tcPr>
          <w:p w14:paraId="1F7C90FF">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+0.603</w:t>
            </w:r>
            <w:r>
              <w:rPr>
                <w:rFonts w:hint="default" w:ascii="Times New Roman" w:hAnsi="Times New Roman" w:cs="Times New Roman" w:eastAsiaTheme="minorEastAsia"/>
                <w:snapToGrid w:val="0"/>
                <w:color w:val="auto"/>
                <w:kern w:val="21"/>
                <w:sz w:val="24"/>
                <w:szCs w:val="24"/>
                <w:highlight w:val="none"/>
                <w:lang w:val="en-US" w:eastAsia="zh-CN"/>
              </w:rPr>
              <w:t>t/a</w:t>
            </w:r>
          </w:p>
        </w:tc>
      </w:tr>
      <w:tr w14:paraId="3C8A4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340" w:type="dxa"/>
            <w:vMerge w:val="continue"/>
            <w:noWrap w:val="0"/>
            <w:vAlign w:val="center"/>
          </w:tcPr>
          <w:p w14:paraId="74C64C88">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541A09B5">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氨氮</w:t>
            </w:r>
          </w:p>
        </w:tc>
        <w:tc>
          <w:tcPr>
            <w:tcW w:w="1595" w:type="dxa"/>
            <w:noWrap w:val="0"/>
            <w:vAlign w:val="center"/>
          </w:tcPr>
          <w:p w14:paraId="0E4859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0.004</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254" w:type="dxa"/>
            <w:noWrap w:val="0"/>
            <w:vAlign w:val="center"/>
          </w:tcPr>
          <w:p w14:paraId="5192E98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26A9BFDA">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27DC1F15">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0.080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355" w:type="dxa"/>
            <w:noWrap w:val="0"/>
            <w:vAlign w:val="center"/>
          </w:tcPr>
          <w:p w14:paraId="5E48863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0BDEE404">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0.080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656" w:type="dxa"/>
            <w:noWrap w:val="0"/>
            <w:vAlign w:val="center"/>
          </w:tcPr>
          <w:p w14:paraId="08CA0ABB">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+0.076</w:t>
            </w:r>
            <w:r>
              <w:rPr>
                <w:rFonts w:hint="default" w:ascii="Times New Roman" w:hAnsi="Times New Roman" w:cs="Times New Roman" w:eastAsiaTheme="minorEastAsia"/>
                <w:snapToGrid w:val="0"/>
                <w:color w:val="auto"/>
                <w:kern w:val="21"/>
                <w:sz w:val="24"/>
                <w:szCs w:val="24"/>
                <w:highlight w:val="none"/>
                <w:lang w:val="en-US" w:eastAsia="zh-CN"/>
              </w:rPr>
              <w:t>t/a</w:t>
            </w:r>
          </w:p>
        </w:tc>
      </w:tr>
      <w:tr w14:paraId="731AA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340" w:type="dxa"/>
            <w:vMerge w:val="continue"/>
            <w:noWrap w:val="0"/>
            <w:vAlign w:val="center"/>
          </w:tcPr>
          <w:p w14:paraId="3A2054E9">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2A6227D6">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olor w:val="auto"/>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SS</w:t>
            </w:r>
          </w:p>
        </w:tc>
        <w:tc>
          <w:tcPr>
            <w:tcW w:w="1595" w:type="dxa"/>
            <w:noWrap w:val="0"/>
            <w:vAlign w:val="center"/>
          </w:tcPr>
          <w:p w14:paraId="111FF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eastAsia" w:cs="Times New Roman"/>
                <w:i w:val="0"/>
                <w:iCs w:val="0"/>
                <w:color w:val="auto"/>
                <w:kern w:val="0"/>
                <w:sz w:val="24"/>
                <w:szCs w:val="24"/>
                <w:highlight w:val="none"/>
                <w:u w:val="none"/>
                <w:lang w:val="en-US" w:eastAsia="zh-CN" w:bidi="ar"/>
              </w:rPr>
              <w:t>0.110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254" w:type="dxa"/>
            <w:noWrap w:val="0"/>
            <w:vAlign w:val="center"/>
          </w:tcPr>
          <w:p w14:paraId="243F5CAB">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4B23BF77">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651215A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0.640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355" w:type="dxa"/>
            <w:noWrap w:val="0"/>
            <w:vAlign w:val="center"/>
          </w:tcPr>
          <w:p w14:paraId="3255FA92">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1647B70A">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i w:val="0"/>
                <w:iCs w:val="0"/>
                <w:color w:val="auto"/>
                <w:kern w:val="0"/>
                <w:sz w:val="24"/>
                <w:szCs w:val="24"/>
                <w:highlight w:val="none"/>
                <w:u w:val="none"/>
                <w:lang w:val="en-US" w:eastAsia="zh-CN" w:bidi="ar"/>
              </w:rPr>
            </w:pPr>
            <w:r>
              <w:rPr>
                <w:rFonts w:hint="eastAsia" w:cs="Times New Roman" w:eastAsiaTheme="minorEastAsia"/>
                <w:snapToGrid w:val="0"/>
                <w:color w:val="auto"/>
                <w:kern w:val="21"/>
                <w:sz w:val="24"/>
                <w:szCs w:val="24"/>
                <w:highlight w:val="none"/>
                <w:lang w:val="en-US" w:eastAsia="zh-CN"/>
              </w:rPr>
              <w:t>0.640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656" w:type="dxa"/>
            <w:noWrap w:val="0"/>
            <w:vAlign w:val="center"/>
          </w:tcPr>
          <w:p w14:paraId="5671F8FE">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+0.53</w:t>
            </w:r>
            <w:r>
              <w:rPr>
                <w:rFonts w:hint="default" w:ascii="Times New Roman" w:hAnsi="Times New Roman" w:cs="Times New Roman" w:eastAsiaTheme="minorEastAsia"/>
                <w:snapToGrid w:val="0"/>
                <w:color w:val="auto"/>
                <w:kern w:val="21"/>
                <w:sz w:val="24"/>
                <w:szCs w:val="24"/>
                <w:highlight w:val="none"/>
                <w:lang w:val="en-US" w:eastAsia="zh-CN"/>
              </w:rPr>
              <w:t>t/a</w:t>
            </w:r>
          </w:p>
        </w:tc>
      </w:tr>
      <w:tr w14:paraId="62502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340" w:type="dxa"/>
            <w:vMerge w:val="continue"/>
            <w:noWrap w:val="0"/>
            <w:vAlign w:val="center"/>
          </w:tcPr>
          <w:p w14:paraId="070C89DD">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417F2E8A">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olor w:val="auto"/>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总氮</w:t>
            </w:r>
          </w:p>
        </w:tc>
        <w:tc>
          <w:tcPr>
            <w:tcW w:w="1595" w:type="dxa"/>
            <w:noWrap w:val="0"/>
            <w:vAlign w:val="center"/>
          </w:tcPr>
          <w:p w14:paraId="340C97AA">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i w:val="0"/>
                <w:iCs w:val="0"/>
                <w:color w:val="auto"/>
                <w:kern w:val="0"/>
                <w:sz w:val="24"/>
                <w:szCs w:val="24"/>
                <w:highlight w:val="none"/>
                <w:u w:val="none"/>
                <w:lang w:val="en-US" w:eastAsia="zh-CN" w:bidi="ar"/>
              </w:rPr>
            </w:pPr>
            <w:r>
              <w:rPr>
                <w:rFonts w:hint="eastAsia" w:ascii="宋体" w:hAnsi="宋体" w:eastAsia="宋体" w:cs="宋体"/>
                <w:snapToGrid w:val="0"/>
                <w:color w:val="auto"/>
                <w:kern w:val="21"/>
                <w:sz w:val="24"/>
                <w:szCs w:val="24"/>
                <w:highlight w:val="none"/>
                <w:lang w:val="en-US" w:eastAsia="zh-CN" w:bidi="ar-SA"/>
              </w:rPr>
              <w:t>－</w:t>
            </w:r>
          </w:p>
        </w:tc>
        <w:tc>
          <w:tcPr>
            <w:tcW w:w="1254" w:type="dxa"/>
            <w:noWrap w:val="0"/>
            <w:vAlign w:val="center"/>
          </w:tcPr>
          <w:p w14:paraId="7D4DCBD0">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0253E02B">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40EA082A">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0.096</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355" w:type="dxa"/>
            <w:noWrap w:val="0"/>
            <w:vAlign w:val="center"/>
          </w:tcPr>
          <w:p w14:paraId="50AEE7D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4AECB6B2">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i w:val="0"/>
                <w:iCs w:val="0"/>
                <w:color w:val="auto"/>
                <w:kern w:val="0"/>
                <w:sz w:val="24"/>
                <w:szCs w:val="24"/>
                <w:highlight w:val="none"/>
                <w:u w:val="none"/>
                <w:lang w:val="en-US" w:eastAsia="zh-CN" w:bidi="ar"/>
              </w:rPr>
            </w:pPr>
            <w:r>
              <w:rPr>
                <w:rFonts w:hint="eastAsia" w:cs="Times New Roman" w:eastAsiaTheme="minorEastAsia"/>
                <w:snapToGrid w:val="0"/>
                <w:color w:val="auto"/>
                <w:kern w:val="21"/>
                <w:sz w:val="24"/>
                <w:szCs w:val="24"/>
                <w:highlight w:val="none"/>
                <w:lang w:val="en-US" w:eastAsia="zh-CN"/>
              </w:rPr>
              <w:t>0.096</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656" w:type="dxa"/>
            <w:noWrap w:val="0"/>
            <w:vAlign w:val="center"/>
          </w:tcPr>
          <w:p w14:paraId="3519BA82">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+0.096</w:t>
            </w:r>
            <w:r>
              <w:rPr>
                <w:rFonts w:hint="default" w:ascii="Times New Roman" w:hAnsi="Times New Roman" w:cs="Times New Roman" w:eastAsiaTheme="minorEastAsia"/>
                <w:snapToGrid w:val="0"/>
                <w:color w:val="auto"/>
                <w:kern w:val="21"/>
                <w:sz w:val="24"/>
                <w:szCs w:val="24"/>
                <w:highlight w:val="none"/>
                <w:lang w:val="en-US" w:eastAsia="zh-CN"/>
              </w:rPr>
              <w:t>t/a</w:t>
            </w:r>
          </w:p>
        </w:tc>
      </w:tr>
      <w:tr w14:paraId="2CEF7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0" w:type="dxa"/>
            <w:vMerge w:val="continue"/>
            <w:noWrap w:val="0"/>
            <w:vAlign w:val="center"/>
          </w:tcPr>
          <w:p w14:paraId="36EADE3D">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5E9D73CD">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olor w:val="auto"/>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总磷</w:t>
            </w:r>
          </w:p>
        </w:tc>
        <w:tc>
          <w:tcPr>
            <w:tcW w:w="1595" w:type="dxa"/>
            <w:noWrap w:val="0"/>
            <w:vAlign w:val="center"/>
          </w:tcPr>
          <w:p w14:paraId="31510C99">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i w:val="0"/>
                <w:iCs w:val="0"/>
                <w:color w:val="auto"/>
                <w:kern w:val="0"/>
                <w:sz w:val="24"/>
                <w:szCs w:val="24"/>
                <w:highlight w:val="none"/>
                <w:u w:val="none"/>
                <w:lang w:val="en-US" w:eastAsia="zh-CN" w:bidi="ar"/>
              </w:rPr>
            </w:pPr>
            <w:r>
              <w:rPr>
                <w:rFonts w:hint="eastAsia" w:ascii="宋体" w:hAnsi="宋体" w:eastAsia="宋体" w:cs="宋体"/>
                <w:snapToGrid w:val="0"/>
                <w:color w:val="auto"/>
                <w:kern w:val="21"/>
                <w:sz w:val="24"/>
                <w:szCs w:val="24"/>
                <w:highlight w:val="none"/>
                <w:lang w:val="en-US" w:eastAsia="zh-CN" w:bidi="ar-SA"/>
              </w:rPr>
              <w:t>－</w:t>
            </w:r>
          </w:p>
        </w:tc>
        <w:tc>
          <w:tcPr>
            <w:tcW w:w="1254" w:type="dxa"/>
            <w:noWrap w:val="0"/>
            <w:vAlign w:val="center"/>
          </w:tcPr>
          <w:p w14:paraId="60162884">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21FD7137">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5AA0AB3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0.006</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355" w:type="dxa"/>
            <w:noWrap w:val="0"/>
            <w:vAlign w:val="center"/>
          </w:tcPr>
          <w:p w14:paraId="1FC9E8FE">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45BC0661">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i w:val="0"/>
                <w:iCs w:val="0"/>
                <w:color w:val="auto"/>
                <w:kern w:val="0"/>
                <w:sz w:val="24"/>
                <w:szCs w:val="24"/>
                <w:highlight w:val="none"/>
                <w:u w:val="none"/>
                <w:lang w:val="en-US" w:eastAsia="zh-CN" w:bidi="ar"/>
              </w:rPr>
            </w:pPr>
            <w:r>
              <w:rPr>
                <w:rFonts w:hint="eastAsia" w:cs="Times New Roman" w:eastAsiaTheme="minorEastAsia"/>
                <w:snapToGrid w:val="0"/>
                <w:color w:val="auto"/>
                <w:kern w:val="21"/>
                <w:sz w:val="24"/>
                <w:szCs w:val="24"/>
                <w:highlight w:val="none"/>
                <w:lang w:val="en-US" w:eastAsia="zh-CN"/>
              </w:rPr>
              <w:t>0.006</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656" w:type="dxa"/>
            <w:noWrap w:val="0"/>
            <w:vAlign w:val="center"/>
          </w:tcPr>
          <w:p w14:paraId="5AF18E37">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+0.006</w:t>
            </w:r>
            <w:r>
              <w:rPr>
                <w:rFonts w:hint="default" w:ascii="Times New Roman" w:hAnsi="Times New Roman" w:cs="Times New Roman" w:eastAsiaTheme="minorEastAsia"/>
                <w:snapToGrid w:val="0"/>
                <w:color w:val="auto"/>
                <w:kern w:val="21"/>
                <w:sz w:val="24"/>
                <w:szCs w:val="24"/>
                <w:highlight w:val="none"/>
                <w:lang w:val="en-US" w:eastAsia="zh-CN"/>
              </w:rPr>
              <w:t>t/a</w:t>
            </w:r>
          </w:p>
        </w:tc>
      </w:tr>
      <w:tr w14:paraId="63933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40" w:type="dxa"/>
            <w:vMerge w:val="continue"/>
            <w:noWrap w:val="0"/>
            <w:vAlign w:val="center"/>
          </w:tcPr>
          <w:p w14:paraId="2C3FC701">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7835A23F">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动植物油</w:t>
            </w:r>
          </w:p>
        </w:tc>
        <w:tc>
          <w:tcPr>
            <w:tcW w:w="1595" w:type="dxa"/>
            <w:noWrap w:val="0"/>
            <w:vAlign w:val="center"/>
          </w:tcPr>
          <w:p w14:paraId="0188538D">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254" w:type="dxa"/>
            <w:noWrap w:val="0"/>
            <w:vAlign w:val="center"/>
          </w:tcPr>
          <w:p w14:paraId="7D6FA9E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47944C59">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6A98F271">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0.640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355" w:type="dxa"/>
            <w:noWrap w:val="0"/>
            <w:vAlign w:val="center"/>
          </w:tcPr>
          <w:p w14:paraId="182A35D4">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c>
          <w:tcPr>
            <w:tcW w:w="1542" w:type="dxa"/>
            <w:noWrap w:val="0"/>
            <w:vAlign w:val="center"/>
          </w:tcPr>
          <w:p w14:paraId="7FCE02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0.640</w:t>
            </w:r>
            <w:r>
              <w:rPr>
                <w:rFonts w:hint="default" w:ascii="Times New Roman" w:hAnsi="Times New Roman" w:cs="Times New Roman" w:eastAsiaTheme="minorEastAsia"/>
                <w:snapToGrid w:val="0"/>
                <w:color w:val="auto"/>
                <w:kern w:val="21"/>
                <w:sz w:val="24"/>
                <w:szCs w:val="24"/>
                <w:highlight w:val="none"/>
                <w:lang w:val="en-US" w:eastAsia="zh-CN"/>
              </w:rPr>
              <w:t>t/a</w:t>
            </w:r>
          </w:p>
        </w:tc>
        <w:tc>
          <w:tcPr>
            <w:tcW w:w="1656" w:type="dxa"/>
            <w:noWrap w:val="0"/>
            <w:vAlign w:val="center"/>
          </w:tcPr>
          <w:p w14:paraId="59D9F19E">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+0.640</w:t>
            </w:r>
            <w:r>
              <w:rPr>
                <w:rFonts w:hint="default" w:ascii="Times New Roman" w:hAnsi="Times New Roman" w:cs="Times New Roman" w:eastAsiaTheme="minorEastAsia"/>
                <w:snapToGrid w:val="0"/>
                <w:color w:val="auto"/>
                <w:kern w:val="21"/>
                <w:sz w:val="24"/>
                <w:szCs w:val="24"/>
                <w:highlight w:val="none"/>
                <w:lang w:val="en-US" w:eastAsia="zh-CN"/>
              </w:rPr>
              <w:t>t/a</w:t>
            </w:r>
          </w:p>
        </w:tc>
      </w:tr>
      <w:tr w14:paraId="4B176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40" w:type="dxa"/>
            <w:vMerge w:val="restart"/>
            <w:noWrap w:val="0"/>
            <w:vAlign w:val="center"/>
          </w:tcPr>
          <w:p w14:paraId="4BE81AFC">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一般工业</w:t>
            </w:r>
          </w:p>
          <w:p w14:paraId="62F21D17">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固体废物</w:t>
            </w:r>
          </w:p>
        </w:tc>
        <w:tc>
          <w:tcPr>
            <w:tcW w:w="1732" w:type="dxa"/>
            <w:noWrap w:val="0"/>
            <w:vAlign w:val="center"/>
          </w:tcPr>
          <w:p w14:paraId="75D838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除尘灰</w:t>
            </w:r>
          </w:p>
        </w:tc>
        <w:tc>
          <w:tcPr>
            <w:tcW w:w="1595" w:type="dxa"/>
            <w:noWrap w:val="0"/>
            <w:vAlign w:val="center"/>
          </w:tcPr>
          <w:p w14:paraId="652E45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kern w:val="2"/>
                <w:sz w:val="24"/>
                <w:szCs w:val="24"/>
                <w:highlight w:val="none"/>
                <w:shd w:val="clear" w:color="auto" w:fill="auto"/>
                <w:lang w:val="en-US" w:eastAsia="zh-CN" w:bidi="ar-SA"/>
              </w:rPr>
              <w:t>0</w:t>
            </w:r>
          </w:p>
        </w:tc>
        <w:tc>
          <w:tcPr>
            <w:tcW w:w="1254" w:type="dxa"/>
            <w:noWrap w:val="0"/>
            <w:vAlign w:val="center"/>
          </w:tcPr>
          <w:p w14:paraId="204FD37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3BAB1758">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73034A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0.749t/a</w:t>
            </w:r>
          </w:p>
        </w:tc>
        <w:tc>
          <w:tcPr>
            <w:tcW w:w="1355" w:type="dxa"/>
            <w:noWrap w:val="0"/>
            <w:vAlign w:val="center"/>
          </w:tcPr>
          <w:p w14:paraId="6D6F72D6">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bidi="ar-SA"/>
              </w:rPr>
              <w:t>0</w:t>
            </w:r>
          </w:p>
        </w:tc>
        <w:tc>
          <w:tcPr>
            <w:tcW w:w="1542" w:type="dxa"/>
            <w:noWrap w:val="0"/>
            <w:vAlign w:val="center"/>
          </w:tcPr>
          <w:p w14:paraId="0E010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0.749t/a</w:t>
            </w:r>
          </w:p>
        </w:tc>
        <w:tc>
          <w:tcPr>
            <w:tcW w:w="1656" w:type="dxa"/>
            <w:noWrap w:val="0"/>
            <w:vAlign w:val="center"/>
          </w:tcPr>
          <w:p w14:paraId="4CA604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color w:val="auto"/>
                <w:sz w:val="24"/>
                <w:szCs w:val="24"/>
                <w:highlight w:val="none"/>
                <w:shd w:val="clear" w:color="auto" w:fill="auto"/>
                <w:lang w:val="en-US" w:eastAsia="zh-CN"/>
              </w:rPr>
              <w:t>+0.749t/a</w:t>
            </w:r>
          </w:p>
        </w:tc>
      </w:tr>
      <w:tr w14:paraId="111FE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40" w:type="dxa"/>
            <w:vMerge w:val="continue"/>
            <w:noWrap w:val="0"/>
            <w:vAlign w:val="center"/>
          </w:tcPr>
          <w:p w14:paraId="7AA98F56">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76391C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废布袋</w:t>
            </w:r>
          </w:p>
        </w:tc>
        <w:tc>
          <w:tcPr>
            <w:tcW w:w="1595" w:type="dxa"/>
            <w:noWrap w:val="0"/>
            <w:vAlign w:val="center"/>
          </w:tcPr>
          <w:p w14:paraId="1E53B0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w:t>
            </w:r>
          </w:p>
        </w:tc>
        <w:tc>
          <w:tcPr>
            <w:tcW w:w="1254" w:type="dxa"/>
            <w:noWrap w:val="0"/>
            <w:vAlign w:val="center"/>
          </w:tcPr>
          <w:p w14:paraId="0D0DCCC9">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371B7D33">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33F587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color w:val="auto"/>
                <w:sz w:val="24"/>
                <w:szCs w:val="24"/>
                <w:highlight w:val="none"/>
                <w:shd w:val="clear" w:color="auto" w:fill="auto"/>
                <w:lang w:val="en-US" w:eastAsia="zh-CN"/>
              </w:rPr>
              <w:t>0.1t/a</w:t>
            </w:r>
          </w:p>
        </w:tc>
        <w:tc>
          <w:tcPr>
            <w:tcW w:w="1355" w:type="dxa"/>
            <w:noWrap w:val="0"/>
            <w:vAlign w:val="center"/>
          </w:tcPr>
          <w:p w14:paraId="16D5BD8C">
            <w:pPr>
              <w:pStyle w:val="31"/>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c>
          <w:tcPr>
            <w:tcW w:w="1542" w:type="dxa"/>
            <w:noWrap w:val="0"/>
            <w:vAlign w:val="center"/>
          </w:tcPr>
          <w:p w14:paraId="109CFD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4"/>
                <w:szCs w:val="24"/>
                <w:highlight w:val="none"/>
                <w:shd w:val="clear" w:color="auto" w:fill="auto"/>
                <w:lang w:val="en-US" w:eastAsia="zh-CN"/>
              </w:rPr>
            </w:pPr>
            <w:r>
              <w:rPr>
                <w:rFonts w:hint="eastAsia" w:ascii="Times New Roman" w:hAnsi="Times New Roman" w:cs="Times New Roman"/>
                <w:color w:val="auto"/>
                <w:sz w:val="24"/>
                <w:szCs w:val="24"/>
                <w:highlight w:val="none"/>
                <w:shd w:val="clear" w:color="auto" w:fill="auto"/>
                <w:lang w:val="en-US" w:eastAsia="zh-CN"/>
              </w:rPr>
              <w:t>0.1t/a</w:t>
            </w:r>
          </w:p>
        </w:tc>
        <w:tc>
          <w:tcPr>
            <w:tcW w:w="1656" w:type="dxa"/>
            <w:noWrap w:val="0"/>
            <w:vAlign w:val="center"/>
          </w:tcPr>
          <w:p w14:paraId="04586B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color w:val="auto"/>
                <w:sz w:val="24"/>
                <w:szCs w:val="24"/>
                <w:highlight w:val="none"/>
                <w:shd w:val="clear" w:color="auto" w:fill="auto"/>
                <w:lang w:val="en-US" w:eastAsia="zh-CN"/>
              </w:rPr>
              <w:t>+0.1t/a</w:t>
            </w:r>
          </w:p>
        </w:tc>
      </w:tr>
      <w:tr w14:paraId="3A40F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40" w:type="dxa"/>
            <w:vMerge w:val="continue"/>
            <w:noWrap w:val="0"/>
            <w:vAlign w:val="center"/>
          </w:tcPr>
          <w:p w14:paraId="06C287E1">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02ADF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废砂纸</w:t>
            </w:r>
          </w:p>
        </w:tc>
        <w:tc>
          <w:tcPr>
            <w:tcW w:w="1595" w:type="dxa"/>
            <w:noWrap w:val="0"/>
            <w:vAlign w:val="center"/>
          </w:tcPr>
          <w:p w14:paraId="6B10539F">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w:t>
            </w:r>
          </w:p>
        </w:tc>
        <w:tc>
          <w:tcPr>
            <w:tcW w:w="1254" w:type="dxa"/>
            <w:noWrap w:val="0"/>
            <w:vAlign w:val="center"/>
          </w:tcPr>
          <w:p w14:paraId="774AD001">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41597784">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0FDF78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cs="Times New Roman"/>
                <w:color w:val="auto"/>
                <w:sz w:val="24"/>
                <w:szCs w:val="24"/>
                <w:highlight w:val="none"/>
                <w:shd w:val="clear" w:color="auto" w:fill="auto"/>
                <w:lang w:val="en-US" w:eastAsia="zh-CN"/>
              </w:rPr>
              <w:t>0.1t/a</w:t>
            </w:r>
          </w:p>
        </w:tc>
        <w:tc>
          <w:tcPr>
            <w:tcW w:w="1355" w:type="dxa"/>
            <w:noWrap w:val="0"/>
            <w:vAlign w:val="center"/>
          </w:tcPr>
          <w:p w14:paraId="5381775E">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bidi="ar-SA"/>
              </w:rPr>
              <w:t>0</w:t>
            </w:r>
          </w:p>
        </w:tc>
        <w:tc>
          <w:tcPr>
            <w:tcW w:w="1542" w:type="dxa"/>
            <w:noWrap w:val="0"/>
            <w:vAlign w:val="center"/>
          </w:tcPr>
          <w:p w14:paraId="583903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0.1t/a</w:t>
            </w:r>
          </w:p>
        </w:tc>
        <w:tc>
          <w:tcPr>
            <w:tcW w:w="1656" w:type="dxa"/>
            <w:noWrap w:val="0"/>
            <w:vAlign w:val="center"/>
          </w:tcPr>
          <w:p w14:paraId="76D0B1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color w:val="auto"/>
                <w:sz w:val="24"/>
                <w:szCs w:val="24"/>
                <w:highlight w:val="none"/>
                <w:shd w:val="clear" w:color="auto" w:fill="auto"/>
                <w:lang w:val="en-US" w:eastAsia="zh-CN"/>
              </w:rPr>
              <w:t>+0.1t/a</w:t>
            </w:r>
          </w:p>
        </w:tc>
      </w:tr>
      <w:tr w14:paraId="2D61A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40" w:type="dxa"/>
            <w:vMerge w:val="continue"/>
            <w:noWrap w:val="0"/>
            <w:vAlign w:val="center"/>
          </w:tcPr>
          <w:p w14:paraId="307016C1">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5D452FF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废包装物</w:t>
            </w:r>
          </w:p>
        </w:tc>
        <w:tc>
          <w:tcPr>
            <w:tcW w:w="1595" w:type="dxa"/>
            <w:noWrap w:val="0"/>
            <w:vAlign w:val="center"/>
          </w:tcPr>
          <w:p w14:paraId="0E6FDB39">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0.1t/a</w:t>
            </w:r>
          </w:p>
        </w:tc>
        <w:tc>
          <w:tcPr>
            <w:tcW w:w="1254" w:type="dxa"/>
            <w:noWrap w:val="0"/>
            <w:vAlign w:val="center"/>
          </w:tcPr>
          <w:p w14:paraId="39350DDD">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p>
        </w:tc>
        <w:tc>
          <w:tcPr>
            <w:tcW w:w="1814" w:type="dxa"/>
            <w:noWrap w:val="0"/>
            <w:vAlign w:val="center"/>
          </w:tcPr>
          <w:p w14:paraId="0FAB34FC">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p>
        </w:tc>
        <w:tc>
          <w:tcPr>
            <w:tcW w:w="1500" w:type="dxa"/>
            <w:noWrap w:val="0"/>
            <w:vAlign w:val="center"/>
          </w:tcPr>
          <w:p w14:paraId="4C371D00">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c>
          <w:tcPr>
            <w:tcW w:w="1355" w:type="dxa"/>
            <w:noWrap w:val="0"/>
            <w:vAlign w:val="center"/>
          </w:tcPr>
          <w:p w14:paraId="2EE1D5F1">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c>
          <w:tcPr>
            <w:tcW w:w="1542" w:type="dxa"/>
            <w:noWrap w:val="0"/>
            <w:vAlign w:val="center"/>
          </w:tcPr>
          <w:p w14:paraId="519F2598">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0.1t/a</w:t>
            </w:r>
          </w:p>
        </w:tc>
        <w:tc>
          <w:tcPr>
            <w:tcW w:w="1656" w:type="dxa"/>
            <w:noWrap w:val="0"/>
            <w:vAlign w:val="center"/>
          </w:tcPr>
          <w:p w14:paraId="637D64E9">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r>
      <w:tr w14:paraId="3E87A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40" w:type="dxa"/>
            <w:vMerge w:val="continue"/>
            <w:noWrap w:val="0"/>
            <w:vAlign w:val="center"/>
          </w:tcPr>
          <w:p w14:paraId="67D6B0EC">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06BEB2A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不合格零件</w:t>
            </w:r>
          </w:p>
        </w:tc>
        <w:tc>
          <w:tcPr>
            <w:tcW w:w="1595" w:type="dxa"/>
            <w:noWrap w:val="0"/>
            <w:vAlign w:val="center"/>
          </w:tcPr>
          <w:p w14:paraId="053BD8BC">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1t/a</w:t>
            </w:r>
          </w:p>
        </w:tc>
        <w:tc>
          <w:tcPr>
            <w:tcW w:w="1254" w:type="dxa"/>
            <w:noWrap w:val="0"/>
            <w:vAlign w:val="center"/>
          </w:tcPr>
          <w:p w14:paraId="300FDE88">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16E2A3AD">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7CED9C2F">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c>
          <w:tcPr>
            <w:tcW w:w="1355" w:type="dxa"/>
            <w:noWrap w:val="0"/>
            <w:vAlign w:val="center"/>
          </w:tcPr>
          <w:p w14:paraId="6682D1C1">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c>
          <w:tcPr>
            <w:tcW w:w="1542" w:type="dxa"/>
            <w:noWrap w:val="0"/>
            <w:vAlign w:val="center"/>
          </w:tcPr>
          <w:p w14:paraId="42605C41">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eastAsia" w:ascii="Times New Roman" w:hAnsi="Times New Roman"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1t/a</w:t>
            </w:r>
          </w:p>
        </w:tc>
        <w:tc>
          <w:tcPr>
            <w:tcW w:w="1656" w:type="dxa"/>
            <w:noWrap w:val="0"/>
            <w:vAlign w:val="center"/>
          </w:tcPr>
          <w:p w14:paraId="0EEC4316">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r>
      <w:tr w14:paraId="3FC97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40" w:type="dxa"/>
            <w:vMerge w:val="restart"/>
            <w:noWrap w:val="0"/>
            <w:vAlign w:val="center"/>
          </w:tcPr>
          <w:p w14:paraId="0D5B67CB">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职工生活</w:t>
            </w:r>
          </w:p>
        </w:tc>
        <w:tc>
          <w:tcPr>
            <w:tcW w:w="1732" w:type="dxa"/>
            <w:noWrap w:val="0"/>
            <w:vAlign w:val="center"/>
          </w:tcPr>
          <w:p w14:paraId="448F68F4">
            <w:pPr>
              <w:keepNext w:val="0"/>
              <w:keepLines w:val="0"/>
              <w:pageBreakBefore w:val="0"/>
              <w:widowControl/>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default" w:ascii="Times New Roman" w:hAnsi="Times New Roman" w:cs="Times New Roman" w:eastAsiaTheme="minorEastAsia"/>
                <w:snapToGrid w:val="0"/>
                <w:color w:val="auto"/>
                <w:kern w:val="0"/>
                <w:sz w:val="24"/>
                <w:szCs w:val="24"/>
                <w:highlight w:val="none"/>
                <w:shd w:val="clear" w:color="auto" w:fill="auto"/>
                <w:lang w:val="en-US" w:eastAsia="zh-CN" w:bidi="ar-SA"/>
              </w:rPr>
              <w:t>生活垃圾</w:t>
            </w:r>
            <w:r>
              <w:rPr>
                <w:rFonts w:hint="eastAsia" w:cs="Times New Roman" w:eastAsiaTheme="minorEastAsia"/>
                <w:snapToGrid w:val="0"/>
                <w:color w:val="auto"/>
                <w:kern w:val="0"/>
                <w:sz w:val="24"/>
                <w:szCs w:val="24"/>
                <w:highlight w:val="none"/>
                <w:shd w:val="clear" w:color="auto" w:fill="auto"/>
                <w:lang w:val="en-US" w:eastAsia="zh-CN" w:bidi="ar-SA"/>
              </w:rPr>
              <w:t>（不含食用废油）</w:t>
            </w:r>
          </w:p>
        </w:tc>
        <w:tc>
          <w:tcPr>
            <w:tcW w:w="1595" w:type="dxa"/>
            <w:noWrap w:val="0"/>
            <w:vAlign w:val="center"/>
          </w:tcPr>
          <w:p w14:paraId="17D9310E">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i w:val="0"/>
                <w:color w:val="auto"/>
                <w:kern w:val="0"/>
                <w:sz w:val="24"/>
                <w:szCs w:val="24"/>
                <w:highlight w:val="none"/>
                <w:u w:val="none"/>
                <w:shd w:val="clear" w:color="auto" w:fill="auto"/>
                <w:lang w:val="en-US" w:eastAsia="zh-CN" w:bidi="ar"/>
              </w:rPr>
            </w:pPr>
            <w:r>
              <w:rPr>
                <w:rFonts w:hint="eastAsia" w:cs="Times New Roman" w:eastAsiaTheme="minorEastAsia"/>
                <w:i w:val="0"/>
                <w:color w:val="auto"/>
                <w:kern w:val="0"/>
                <w:sz w:val="24"/>
                <w:szCs w:val="24"/>
                <w:highlight w:val="none"/>
                <w:u w:val="none"/>
                <w:shd w:val="clear" w:color="auto" w:fill="auto"/>
                <w:lang w:val="en-US" w:eastAsia="zh-CN" w:bidi="ar"/>
              </w:rPr>
              <w:t>22.5</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254" w:type="dxa"/>
            <w:noWrap w:val="0"/>
            <w:vAlign w:val="center"/>
          </w:tcPr>
          <w:p w14:paraId="69392864">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2186D916">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2AC4A185">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color w:val="auto"/>
                <w:sz w:val="24"/>
                <w:szCs w:val="24"/>
                <w:highlight w:val="none"/>
                <w:shd w:val="clear" w:color="auto" w:fill="auto"/>
                <w:lang w:val="en-US" w:eastAsia="zh-CN"/>
              </w:rPr>
              <w:t>15t/a</w:t>
            </w:r>
          </w:p>
        </w:tc>
        <w:tc>
          <w:tcPr>
            <w:tcW w:w="1355" w:type="dxa"/>
            <w:noWrap w:val="0"/>
            <w:vAlign w:val="center"/>
          </w:tcPr>
          <w:p w14:paraId="7E90A47F">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42" w:type="dxa"/>
            <w:noWrap w:val="0"/>
            <w:vAlign w:val="center"/>
          </w:tcPr>
          <w:p w14:paraId="6CE16DD7">
            <w:pPr>
              <w:pStyle w:val="4"/>
              <w:keepNext w:val="0"/>
              <w:keepLines w:val="0"/>
              <w:pageBreakBefore w:val="0"/>
              <w:kinsoku/>
              <w:wordWrap/>
              <w:overflowPunct/>
              <w:topLinePunct w:val="0"/>
              <w:autoSpaceDE/>
              <w:autoSpaceDN/>
              <w:bidi w:val="0"/>
              <w:adjustRightInd/>
              <w:snapToGrid/>
              <w:spacing w:before="40" w:beforeLines="0" w:after="40" w:afterLines="0" w:line="240" w:lineRule="auto"/>
              <w:ind w:firstLine="0" w:firstLineChars="0"/>
              <w:jc w:val="center"/>
              <w:rPr>
                <w:rFonts w:hint="default"/>
                <w:color w:val="auto"/>
                <w:sz w:val="24"/>
                <w:szCs w:val="24"/>
                <w:highlight w:val="none"/>
                <w:lang w:val="en-US" w:eastAsia="zh-CN"/>
              </w:rPr>
            </w:pPr>
            <w:r>
              <w:rPr>
                <w:rFonts w:hint="eastAsia" w:ascii="Times New Roman" w:hAnsi="Times New Roman" w:cs="Times New Roman" w:eastAsiaTheme="minorEastAsia"/>
                <w:b w:val="0"/>
                <w:bCs/>
                <w:i w:val="0"/>
                <w:color w:val="auto"/>
                <w:kern w:val="0"/>
                <w:sz w:val="24"/>
                <w:szCs w:val="24"/>
                <w:highlight w:val="none"/>
                <w:u w:val="none"/>
                <w:shd w:val="clear" w:color="auto" w:fill="auto"/>
                <w:lang w:val="en-US" w:eastAsia="zh-CN" w:bidi="ar"/>
              </w:rPr>
              <w:t>37.5</w:t>
            </w:r>
            <w:r>
              <w:rPr>
                <w:rFonts w:hint="default" w:ascii="Times New Roman" w:hAnsi="Times New Roman" w:cs="Times New Roman" w:eastAsiaTheme="minorEastAsia"/>
                <w:b w:val="0"/>
                <w:bCs/>
                <w:color w:val="auto"/>
                <w:kern w:val="2"/>
                <w:sz w:val="24"/>
                <w:szCs w:val="24"/>
                <w:highlight w:val="none"/>
                <w:shd w:val="clear" w:color="auto" w:fill="auto"/>
                <w:lang w:val="en-US" w:eastAsia="zh-CN" w:bidi="ar-SA"/>
              </w:rPr>
              <w:t>t/a</w:t>
            </w:r>
          </w:p>
        </w:tc>
        <w:tc>
          <w:tcPr>
            <w:tcW w:w="1656" w:type="dxa"/>
            <w:noWrap w:val="0"/>
            <w:vAlign w:val="center"/>
          </w:tcPr>
          <w:p w14:paraId="51C4BE40">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+15t/a</w:t>
            </w:r>
          </w:p>
        </w:tc>
      </w:tr>
      <w:tr w14:paraId="26BBE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40" w:type="dxa"/>
            <w:vMerge w:val="continue"/>
            <w:noWrap w:val="0"/>
            <w:vAlign w:val="center"/>
          </w:tcPr>
          <w:p w14:paraId="02F1EF4C">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14:paraId="0B0FBE09">
            <w:pPr>
              <w:keepNext w:val="0"/>
              <w:keepLines w:val="0"/>
              <w:pageBreakBefore w:val="0"/>
              <w:widowControl/>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0"/>
                <w:sz w:val="24"/>
                <w:szCs w:val="24"/>
                <w:highlight w:val="none"/>
                <w:shd w:val="clear" w:color="auto" w:fill="auto"/>
                <w:lang w:val="en-US" w:eastAsia="zh-CN" w:bidi="ar-SA"/>
              </w:rPr>
            </w:pPr>
            <w:r>
              <w:rPr>
                <w:rFonts w:hint="eastAsia" w:cs="Times New Roman" w:eastAsiaTheme="minorEastAsia"/>
                <w:snapToGrid w:val="0"/>
                <w:color w:val="auto"/>
                <w:kern w:val="0"/>
                <w:sz w:val="24"/>
                <w:szCs w:val="24"/>
                <w:highlight w:val="none"/>
                <w:shd w:val="clear" w:color="auto" w:fill="auto"/>
                <w:lang w:val="en-US" w:eastAsia="zh-CN" w:bidi="ar-SA"/>
              </w:rPr>
              <w:t>食用废油</w:t>
            </w:r>
          </w:p>
        </w:tc>
        <w:tc>
          <w:tcPr>
            <w:tcW w:w="1595" w:type="dxa"/>
            <w:noWrap w:val="0"/>
            <w:vAlign w:val="center"/>
          </w:tcPr>
          <w:p w14:paraId="7CAD2222">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cs="Times New Roman" w:eastAsiaTheme="minorEastAsia"/>
                <w:i w:val="0"/>
                <w:color w:val="auto"/>
                <w:kern w:val="0"/>
                <w:sz w:val="24"/>
                <w:szCs w:val="24"/>
                <w:highlight w:val="none"/>
                <w:u w:val="none"/>
                <w:shd w:val="clear" w:color="auto" w:fill="auto"/>
                <w:lang w:val="en-US" w:eastAsia="zh-CN" w:bidi="ar"/>
              </w:rPr>
            </w:pPr>
            <w:r>
              <w:rPr>
                <w:rFonts w:hint="eastAsia" w:cs="Times New Roman" w:eastAsiaTheme="minorEastAsia"/>
                <w:i w:val="0"/>
                <w:color w:val="auto"/>
                <w:kern w:val="0"/>
                <w:sz w:val="24"/>
                <w:szCs w:val="24"/>
                <w:highlight w:val="none"/>
                <w:u w:val="none"/>
                <w:shd w:val="clear" w:color="auto" w:fill="auto"/>
                <w:lang w:val="en-US" w:eastAsia="zh-CN" w:bidi="ar"/>
              </w:rPr>
              <w:t>0</w:t>
            </w:r>
          </w:p>
        </w:tc>
        <w:tc>
          <w:tcPr>
            <w:tcW w:w="1254" w:type="dxa"/>
            <w:noWrap w:val="0"/>
            <w:vAlign w:val="center"/>
          </w:tcPr>
          <w:p w14:paraId="6FFCF69B">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403EA3D8">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5BA53235">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0.3t/a</w:t>
            </w:r>
          </w:p>
        </w:tc>
        <w:tc>
          <w:tcPr>
            <w:tcW w:w="1355" w:type="dxa"/>
            <w:noWrap w:val="0"/>
            <w:vAlign w:val="center"/>
          </w:tcPr>
          <w:p w14:paraId="7C614B02">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w:t>
            </w:r>
          </w:p>
        </w:tc>
        <w:tc>
          <w:tcPr>
            <w:tcW w:w="1542" w:type="dxa"/>
            <w:noWrap w:val="0"/>
            <w:vAlign w:val="center"/>
          </w:tcPr>
          <w:p w14:paraId="0B941947">
            <w:pPr>
              <w:pStyle w:val="4"/>
              <w:keepNext w:val="0"/>
              <w:keepLines w:val="0"/>
              <w:pageBreakBefore w:val="0"/>
              <w:kinsoku/>
              <w:wordWrap/>
              <w:overflowPunct/>
              <w:topLinePunct w:val="0"/>
              <w:autoSpaceDE/>
              <w:autoSpaceDN/>
              <w:bidi w:val="0"/>
              <w:adjustRightInd/>
              <w:snapToGrid/>
              <w:spacing w:before="40" w:beforeLines="0" w:after="40" w:afterLines="0" w:line="240" w:lineRule="auto"/>
              <w:ind w:firstLine="0" w:firstLineChars="0"/>
              <w:jc w:val="center"/>
              <w:rPr>
                <w:rFonts w:hint="default" w:ascii="Times New Roman" w:hAnsi="Times New Roman" w:cs="Times New Roman" w:eastAsiaTheme="minorEastAsia"/>
                <w:b w:val="0"/>
                <w:bCs/>
                <w:i w:val="0"/>
                <w:color w:val="auto"/>
                <w:kern w:val="0"/>
                <w:sz w:val="24"/>
                <w:szCs w:val="24"/>
                <w:highlight w:val="none"/>
                <w:u w:val="none"/>
                <w:shd w:val="clear" w:color="auto" w:fill="auto"/>
                <w:lang w:val="en-US" w:eastAsia="zh-CN" w:bidi="ar"/>
              </w:rPr>
            </w:pPr>
            <w:r>
              <w:rPr>
                <w:rFonts w:hint="eastAsia" w:ascii="Times New Roman" w:hAnsi="Times New Roman" w:cs="Times New Roman" w:eastAsiaTheme="minorEastAsia"/>
                <w:b w:val="0"/>
                <w:bCs/>
                <w:i w:val="0"/>
                <w:color w:val="auto"/>
                <w:kern w:val="0"/>
                <w:sz w:val="24"/>
                <w:szCs w:val="24"/>
                <w:highlight w:val="none"/>
                <w:u w:val="none"/>
                <w:shd w:val="clear" w:color="auto" w:fill="auto"/>
                <w:lang w:val="en-US" w:eastAsia="zh-CN" w:bidi="ar"/>
              </w:rPr>
              <w:t>0.3t/a</w:t>
            </w:r>
          </w:p>
        </w:tc>
        <w:tc>
          <w:tcPr>
            <w:tcW w:w="1656" w:type="dxa"/>
            <w:noWrap w:val="0"/>
            <w:vAlign w:val="center"/>
          </w:tcPr>
          <w:p w14:paraId="2A2B4B94">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+0.3t/a</w:t>
            </w:r>
          </w:p>
        </w:tc>
      </w:tr>
      <w:tr w14:paraId="6B3B3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0" w:type="dxa"/>
            <w:vMerge w:val="restart"/>
            <w:noWrap w:val="0"/>
            <w:vAlign w:val="center"/>
          </w:tcPr>
          <w:p w14:paraId="09B52537">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危险废物</w:t>
            </w:r>
          </w:p>
        </w:tc>
        <w:tc>
          <w:tcPr>
            <w:tcW w:w="1732" w:type="dxa"/>
            <w:noWrap w:val="0"/>
            <w:vAlign w:val="center"/>
          </w:tcPr>
          <w:p w14:paraId="750CFAE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lang w:val="en-US" w:eastAsia="zh-CN" w:bidi="ar-SA"/>
              </w:rPr>
            </w:pPr>
            <w:r>
              <w:rPr>
                <w:rFonts w:hint="eastAsia" w:cs="Times New Roman"/>
                <w:color w:val="auto"/>
                <w:sz w:val="24"/>
                <w:szCs w:val="24"/>
                <w:highlight w:val="none"/>
                <w:shd w:val="clear" w:color="auto" w:fill="auto"/>
                <w:lang w:val="en-US" w:eastAsia="zh-CN"/>
              </w:rPr>
              <w:t>废稀释剂</w:t>
            </w:r>
          </w:p>
        </w:tc>
        <w:tc>
          <w:tcPr>
            <w:tcW w:w="1595" w:type="dxa"/>
            <w:noWrap w:val="0"/>
            <w:vAlign w:val="center"/>
          </w:tcPr>
          <w:p w14:paraId="1A74BD0B">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w:t>
            </w:r>
          </w:p>
        </w:tc>
        <w:tc>
          <w:tcPr>
            <w:tcW w:w="1254" w:type="dxa"/>
            <w:noWrap w:val="0"/>
            <w:vAlign w:val="center"/>
          </w:tcPr>
          <w:p w14:paraId="3BA91072">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0D739004">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3BFBFD4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ascii="Times New Roman" w:hAnsi="Times New Roman" w:cs="Times New Roman"/>
                <w:color w:val="auto"/>
                <w:sz w:val="24"/>
                <w:szCs w:val="24"/>
                <w:highlight w:val="none"/>
                <w:shd w:val="clear" w:color="auto" w:fill="auto"/>
                <w:lang w:val="en-US" w:eastAsia="zh-CN"/>
              </w:rPr>
              <w:t>365</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355" w:type="dxa"/>
            <w:noWrap w:val="0"/>
            <w:vAlign w:val="center"/>
          </w:tcPr>
          <w:p w14:paraId="398AB011">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bidi="ar-SA"/>
              </w:rPr>
              <w:t>0</w:t>
            </w:r>
          </w:p>
        </w:tc>
        <w:tc>
          <w:tcPr>
            <w:tcW w:w="1542" w:type="dxa"/>
            <w:noWrap w:val="0"/>
            <w:vAlign w:val="center"/>
          </w:tcPr>
          <w:p w14:paraId="662C6B1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ascii="Times New Roman" w:hAnsi="Times New Roman" w:cs="Times New Roman"/>
                <w:color w:val="auto"/>
                <w:sz w:val="24"/>
                <w:szCs w:val="24"/>
                <w:highlight w:val="none"/>
                <w:shd w:val="clear" w:color="auto" w:fill="auto"/>
                <w:lang w:val="en-US" w:eastAsia="zh-CN"/>
              </w:rPr>
              <w:t>365</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656" w:type="dxa"/>
            <w:noWrap w:val="0"/>
            <w:vAlign w:val="center"/>
          </w:tcPr>
          <w:p w14:paraId="457D797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ascii="Times New Roman" w:hAnsi="Times New Roman" w:cs="Times New Roman"/>
                <w:color w:val="auto"/>
                <w:sz w:val="24"/>
                <w:szCs w:val="24"/>
                <w:highlight w:val="none"/>
                <w:shd w:val="clear" w:color="auto" w:fill="auto"/>
                <w:lang w:val="en-US" w:eastAsia="zh-CN"/>
              </w:rPr>
              <w:t>365</w:t>
            </w:r>
            <w:r>
              <w:rPr>
                <w:rFonts w:hint="eastAsia" w:ascii="Times New Roman" w:hAnsi="Times New Roman" w:eastAsia="宋体" w:cs="Times New Roman"/>
                <w:color w:val="auto"/>
                <w:sz w:val="24"/>
                <w:szCs w:val="24"/>
                <w:highlight w:val="none"/>
                <w:shd w:val="clear" w:color="auto" w:fill="auto"/>
                <w:lang w:val="en-US" w:eastAsia="zh-CN"/>
              </w:rPr>
              <w:t>t/a</w:t>
            </w:r>
          </w:p>
        </w:tc>
      </w:tr>
      <w:tr w14:paraId="0BF8E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40" w:type="dxa"/>
            <w:vMerge w:val="continue"/>
            <w:noWrap w:val="0"/>
            <w:vAlign w:val="center"/>
          </w:tcPr>
          <w:p w14:paraId="066F85E4">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0E2BD8C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废</w:t>
            </w:r>
            <w:r>
              <w:rPr>
                <w:rFonts w:hint="eastAsia" w:ascii="Times New Roman" w:hAnsi="Times New Roman" w:cs="Times New Roman"/>
                <w:color w:val="auto"/>
                <w:sz w:val="24"/>
                <w:szCs w:val="24"/>
                <w:highlight w:val="none"/>
                <w:shd w:val="clear" w:color="auto" w:fill="auto"/>
                <w:lang w:val="en-US" w:eastAsia="zh-CN"/>
              </w:rPr>
              <w:t>漆</w:t>
            </w:r>
            <w:r>
              <w:rPr>
                <w:rFonts w:hint="eastAsia" w:ascii="Times New Roman" w:hAnsi="Times New Roman" w:eastAsia="宋体" w:cs="Times New Roman"/>
                <w:color w:val="auto"/>
                <w:sz w:val="24"/>
                <w:szCs w:val="24"/>
                <w:highlight w:val="none"/>
                <w:shd w:val="clear" w:color="auto" w:fill="auto"/>
                <w:lang w:val="en-US" w:eastAsia="zh-CN"/>
              </w:rPr>
              <w:t>桶</w:t>
            </w:r>
          </w:p>
        </w:tc>
        <w:tc>
          <w:tcPr>
            <w:tcW w:w="1595" w:type="dxa"/>
            <w:noWrap w:val="0"/>
            <w:vAlign w:val="center"/>
          </w:tcPr>
          <w:p w14:paraId="3D029D0D">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w:t>
            </w:r>
          </w:p>
        </w:tc>
        <w:tc>
          <w:tcPr>
            <w:tcW w:w="1254" w:type="dxa"/>
            <w:noWrap w:val="0"/>
            <w:vAlign w:val="center"/>
          </w:tcPr>
          <w:p w14:paraId="24AA205A">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6999068C">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730099D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0.5t/a</w:t>
            </w:r>
          </w:p>
        </w:tc>
        <w:tc>
          <w:tcPr>
            <w:tcW w:w="1355" w:type="dxa"/>
            <w:noWrap w:val="0"/>
            <w:vAlign w:val="center"/>
          </w:tcPr>
          <w:p w14:paraId="60C93B62">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bidi="ar-SA"/>
              </w:rPr>
              <w:t>0</w:t>
            </w:r>
          </w:p>
        </w:tc>
        <w:tc>
          <w:tcPr>
            <w:tcW w:w="1542" w:type="dxa"/>
            <w:noWrap w:val="0"/>
            <w:vAlign w:val="center"/>
          </w:tcPr>
          <w:p w14:paraId="4D5C937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0.5t/a</w:t>
            </w:r>
          </w:p>
        </w:tc>
        <w:tc>
          <w:tcPr>
            <w:tcW w:w="1656" w:type="dxa"/>
            <w:noWrap w:val="0"/>
            <w:vAlign w:val="center"/>
          </w:tcPr>
          <w:p w14:paraId="7C80FEA2">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+0.5t/a</w:t>
            </w:r>
          </w:p>
        </w:tc>
      </w:tr>
      <w:tr w14:paraId="2B8D1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340" w:type="dxa"/>
            <w:vMerge w:val="continue"/>
            <w:noWrap w:val="0"/>
            <w:vAlign w:val="center"/>
          </w:tcPr>
          <w:p w14:paraId="53BFFDA1">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7C0D8D9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漆渣</w:t>
            </w:r>
          </w:p>
        </w:tc>
        <w:tc>
          <w:tcPr>
            <w:tcW w:w="1595" w:type="dxa"/>
            <w:noWrap w:val="0"/>
            <w:vAlign w:val="center"/>
          </w:tcPr>
          <w:p w14:paraId="35D6AFA4">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w:t>
            </w:r>
          </w:p>
        </w:tc>
        <w:tc>
          <w:tcPr>
            <w:tcW w:w="1254" w:type="dxa"/>
            <w:noWrap w:val="0"/>
            <w:vAlign w:val="center"/>
          </w:tcPr>
          <w:p w14:paraId="0E41C09B">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7704E7B1">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1CDEE16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cs="Times New Roman"/>
                <w:color w:val="auto"/>
                <w:sz w:val="24"/>
                <w:szCs w:val="24"/>
                <w:highlight w:val="none"/>
                <w:shd w:val="clear" w:color="auto" w:fill="auto"/>
                <w:lang w:val="en-US" w:eastAsia="zh-CN"/>
              </w:rPr>
              <w:t>0.081t/a</w:t>
            </w:r>
          </w:p>
        </w:tc>
        <w:tc>
          <w:tcPr>
            <w:tcW w:w="1355" w:type="dxa"/>
            <w:noWrap w:val="0"/>
            <w:vAlign w:val="center"/>
          </w:tcPr>
          <w:p w14:paraId="2782B08A">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42" w:type="dxa"/>
            <w:noWrap w:val="0"/>
            <w:vAlign w:val="center"/>
          </w:tcPr>
          <w:p w14:paraId="717D1E4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0.081t/a</w:t>
            </w:r>
          </w:p>
        </w:tc>
        <w:tc>
          <w:tcPr>
            <w:tcW w:w="1656" w:type="dxa"/>
            <w:noWrap w:val="0"/>
            <w:vAlign w:val="center"/>
          </w:tcPr>
          <w:p w14:paraId="4B2AE77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color w:val="auto"/>
                <w:sz w:val="24"/>
                <w:szCs w:val="24"/>
                <w:highlight w:val="none"/>
                <w:shd w:val="clear" w:color="auto" w:fill="auto"/>
                <w:lang w:val="en-US" w:eastAsia="zh-CN"/>
              </w:rPr>
              <w:t>+0.081t/a</w:t>
            </w:r>
          </w:p>
        </w:tc>
      </w:tr>
      <w:tr w14:paraId="47386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340" w:type="dxa"/>
            <w:vMerge w:val="continue"/>
            <w:noWrap w:val="0"/>
            <w:vAlign w:val="center"/>
          </w:tcPr>
          <w:p w14:paraId="1E341644">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5CC52E65">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color w:val="auto"/>
                <w:sz w:val="24"/>
                <w:szCs w:val="24"/>
                <w:highlight w:val="none"/>
                <w:shd w:val="clear" w:color="auto" w:fill="auto"/>
                <w:lang w:val="en-US" w:eastAsia="zh-CN"/>
              </w:rPr>
              <w:t>废遮蔽物</w:t>
            </w:r>
          </w:p>
        </w:tc>
        <w:tc>
          <w:tcPr>
            <w:tcW w:w="1595" w:type="dxa"/>
            <w:noWrap w:val="0"/>
            <w:vAlign w:val="center"/>
          </w:tcPr>
          <w:p w14:paraId="612A6D7E">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kern w:val="2"/>
                <w:sz w:val="24"/>
                <w:szCs w:val="24"/>
                <w:highlight w:val="none"/>
                <w:shd w:val="clear" w:color="auto" w:fill="auto"/>
                <w:lang w:val="en-US" w:eastAsia="zh-CN" w:bidi="ar-SA"/>
              </w:rPr>
              <w:t>0</w:t>
            </w:r>
          </w:p>
        </w:tc>
        <w:tc>
          <w:tcPr>
            <w:tcW w:w="1254" w:type="dxa"/>
            <w:noWrap w:val="0"/>
            <w:vAlign w:val="center"/>
          </w:tcPr>
          <w:p w14:paraId="39958256">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6D598439">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640D8087">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0.1t/a</w:t>
            </w:r>
          </w:p>
        </w:tc>
        <w:tc>
          <w:tcPr>
            <w:tcW w:w="1355" w:type="dxa"/>
            <w:noWrap w:val="0"/>
            <w:vAlign w:val="center"/>
          </w:tcPr>
          <w:p w14:paraId="2F4799B7">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42" w:type="dxa"/>
            <w:noWrap w:val="0"/>
            <w:vAlign w:val="center"/>
          </w:tcPr>
          <w:p w14:paraId="1618564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0.1t/a</w:t>
            </w:r>
          </w:p>
        </w:tc>
        <w:tc>
          <w:tcPr>
            <w:tcW w:w="1656" w:type="dxa"/>
            <w:noWrap w:val="0"/>
            <w:vAlign w:val="center"/>
          </w:tcPr>
          <w:p w14:paraId="37A9B17D">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color w:val="auto"/>
                <w:sz w:val="24"/>
                <w:szCs w:val="24"/>
                <w:highlight w:val="none"/>
                <w:shd w:val="clear" w:color="auto" w:fill="auto"/>
                <w:lang w:val="en-US" w:eastAsia="zh-CN"/>
              </w:rPr>
              <w:t>+0.1t/a</w:t>
            </w:r>
          </w:p>
        </w:tc>
      </w:tr>
      <w:tr w14:paraId="07A7D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40" w:type="dxa"/>
            <w:vMerge w:val="continue"/>
            <w:noWrap w:val="0"/>
            <w:vAlign w:val="center"/>
          </w:tcPr>
          <w:p w14:paraId="17BC5330">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5D205B44">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废纸盒</w:t>
            </w:r>
          </w:p>
        </w:tc>
        <w:tc>
          <w:tcPr>
            <w:tcW w:w="1595" w:type="dxa"/>
            <w:noWrap w:val="0"/>
            <w:vAlign w:val="center"/>
          </w:tcPr>
          <w:p w14:paraId="76C96617">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w:t>
            </w:r>
          </w:p>
        </w:tc>
        <w:tc>
          <w:tcPr>
            <w:tcW w:w="1254" w:type="dxa"/>
            <w:noWrap w:val="0"/>
            <w:vAlign w:val="center"/>
          </w:tcPr>
          <w:p w14:paraId="4B2F47F2">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5F321CD3">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7624C5B8">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2.0</w:t>
            </w:r>
            <w:r>
              <w:rPr>
                <w:rFonts w:hint="eastAsia" w:cs="Times New Roman"/>
                <w:color w:val="auto"/>
                <w:sz w:val="24"/>
                <w:szCs w:val="24"/>
                <w:highlight w:val="none"/>
                <w:shd w:val="clear" w:color="auto" w:fill="auto"/>
                <w:lang w:val="en-US" w:eastAsia="zh-CN"/>
              </w:rPr>
              <w:t>64</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355" w:type="dxa"/>
            <w:noWrap w:val="0"/>
            <w:vAlign w:val="center"/>
          </w:tcPr>
          <w:p w14:paraId="5643065C">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bidi="ar-SA"/>
              </w:rPr>
              <w:t>0</w:t>
            </w:r>
          </w:p>
        </w:tc>
        <w:tc>
          <w:tcPr>
            <w:tcW w:w="1542" w:type="dxa"/>
            <w:noWrap w:val="0"/>
            <w:vAlign w:val="center"/>
          </w:tcPr>
          <w:p w14:paraId="34538720">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2.0</w:t>
            </w:r>
            <w:r>
              <w:rPr>
                <w:rFonts w:hint="eastAsia" w:cs="Times New Roman"/>
                <w:color w:val="auto"/>
                <w:sz w:val="24"/>
                <w:szCs w:val="24"/>
                <w:highlight w:val="none"/>
                <w:shd w:val="clear" w:color="auto" w:fill="auto"/>
                <w:lang w:val="en-US" w:eastAsia="zh-CN"/>
              </w:rPr>
              <w:t>64</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656" w:type="dxa"/>
            <w:noWrap w:val="0"/>
            <w:vAlign w:val="center"/>
          </w:tcPr>
          <w:p w14:paraId="63E9833B">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+2.0</w:t>
            </w:r>
            <w:r>
              <w:rPr>
                <w:rFonts w:hint="eastAsia" w:cs="Times New Roman"/>
                <w:color w:val="auto"/>
                <w:sz w:val="24"/>
                <w:szCs w:val="24"/>
                <w:highlight w:val="none"/>
                <w:shd w:val="clear" w:color="auto" w:fill="auto"/>
                <w:lang w:val="en-US" w:eastAsia="zh-CN"/>
              </w:rPr>
              <w:t>64</w:t>
            </w:r>
            <w:r>
              <w:rPr>
                <w:rFonts w:hint="eastAsia" w:ascii="Times New Roman" w:hAnsi="Times New Roman" w:eastAsia="宋体" w:cs="Times New Roman"/>
                <w:color w:val="auto"/>
                <w:sz w:val="24"/>
                <w:szCs w:val="24"/>
                <w:highlight w:val="none"/>
                <w:shd w:val="clear" w:color="auto" w:fill="auto"/>
                <w:lang w:val="en-US" w:eastAsia="zh-CN"/>
              </w:rPr>
              <w:t>t/a</w:t>
            </w:r>
          </w:p>
        </w:tc>
      </w:tr>
      <w:tr w14:paraId="5537D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340" w:type="dxa"/>
            <w:vMerge w:val="continue"/>
            <w:noWrap w:val="0"/>
            <w:vAlign w:val="center"/>
          </w:tcPr>
          <w:p w14:paraId="6ECEF241">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67F4FD4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废过滤棉</w:t>
            </w:r>
          </w:p>
        </w:tc>
        <w:tc>
          <w:tcPr>
            <w:tcW w:w="1595" w:type="dxa"/>
            <w:noWrap w:val="0"/>
            <w:vAlign w:val="center"/>
          </w:tcPr>
          <w:p w14:paraId="36A1D379">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w:t>
            </w:r>
          </w:p>
        </w:tc>
        <w:tc>
          <w:tcPr>
            <w:tcW w:w="1254" w:type="dxa"/>
            <w:noWrap w:val="0"/>
            <w:vAlign w:val="center"/>
          </w:tcPr>
          <w:p w14:paraId="2BDFDD25">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6C970EAC">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48A316E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0.57</w:t>
            </w:r>
            <w:r>
              <w:rPr>
                <w:rFonts w:hint="eastAsia" w:cs="Times New Roman"/>
                <w:color w:val="auto"/>
                <w:sz w:val="24"/>
                <w:szCs w:val="24"/>
                <w:highlight w:val="none"/>
                <w:shd w:val="clear" w:color="auto" w:fill="auto"/>
                <w:lang w:val="en-US" w:eastAsia="zh-CN"/>
              </w:rPr>
              <w:t>8</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355" w:type="dxa"/>
            <w:noWrap w:val="0"/>
            <w:vAlign w:val="center"/>
          </w:tcPr>
          <w:p w14:paraId="7356EEE8">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c>
          <w:tcPr>
            <w:tcW w:w="1542" w:type="dxa"/>
            <w:noWrap w:val="0"/>
            <w:vAlign w:val="center"/>
          </w:tcPr>
          <w:p w14:paraId="48ABB811">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0.57</w:t>
            </w:r>
            <w:r>
              <w:rPr>
                <w:rFonts w:hint="eastAsia" w:cs="Times New Roman"/>
                <w:color w:val="auto"/>
                <w:sz w:val="24"/>
                <w:szCs w:val="24"/>
                <w:highlight w:val="none"/>
                <w:shd w:val="clear" w:color="auto" w:fill="auto"/>
                <w:lang w:val="en-US" w:eastAsia="zh-CN"/>
              </w:rPr>
              <w:t>8</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656" w:type="dxa"/>
            <w:noWrap w:val="0"/>
            <w:vAlign w:val="center"/>
          </w:tcPr>
          <w:p w14:paraId="6643481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+0.57</w:t>
            </w:r>
            <w:r>
              <w:rPr>
                <w:rFonts w:hint="eastAsia" w:cs="Times New Roman"/>
                <w:color w:val="auto"/>
                <w:sz w:val="24"/>
                <w:szCs w:val="24"/>
                <w:highlight w:val="none"/>
                <w:shd w:val="clear" w:color="auto" w:fill="auto"/>
                <w:lang w:val="en-US" w:eastAsia="zh-CN"/>
              </w:rPr>
              <w:t>8</w:t>
            </w:r>
            <w:r>
              <w:rPr>
                <w:rFonts w:hint="eastAsia" w:ascii="Times New Roman" w:hAnsi="Times New Roman" w:eastAsia="宋体" w:cs="Times New Roman"/>
                <w:color w:val="auto"/>
                <w:sz w:val="24"/>
                <w:szCs w:val="24"/>
                <w:highlight w:val="none"/>
                <w:shd w:val="clear" w:color="auto" w:fill="auto"/>
                <w:lang w:val="en-US" w:eastAsia="zh-CN"/>
              </w:rPr>
              <w:t>t/a</w:t>
            </w:r>
          </w:p>
        </w:tc>
      </w:tr>
      <w:tr w14:paraId="71A57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340" w:type="dxa"/>
            <w:vMerge w:val="continue"/>
            <w:noWrap w:val="0"/>
            <w:vAlign w:val="center"/>
          </w:tcPr>
          <w:p w14:paraId="4B2212EC">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177D2383">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lang w:val="en-US" w:eastAsia="zh-CN"/>
              </w:rPr>
              <w:t>废催化剂</w:t>
            </w:r>
          </w:p>
        </w:tc>
        <w:tc>
          <w:tcPr>
            <w:tcW w:w="1595" w:type="dxa"/>
            <w:noWrap w:val="0"/>
            <w:vAlign w:val="center"/>
          </w:tcPr>
          <w:p w14:paraId="6320CA04">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cs="Times New Roman" w:eastAsiaTheme="minorEastAsia"/>
                <w:color w:val="auto"/>
                <w:sz w:val="24"/>
                <w:szCs w:val="24"/>
                <w:highlight w:val="none"/>
                <w:shd w:val="clear" w:color="auto" w:fill="auto"/>
                <w:lang w:val="en-US" w:eastAsia="zh-CN"/>
              </w:rPr>
            </w:pPr>
            <w:r>
              <w:rPr>
                <w:rFonts w:hint="eastAsia" w:cs="Times New Roman" w:eastAsiaTheme="minorEastAsia"/>
                <w:color w:val="auto"/>
                <w:sz w:val="24"/>
                <w:szCs w:val="24"/>
                <w:highlight w:val="none"/>
                <w:shd w:val="clear" w:color="auto" w:fill="auto"/>
                <w:lang w:val="en-US" w:eastAsia="zh-CN"/>
              </w:rPr>
              <w:t>0</w:t>
            </w:r>
          </w:p>
        </w:tc>
        <w:tc>
          <w:tcPr>
            <w:tcW w:w="1254" w:type="dxa"/>
            <w:noWrap w:val="0"/>
            <w:vAlign w:val="center"/>
          </w:tcPr>
          <w:p w14:paraId="7C9FA8F1">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6BB6A905">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宋体"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6544D47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1</w:t>
            </w:r>
            <w:r>
              <w:rPr>
                <w:rFonts w:hint="eastAsia" w:ascii="Times New Roman" w:hAnsi="Times New Roman" w:eastAsia="宋体" w:cs="Times New Roman"/>
                <w:color w:val="auto"/>
                <w:sz w:val="24"/>
                <w:szCs w:val="24"/>
                <w:highlight w:val="none"/>
                <w:shd w:val="clear" w:color="auto" w:fill="auto"/>
                <w:lang w:val="en-US" w:eastAsia="zh-CN"/>
              </w:rPr>
              <w:t>.8t/</w:t>
            </w:r>
            <w:r>
              <w:rPr>
                <w:rFonts w:hint="eastAsia"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val="en-US" w:eastAsia="zh-CN"/>
              </w:rPr>
              <w:t>a</w:t>
            </w:r>
          </w:p>
        </w:tc>
        <w:tc>
          <w:tcPr>
            <w:tcW w:w="1355" w:type="dxa"/>
            <w:noWrap w:val="0"/>
            <w:vAlign w:val="center"/>
          </w:tcPr>
          <w:p w14:paraId="30F150A9">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cs="Times New Roman" w:eastAsiaTheme="minorEastAsia"/>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0</w:t>
            </w:r>
          </w:p>
        </w:tc>
        <w:tc>
          <w:tcPr>
            <w:tcW w:w="1542" w:type="dxa"/>
            <w:noWrap w:val="0"/>
            <w:vAlign w:val="center"/>
          </w:tcPr>
          <w:p w14:paraId="7BB846FE">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eastAsiaTheme="minorEastAsia"/>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1</w:t>
            </w:r>
            <w:r>
              <w:rPr>
                <w:rFonts w:hint="eastAsia" w:ascii="Times New Roman" w:hAnsi="Times New Roman" w:eastAsia="宋体" w:cs="Times New Roman"/>
                <w:color w:val="auto"/>
                <w:sz w:val="24"/>
                <w:szCs w:val="24"/>
                <w:highlight w:val="none"/>
                <w:shd w:val="clear" w:color="auto" w:fill="auto"/>
                <w:lang w:val="en-US" w:eastAsia="zh-CN"/>
              </w:rPr>
              <w:t>.8t/</w:t>
            </w:r>
            <w:r>
              <w:rPr>
                <w:rFonts w:hint="eastAsia"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val="en-US" w:eastAsia="zh-CN"/>
              </w:rPr>
              <w:t>a</w:t>
            </w:r>
          </w:p>
        </w:tc>
        <w:tc>
          <w:tcPr>
            <w:tcW w:w="1656" w:type="dxa"/>
            <w:noWrap w:val="0"/>
            <w:vAlign w:val="center"/>
          </w:tcPr>
          <w:p w14:paraId="0245452C">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eastAsiaTheme="minorEastAsia"/>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+1</w:t>
            </w:r>
            <w:r>
              <w:rPr>
                <w:rFonts w:hint="eastAsia" w:ascii="Times New Roman" w:hAnsi="Times New Roman" w:eastAsia="宋体" w:cs="Times New Roman"/>
                <w:color w:val="auto"/>
                <w:sz w:val="24"/>
                <w:szCs w:val="24"/>
                <w:highlight w:val="none"/>
                <w:shd w:val="clear" w:color="auto" w:fill="auto"/>
                <w:lang w:val="en-US" w:eastAsia="zh-CN"/>
              </w:rPr>
              <w:t>.8t/</w:t>
            </w:r>
            <w:r>
              <w:rPr>
                <w:rFonts w:hint="eastAsia"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val="en-US" w:eastAsia="zh-CN"/>
              </w:rPr>
              <w:t>a</w:t>
            </w:r>
          </w:p>
        </w:tc>
      </w:tr>
      <w:tr w14:paraId="2FAB9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340" w:type="dxa"/>
            <w:vMerge w:val="continue"/>
            <w:noWrap w:val="0"/>
            <w:vAlign w:val="center"/>
          </w:tcPr>
          <w:p w14:paraId="0F2E6E15">
            <w:pPr>
              <w:pStyle w:val="31"/>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14:paraId="36427FD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废沸石分子筛</w:t>
            </w:r>
          </w:p>
        </w:tc>
        <w:tc>
          <w:tcPr>
            <w:tcW w:w="1595" w:type="dxa"/>
            <w:noWrap w:val="0"/>
            <w:vAlign w:val="center"/>
          </w:tcPr>
          <w:p w14:paraId="067DF02A">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w:t>
            </w:r>
          </w:p>
        </w:tc>
        <w:tc>
          <w:tcPr>
            <w:tcW w:w="1254" w:type="dxa"/>
            <w:noWrap w:val="0"/>
            <w:vAlign w:val="center"/>
          </w:tcPr>
          <w:p w14:paraId="67127643">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14:paraId="2BF80D45">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14:paraId="5DEC32BA">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2</w:t>
            </w:r>
            <w:r>
              <w:rPr>
                <w:rFonts w:hint="eastAsia" w:ascii="Times New Roman" w:hAnsi="Times New Roman" w:cs="Times New Roman"/>
                <w:color w:val="auto"/>
                <w:sz w:val="24"/>
                <w:szCs w:val="24"/>
                <w:highlight w:val="none"/>
                <w:shd w:val="clear" w:color="auto" w:fill="auto"/>
                <w:lang w:val="en-US" w:eastAsia="zh-CN"/>
              </w:rPr>
              <w:t>t/</w:t>
            </w:r>
            <w:r>
              <w:rPr>
                <w:rFonts w:hint="eastAsia" w:cs="Times New Roman"/>
                <w:color w:val="auto"/>
                <w:sz w:val="24"/>
                <w:szCs w:val="24"/>
                <w:highlight w:val="none"/>
                <w:shd w:val="clear" w:color="auto" w:fill="auto"/>
                <w:lang w:val="en-US" w:eastAsia="zh-CN"/>
              </w:rPr>
              <w:t>3</w:t>
            </w:r>
            <w:r>
              <w:rPr>
                <w:rFonts w:hint="eastAsia" w:ascii="Times New Roman" w:hAnsi="Times New Roman" w:cs="Times New Roman"/>
                <w:color w:val="auto"/>
                <w:sz w:val="24"/>
                <w:szCs w:val="24"/>
                <w:highlight w:val="none"/>
                <w:shd w:val="clear" w:color="auto" w:fill="auto"/>
                <w:lang w:val="en-US" w:eastAsia="zh-CN"/>
              </w:rPr>
              <w:t>a</w:t>
            </w:r>
          </w:p>
        </w:tc>
        <w:tc>
          <w:tcPr>
            <w:tcW w:w="1355" w:type="dxa"/>
            <w:noWrap w:val="0"/>
            <w:vAlign w:val="center"/>
          </w:tcPr>
          <w:p w14:paraId="6C2F389B">
            <w:pPr>
              <w:pStyle w:val="31"/>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42" w:type="dxa"/>
            <w:noWrap w:val="0"/>
            <w:vAlign w:val="center"/>
          </w:tcPr>
          <w:p w14:paraId="20C04B89">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2</w:t>
            </w:r>
            <w:r>
              <w:rPr>
                <w:rFonts w:hint="eastAsia" w:ascii="Times New Roman" w:hAnsi="Times New Roman" w:cs="Times New Roman"/>
                <w:color w:val="auto"/>
                <w:sz w:val="24"/>
                <w:szCs w:val="24"/>
                <w:highlight w:val="none"/>
                <w:shd w:val="clear" w:color="auto" w:fill="auto"/>
                <w:lang w:val="en-US" w:eastAsia="zh-CN"/>
              </w:rPr>
              <w:t>t/</w:t>
            </w:r>
            <w:r>
              <w:rPr>
                <w:rFonts w:hint="eastAsia" w:cs="Times New Roman"/>
                <w:color w:val="auto"/>
                <w:sz w:val="24"/>
                <w:szCs w:val="24"/>
                <w:highlight w:val="none"/>
                <w:shd w:val="clear" w:color="auto" w:fill="auto"/>
                <w:lang w:val="en-US" w:eastAsia="zh-CN"/>
              </w:rPr>
              <w:t>3</w:t>
            </w:r>
            <w:r>
              <w:rPr>
                <w:rFonts w:hint="eastAsia" w:ascii="Times New Roman" w:hAnsi="Times New Roman" w:cs="Times New Roman"/>
                <w:color w:val="auto"/>
                <w:sz w:val="24"/>
                <w:szCs w:val="24"/>
                <w:highlight w:val="none"/>
                <w:shd w:val="clear" w:color="auto" w:fill="auto"/>
                <w:lang w:val="en-US" w:eastAsia="zh-CN"/>
              </w:rPr>
              <w:t>a</w:t>
            </w:r>
          </w:p>
        </w:tc>
        <w:tc>
          <w:tcPr>
            <w:tcW w:w="1656" w:type="dxa"/>
            <w:noWrap w:val="0"/>
            <w:vAlign w:val="center"/>
          </w:tcPr>
          <w:p w14:paraId="6C2A45D6">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color w:val="auto"/>
                <w:sz w:val="24"/>
                <w:szCs w:val="24"/>
                <w:highlight w:val="none"/>
                <w:shd w:val="clear" w:color="auto" w:fill="auto"/>
                <w:lang w:val="en-US" w:eastAsia="zh-CN"/>
              </w:rPr>
              <w:t>+2</w:t>
            </w:r>
            <w:r>
              <w:rPr>
                <w:rFonts w:hint="eastAsia" w:ascii="Times New Roman" w:hAnsi="Times New Roman" w:cs="Times New Roman"/>
                <w:color w:val="auto"/>
                <w:sz w:val="24"/>
                <w:szCs w:val="24"/>
                <w:highlight w:val="none"/>
                <w:shd w:val="clear" w:color="auto" w:fill="auto"/>
                <w:lang w:val="en-US" w:eastAsia="zh-CN"/>
              </w:rPr>
              <w:t>t/</w:t>
            </w:r>
            <w:r>
              <w:rPr>
                <w:rFonts w:hint="eastAsia" w:cs="Times New Roman"/>
                <w:color w:val="auto"/>
                <w:sz w:val="24"/>
                <w:szCs w:val="24"/>
                <w:highlight w:val="none"/>
                <w:shd w:val="clear" w:color="auto" w:fill="auto"/>
                <w:lang w:val="en-US" w:eastAsia="zh-CN"/>
              </w:rPr>
              <w:t>3</w:t>
            </w:r>
            <w:r>
              <w:rPr>
                <w:rFonts w:hint="eastAsia" w:ascii="Times New Roman" w:hAnsi="Times New Roman" w:cs="Times New Roman"/>
                <w:color w:val="auto"/>
                <w:sz w:val="24"/>
                <w:szCs w:val="24"/>
                <w:highlight w:val="none"/>
                <w:shd w:val="clear" w:color="auto" w:fill="auto"/>
                <w:lang w:val="en-US" w:eastAsia="zh-CN"/>
              </w:rPr>
              <w:t>a</w:t>
            </w:r>
          </w:p>
        </w:tc>
      </w:tr>
    </w:tbl>
    <w:p w14:paraId="4DC345D1">
      <w:pPr>
        <w:jc w:val="left"/>
        <w:rPr>
          <w:color w:val="auto"/>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0" w:num="1"/>
      <w:rtlGutter w:val="0"/>
      <w:docGrid w:type="lines" w:linePitch="33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2786510-4FEF-4912-9AE7-FF843787182F}"/>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67183C8D-73FD-43B9-942A-53DB773D8D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32B6506-8F3C-4EA8-8EC7-35E04CDADEFE}"/>
  </w:font>
  <w:font w:name="微软雅黑">
    <w:panose1 w:val="020B0503020204020204"/>
    <w:charset w:val="86"/>
    <w:family w:val="auto"/>
    <w:pitch w:val="default"/>
    <w:sig w:usb0="80000287" w:usb1="2ACF3C50" w:usb2="00000016" w:usb3="00000000" w:csb0="0004001F" w:csb1="00000000"/>
  </w:font>
  <w:font w:name="MingLiU-ExtB">
    <w:panose1 w:val="02020500000000000000"/>
    <w:charset w:val="88"/>
    <w:family w:val="auto"/>
    <w:pitch w:val="default"/>
    <w:sig w:usb0="8000002F" w:usb1="02000008" w:usb2="00000000" w:usb3="00000000" w:csb0="00100001" w:csb1="00000000"/>
  </w:font>
  <w:font w:name="Mongolian Baiti">
    <w:panose1 w:val="03000500000000000000"/>
    <w:charset w:val="00"/>
    <w:family w:val="auto"/>
    <w:pitch w:val="default"/>
    <w:sig w:usb0="80000023" w:usb1="00000000" w:usb2="00020000" w:usb3="00000000" w:csb0="00000001" w:csb1="00000000"/>
  </w:font>
  <w:font w:name="方正仿宋_GB2312">
    <w:altName w:val="仿宋"/>
    <w:panose1 w:val="02000000000000000000"/>
    <w:charset w:val="86"/>
    <w:family w:val="auto"/>
    <w:pitch w:val="default"/>
    <w:sig w:usb0="00000000" w:usb1="00000000" w:usb2="00000012" w:usb3="00000000" w:csb0="00040001" w:csb1="00000000"/>
    <w:embedRegular r:id="rId4" w:fontKey="{CB6E5D04-78A5-4B32-B5B0-B75791708232}"/>
  </w:font>
  <w:font w:name="华文中宋">
    <w:altName w:val="宋体"/>
    <w:panose1 w:val="02010600040101010101"/>
    <w:charset w:val="86"/>
    <w:family w:val="auto"/>
    <w:pitch w:val="default"/>
    <w:sig w:usb0="00000000" w:usb1="00000000" w:usb2="00000000" w:usb3="00000000" w:csb0="0004009F" w:csb1="DFD70000"/>
  </w:font>
  <w:font w:name="华康俪金黑W8">
    <w:altName w:val="黑体"/>
    <w:panose1 w:val="020B0809000000000000"/>
    <w:charset w:val="86"/>
    <w:family w:val="auto"/>
    <w:pitch w:val="default"/>
    <w:sig w:usb0="00000000" w:usb1="00000000" w:usb2="00000012" w:usb3="00000000" w:csb0="00040001" w:csb1="00000000"/>
  </w:font>
  <w:font w:name="方正楷体_GB2312">
    <w:altName w:val="宋体"/>
    <w:panose1 w:val="02000000000000000000"/>
    <w:charset w:val="86"/>
    <w:family w:val="auto"/>
    <w:pitch w:val="default"/>
    <w:sig w:usb0="00000000" w:usb1="00000000" w:usb2="00000012" w:usb3="00000000" w:csb0="00040001" w:csb1="00000000"/>
    <w:embedRegular r:id="rId5" w:fontKey="{761F5E52-0853-455D-BB62-80A9588598BB}"/>
  </w:font>
  <w:font w:name="华文仿宋">
    <w:panose1 w:val="02010600040101010101"/>
    <w:charset w:val="86"/>
    <w:family w:val="auto"/>
    <w:pitch w:val="default"/>
    <w:sig w:usb0="00000287" w:usb1="080F0000" w:usb2="00000000" w:usb3="00000000" w:csb0="0004009F" w:csb1="DFD70000"/>
    <w:embedRegular r:id="rId6" w:fontKey="{082A183D-BBE3-46A8-93DC-2D03FD6843B8}"/>
  </w:font>
  <w:font w:name="仿宋">
    <w:panose1 w:val="02010609060101010101"/>
    <w:charset w:val="86"/>
    <w:family w:val="auto"/>
    <w:pitch w:val="default"/>
    <w:sig w:usb0="800002BF" w:usb1="38CF7CFA" w:usb2="00000016" w:usb3="00000000" w:csb0="00040001" w:csb1="00000000"/>
    <w:embedRegular r:id="rId7" w:fontKey="{D13F9655-F315-46ED-A9BE-7B4754C9EA13}"/>
  </w:font>
  <w:font w:name="Tahoma">
    <w:panose1 w:val="020B0604030504040204"/>
    <w:charset w:val="00"/>
    <w:family w:val="swiss"/>
    <w:pitch w:val="default"/>
    <w:sig w:usb0="E1002EFF" w:usb1="C000605B" w:usb2="00000029" w:usb3="00000000" w:csb0="200101FF" w:csb1="20280000"/>
    <w:embedRegular r:id="rId8" w:fontKey="{111BF56C-7B21-4981-8B40-4F78BE425CBB}"/>
  </w:font>
  <w:font w:name="Helvetica">
    <w:altName w:val="Arial"/>
    <w:panose1 w:val="00000000000000000000"/>
    <w:charset w:val="00"/>
    <w:family w:val="auto"/>
    <w:pitch w:val="default"/>
    <w:sig w:usb0="00000000" w:usb1="00000000" w:usb2="00000000" w:usb3="00000000" w:csb0="00000000" w:csb1="00000000"/>
    <w:embedRegular r:id="rId9" w:fontKey="{C3957AD4-DE9D-4E2A-83E5-E5619BE7BD6E}"/>
  </w:font>
  <w:font w:name="方正小标宋_GBK">
    <w:panose1 w:val="03000509000000000000"/>
    <w:charset w:val="86"/>
    <w:family w:val="script"/>
    <w:pitch w:val="default"/>
    <w:sig w:usb0="00000001" w:usb1="080E0000" w:usb2="00000000" w:usb3="00000000" w:csb0="00040000" w:csb1="00000000"/>
    <w:embedRegular r:id="rId10" w:fontKey="{AE122CA1-3143-4DA0-8F87-7FD18E77B6EC}"/>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ACF36">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57908">
    <w:pPr>
      <w:pStyle w:val="16"/>
      <w:framePr w:wrap="around" w:vAnchor="text" w:hAnchor="margin" w:xAlign="center" w:y="1"/>
      <w:rPr>
        <w:rStyle w:val="28"/>
      </w:rPr>
    </w:pPr>
    <w:r>
      <w:fldChar w:fldCharType="begin"/>
    </w:r>
    <w:r>
      <w:rPr>
        <w:rStyle w:val="28"/>
      </w:rPr>
      <w:instrText xml:space="preserve">PAGE  </w:instrText>
    </w:r>
    <w:r>
      <w:fldChar w:fldCharType="end"/>
    </w:r>
  </w:p>
  <w:p w14:paraId="487B5417">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F339">
    <w:pPr>
      <w:pStyle w:val="16"/>
      <w:tabs>
        <w:tab w:val="clear" w:pos="4153"/>
      </w:tabs>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D41AB">
    <w:pPr>
      <w:pStyle w:val="16"/>
      <w:tabs>
        <w:tab w:val="clear" w:pos="4153"/>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C523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D0C5235">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82F87">
    <w:pPr>
      <w:pStyle w:val="1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0087A2">
                          <w:pPr>
                            <w:pStyle w:val="1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0087A2">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C4283">
    <w:pPr>
      <w:pStyle w:val="16"/>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D5F0B">
                          <w:pPr>
                            <w:pStyle w:val="1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CBD5F0B">
                    <w:pPr>
                      <w:pStyle w:val="1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805E9"/>
    <w:multiLevelType w:val="singleLevel"/>
    <w:tmpl w:val="87F805E9"/>
    <w:lvl w:ilvl="0" w:tentative="0">
      <w:start w:val="1"/>
      <w:numFmt w:val="decimal"/>
      <w:suff w:val="nothing"/>
      <w:lvlText w:val="%1"/>
      <w:lvlJc w:val="center"/>
      <w:pPr>
        <w:tabs>
          <w:tab w:val="left" w:pos="0"/>
        </w:tabs>
        <w:ind w:left="0" w:firstLine="0"/>
      </w:pPr>
      <w:rPr>
        <w:rFonts w:hint="default"/>
      </w:rPr>
    </w:lvl>
  </w:abstractNum>
  <w:abstractNum w:abstractNumId="1">
    <w:nsid w:val="9C97AC7C"/>
    <w:multiLevelType w:val="singleLevel"/>
    <w:tmpl w:val="9C97AC7C"/>
    <w:lvl w:ilvl="0" w:tentative="0">
      <w:start w:val="1"/>
      <w:numFmt w:val="decimal"/>
      <w:suff w:val="nothing"/>
      <w:lvlText w:val="%1、"/>
      <w:lvlJc w:val="left"/>
    </w:lvl>
  </w:abstractNum>
  <w:abstractNum w:abstractNumId="2">
    <w:nsid w:val="9F1E9741"/>
    <w:multiLevelType w:val="singleLevel"/>
    <w:tmpl w:val="9F1E9741"/>
    <w:lvl w:ilvl="0" w:tentative="0">
      <w:start w:val="1"/>
      <w:numFmt w:val="decimal"/>
      <w:suff w:val="nothing"/>
      <w:lvlText w:val="%1"/>
      <w:lvlJc w:val="center"/>
      <w:pPr>
        <w:ind w:left="0" w:firstLine="0"/>
      </w:pPr>
      <w:rPr>
        <w:rFonts w:hint="default"/>
      </w:rPr>
    </w:lvl>
  </w:abstractNum>
  <w:abstractNum w:abstractNumId="3">
    <w:nsid w:val="A753C815"/>
    <w:multiLevelType w:val="singleLevel"/>
    <w:tmpl w:val="A753C815"/>
    <w:lvl w:ilvl="0" w:tentative="0">
      <w:start w:val="1"/>
      <w:numFmt w:val="decimal"/>
      <w:suff w:val="nothing"/>
      <w:lvlText w:val="%1"/>
      <w:lvlJc w:val="center"/>
      <w:pPr>
        <w:tabs>
          <w:tab w:val="left" w:pos="0"/>
        </w:tabs>
        <w:ind w:left="0" w:firstLine="0"/>
      </w:pPr>
      <w:rPr>
        <w:rFonts w:hint="default"/>
      </w:rPr>
    </w:lvl>
  </w:abstractNum>
  <w:abstractNum w:abstractNumId="4">
    <w:nsid w:val="A9354FC9"/>
    <w:multiLevelType w:val="singleLevel"/>
    <w:tmpl w:val="A9354FC9"/>
    <w:lvl w:ilvl="0" w:tentative="0">
      <w:start w:val="1"/>
      <w:numFmt w:val="chineseCounting"/>
      <w:suff w:val="nothing"/>
      <w:lvlText w:val="%1、"/>
      <w:lvlJc w:val="left"/>
      <w:rPr>
        <w:rFonts w:hint="eastAsia"/>
      </w:rPr>
    </w:lvl>
  </w:abstractNum>
  <w:abstractNum w:abstractNumId="5">
    <w:nsid w:val="AB102A1F"/>
    <w:multiLevelType w:val="singleLevel"/>
    <w:tmpl w:val="AB102A1F"/>
    <w:lvl w:ilvl="0" w:tentative="0">
      <w:start w:val="1"/>
      <w:numFmt w:val="decimal"/>
      <w:suff w:val="space"/>
      <w:lvlText w:val="（%1）"/>
      <w:lvlJc w:val="left"/>
    </w:lvl>
  </w:abstractNum>
  <w:abstractNum w:abstractNumId="6">
    <w:nsid w:val="AD35C627"/>
    <w:multiLevelType w:val="singleLevel"/>
    <w:tmpl w:val="AD35C627"/>
    <w:lvl w:ilvl="0" w:tentative="0">
      <w:start w:val="1"/>
      <w:numFmt w:val="decimal"/>
      <w:suff w:val="nothing"/>
      <w:lvlText w:val="%1、"/>
      <w:lvlJc w:val="left"/>
    </w:lvl>
  </w:abstractNum>
  <w:abstractNum w:abstractNumId="7">
    <w:nsid w:val="AD77945B"/>
    <w:multiLevelType w:val="singleLevel"/>
    <w:tmpl w:val="AD77945B"/>
    <w:lvl w:ilvl="0" w:tentative="0">
      <w:start w:val="1"/>
      <w:numFmt w:val="decimal"/>
      <w:suff w:val="nothing"/>
      <w:lvlText w:val="%1、"/>
      <w:lvlJc w:val="left"/>
    </w:lvl>
  </w:abstractNum>
  <w:abstractNum w:abstractNumId="8">
    <w:nsid w:val="B9F2AD32"/>
    <w:multiLevelType w:val="singleLevel"/>
    <w:tmpl w:val="B9F2AD32"/>
    <w:lvl w:ilvl="0" w:tentative="0">
      <w:start w:val="1"/>
      <w:numFmt w:val="decimal"/>
      <w:suff w:val="nothing"/>
      <w:lvlText w:val="%1、"/>
      <w:lvlJc w:val="left"/>
    </w:lvl>
  </w:abstractNum>
  <w:abstractNum w:abstractNumId="9">
    <w:nsid w:val="C1412A84"/>
    <w:multiLevelType w:val="singleLevel"/>
    <w:tmpl w:val="C1412A84"/>
    <w:lvl w:ilvl="0" w:tentative="0">
      <w:start w:val="1"/>
      <w:numFmt w:val="decimal"/>
      <w:suff w:val="nothing"/>
      <w:lvlText w:val="%1"/>
      <w:lvlJc w:val="center"/>
      <w:pPr>
        <w:ind w:left="0" w:firstLine="0"/>
      </w:pPr>
      <w:rPr>
        <w:rFonts w:hint="default"/>
      </w:rPr>
    </w:lvl>
  </w:abstractNum>
  <w:abstractNum w:abstractNumId="10">
    <w:nsid w:val="D1256C3A"/>
    <w:multiLevelType w:val="singleLevel"/>
    <w:tmpl w:val="D1256C3A"/>
    <w:lvl w:ilvl="0" w:tentative="0">
      <w:start w:val="1"/>
      <w:numFmt w:val="decimal"/>
      <w:suff w:val="nothing"/>
      <w:lvlText w:val="%1"/>
      <w:lvlJc w:val="center"/>
      <w:pPr>
        <w:ind w:left="0" w:firstLine="0"/>
      </w:pPr>
      <w:rPr>
        <w:rFonts w:hint="default"/>
      </w:rPr>
    </w:lvl>
  </w:abstractNum>
  <w:abstractNum w:abstractNumId="11">
    <w:nsid w:val="D4445FF1"/>
    <w:multiLevelType w:val="singleLevel"/>
    <w:tmpl w:val="D4445FF1"/>
    <w:lvl w:ilvl="0" w:tentative="0">
      <w:start w:val="1"/>
      <w:numFmt w:val="decimal"/>
      <w:suff w:val="nothing"/>
      <w:lvlText w:val="（%1）"/>
      <w:lvlJc w:val="left"/>
      <w:rPr>
        <w:rFonts w:hint="default"/>
        <w:color w:val="auto"/>
      </w:rPr>
    </w:lvl>
  </w:abstractNum>
  <w:abstractNum w:abstractNumId="12">
    <w:nsid w:val="E02DF8D4"/>
    <w:multiLevelType w:val="singleLevel"/>
    <w:tmpl w:val="E02DF8D4"/>
    <w:lvl w:ilvl="0" w:tentative="0">
      <w:start w:val="1"/>
      <w:numFmt w:val="decimal"/>
      <w:suff w:val="nothing"/>
      <w:lvlText w:val="%1"/>
      <w:lvlJc w:val="center"/>
      <w:pPr>
        <w:ind w:left="0" w:firstLine="0"/>
      </w:pPr>
      <w:rPr>
        <w:rFonts w:hint="default"/>
      </w:rPr>
    </w:lvl>
  </w:abstractNum>
  <w:abstractNum w:abstractNumId="13">
    <w:nsid w:val="E102FEA7"/>
    <w:multiLevelType w:val="singleLevel"/>
    <w:tmpl w:val="E102FEA7"/>
    <w:lvl w:ilvl="0" w:tentative="0">
      <w:start w:val="1"/>
      <w:numFmt w:val="decimal"/>
      <w:suff w:val="nothing"/>
      <w:lvlText w:val="（%1）"/>
      <w:lvlJc w:val="left"/>
    </w:lvl>
  </w:abstractNum>
  <w:abstractNum w:abstractNumId="14">
    <w:nsid w:val="F1FDACF9"/>
    <w:multiLevelType w:val="singleLevel"/>
    <w:tmpl w:val="F1FDACF9"/>
    <w:lvl w:ilvl="0" w:tentative="0">
      <w:start w:val="1"/>
      <w:numFmt w:val="decimal"/>
      <w:suff w:val="nothing"/>
      <w:lvlText w:val="%1"/>
      <w:lvlJc w:val="center"/>
      <w:pPr>
        <w:tabs>
          <w:tab w:val="left" w:pos="0"/>
        </w:tabs>
        <w:ind w:left="0" w:firstLine="0"/>
      </w:pPr>
      <w:rPr>
        <w:rFonts w:hint="default"/>
      </w:rPr>
    </w:lvl>
  </w:abstractNum>
  <w:abstractNum w:abstractNumId="15">
    <w:nsid w:val="00D09C48"/>
    <w:multiLevelType w:val="singleLevel"/>
    <w:tmpl w:val="00D09C48"/>
    <w:lvl w:ilvl="0" w:tentative="0">
      <w:start w:val="1"/>
      <w:numFmt w:val="decimal"/>
      <w:suff w:val="nothing"/>
      <w:lvlText w:val="%1"/>
      <w:lvlJc w:val="center"/>
      <w:pPr>
        <w:ind w:left="0" w:firstLine="0"/>
      </w:pPr>
      <w:rPr>
        <w:rFonts w:hint="default"/>
      </w:rPr>
    </w:lvl>
  </w:abstractNum>
  <w:abstractNum w:abstractNumId="16">
    <w:nsid w:val="084ADAB0"/>
    <w:multiLevelType w:val="singleLevel"/>
    <w:tmpl w:val="084ADAB0"/>
    <w:lvl w:ilvl="0" w:tentative="0">
      <w:start w:val="1"/>
      <w:numFmt w:val="decimal"/>
      <w:suff w:val="nothing"/>
      <w:lvlText w:val="（%1）"/>
      <w:lvlJc w:val="left"/>
    </w:lvl>
  </w:abstractNum>
  <w:abstractNum w:abstractNumId="17">
    <w:nsid w:val="0AD575B5"/>
    <w:multiLevelType w:val="singleLevel"/>
    <w:tmpl w:val="0AD575B5"/>
    <w:lvl w:ilvl="0" w:tentative="0">
      <w:start w:val="1"/>
      <w:numFmt w:val="decimal"/>
      <w:suff w:val="nothing"/>
      <w:lvlText w:val="%1"/>
      <w:lvlJc w:val="center"/>
      <w:pPr>
        <w:ind w:left="0" w:firstLine="0"/>
      </w:pPr>
      <w:rPr>
        <w:rFonts w:hint="default"/>
      </w:rPr>
    </w:lvl>
  </w:abstractNum>
  <w:abstractNum w:abstractNumId="18">
    <w:nsid w:val="1C347AF3"/>
    <w:multiLevelType w:val="singleLevel"/>
    <w:tmpl w:val="1C347AF3"/>
    <w:lvl w:ilvl="0" w:tentative="0">
      <w:start w:val="1"/>
      <w:numFmt w:val="decimal"/>
      <w:suff w:val="nothing"/>
      <w:lvlText w:val="%1"/>
      <w:lvlJc w:val="center"/>
      <w:pPr>
        <w:tabs>
          <w:tab w:val="left" w:pos="0"/>
        </w:tabs>
        <w:ind w:left="0" w:firstLine="0"/>
      </w:pPr>
      <w:rPr>
        <w:rFonts w:hint="default"/>
      </w:rPr>
    </w:lvl>
  </w:abstractNum>
  <w:abstractNum w:abstractNumId="19">
    <w:nsid w:val="20FCB8DC"/>
    <w:multiLevelType w:val="singleLevel"/>
    <w:tmpl w:val="20FCB8DC"/>
    <w:lvl w:ilvl="0" w:tentative="0">
      <w:start w:val="1"/>
      <w:numFmt w:val="decimal"/>
      <w:suff w:val="nothing"/>
      <w:lvlText w:val="%1"/>
      <w:lvlJc w:val="center"/>
      <w:pPr>
        <w:ind w:left="0" w:firstLine="0"/>
      </w:pPr>
      <w:rPr>
        <w:rFonts w:hint="default"/>
      </w:rPr>
    </w:lvl>
  </w:abstractNum>
  <w:abstractNum w:abstractNumId="20">
    <w:nsid w:val="2C85D3EB"/>
    <w:multiLevelType w:val="singleLevel"/>
    <w:tmpl w:val="2C85D3EB"/>
    <w:lvl w:ilvl="0" w:tentative="0">
      <w:start w:val="1"/>
      <w:numFmt w:val="decimal"/>
      <w:suff w:val="nothing"/>
      <w:lvlText w:val="%1"/>
      <w:lvlJc w:val="center"/>
      <w:pPr>
        <w:tabs>
          <w:tab w:val="left" w:pos="0"/>
        </w:tabs>
        <w:ind w:left="0" w:leftChars="0" w:firstLine="0" w:firstLineChars="0"/>
      </w:pPr>
      <w:rPr>
        <w:rFonts w:hint="default"/>
        <w:sz w:val="21"/>
        <w:szCs w:val="21"/>
      </w:rPr>
    </w:lvl>
  </w:abstractNum>
  <w:abstractNum w:abstractNumId="21">
    <w:nsid w:val="33C395BC"/>
    <w:multiLevelType w:val="singleLevel"/>
    <w:tmpl w:val="33C395BC"/>
    <w:lvl w:ilvl="0" w:tentative="0">
      <w:start w:val="1"/>
      <w:numFmt w:val="decimal"/>
      <w:suff w:val="nothing"/>
      <w:lvlText w:val="%1"/>
      <w:lvlJc w:val="center"/>
      <w:pPr>
        <w:ind w:left="0" w:firstLine="0"/>
      </w:pPr>
      <w:rPr>
        <w:rFonts w:hint="default"/>
      </w:rPr>
    </w:lvl>
  </w:abstractNum>
  <w:abstractNum w:abstractNumId="22">
    <w:nsid w:val="37BD50A3"/>
    <w:multiLevelType w:val="singleLevel"/>
    <w:tmpl w:val="37BD50A3"/>
    <w:lvl w:ilvl="0" w:tentative="0">
      <w:start w:val="1"/>
      <w:numFmt w:val="decimal"/>
      <w:suff w:val="nothing"/>
      <w:lvlText w:val="%1"/>
      <w:lvlJc w:val="center"/>
      <w:pPr>
        <w:ind w:left="0" w:firstLine="0"/>
      </w:pPr>
      <w:rPr>
        <w:rFonts w:hint="default"/>
      </w:rPr>
    </w:lvl>
  </w:abstractNum>
  <w:abstractNum w:abstractNumId="23">
    <w:nsid w:val="381AFE64"/>
    <w:multiLevelType w:val="singleLevel"/>
    <w:tmpl w:val="381AFE64"/>
    <w:lvl w:ilvl="0" w:tentative="0">
      <w:start w:val="1"/>
      <w:numFmt w:val="decimal"/>
      <w:suff w:val="nothing"/>
      <w:lvlText w:val="%1"/>
      <w:lvlJc w:val="center"/>
      <w:pPr>
        <w:ind w:left="0" w:firstLine="0"/>
      </w:pPr>
      <w:rPr>
        <w:rFonts w:hint="default"/>
      </w:rPr>
    </w:lvl>
  </w:abstractNum>
  <w:abstractNum w:abstractNumId="24">
    <w:nsid w:val="3A12E4B2"/>
    <w:multiLevelType w:val="singleLevel"/>
    <w:tmpl w:val="3A12E4B2"/>
    <w:lvl w:ilvl="0" w:tentative="0">
      <w:start w:val="1"/>
      <w:numFmt w:val="decimal"/>
      <w:suff w:val="nothing"/>
      <w:lvlText w:val="%1"/>
      <w:lvlJc w:val="center"/>
      <w:pPr>
        <w:ind w:left="0" w:firstLine="0"/>
      </w:pPr>
      <w:rPr>
        <w:rFonts w:hint="default"/>
      </w:rPr>
    </w:lvl>
  </w:abstractNum>
  <w:abstractNum w:abstractNumId="25">
    <w:nsid w:val="3F26402C"/>
    <w:multiLevelType w:val="singleLevel"/>
    <w:tmpl w:val="3F26402C"/>
    <w:lvl w:ilvl="0" w:tentative="0">
      <w:start w:val="6"/>
      <w:numFmt w:val="decimal"/>
      <w:suff w:val="nothing"/>
      <w:lvlText w:val="%1、"/>
      <w:lvlJc w:val="left"/>
    </w:lvl>
  </w:abstractNum>
  <w:abstractNum w:abstractNumId="26">
    <w:nsid w:val="3FDEAE09"/>
    <w:multiLevelType w:val="singleLevel"/>
    <w:tmpl w:val="3FDEAE09"/>
    <w:lvl w:ilvl="0" w:tentative="0">
      <w:start w:val="1"/>
      <w:numFmt w:val="decimal"/>
      <w:suff w:val="nothing"/>
      <w:lvlText w:val="%1、"/>
      <w:lvlJc w:val="left"/>
    </w:lvl>
  </w:abstractNum>
  <w:abstractNum w:abstractNumId="27">
    <w:nsid w:val="43A89F74"/>
    <w:multiLevelType w:val="singleLevel"/>
    <w:tmpl w:val="43A89F74"/>
    <w:lvl w:ilvl="0" w:tentative="0">
      <w:start w:val="1"/>
      <w:numFmt w:val="decimal"/>
      <w:suff w:val="nothing"/>
      <w:lvlText w:val="%1"/>
      <w:lvlJc w:val="center"/>
      <w:pPr>
        <w:ind w:left="0" w:firstLine="0"/>
      </w:pPr>
      <w:rPr>
        <w:rFonts w:hint="default"/>
      </w:rPr>
    </w:lvl>
  </w:abstractNum>
  <w:abstractNum w:abstractNumId="28">
    <w:nsid w:val="46D38581"/>
    <w:multiLevelType w:val="singleLevel"/>
    <w:tmpl w:val="46D38581"/>
    <w:lvl w:ilvl="0" w:tentative="0">
      <w:start w:val="1"/>
      <w:numFmt w:val="chineseCounting"/>
      <w:suff w:val="nothing"/>
      <w:lvlText w:val="%1、"/>
      <w:lvlJc w:val="left"/>
      <w:rPr>
        <w:rFonts w:hint="eastAsia"/>
      </w:rPr>
    </w:lvl>
  </w:abstractNum>
  <w:abstractNum w:abstractNumId="29">
    <w:nsid w:val="489CBCAE"/>
    <w:multiLevelType w:val="singleLevel"/>
    <w:tmpl w:val="489CBCAE"/>
    <w:lvl w:ilvl="0" w:tentative="0">
      <w:start w:val="1"/>
      <w:numFmt w:val="decimal"/>
      <w:suff w:val="nothing"/>
      <w:lvlText w:val="%1"/>
      <w:lvlJc w:val="left"/>
      <w:pPr>
        <w:ind w:left="0" w:firstLine="0"/>
      </w:pPr>
      <w:rPr>
        <w:rFonts w:hint="default"/>
      </w:rPr>
    </w:lvl>
  </w:abstractNum>
  <w:abstractNum w:abstractNumId="30">
    <w:nsid w:val="4A1B7C04"/>
    <w:multiLevelType w:val="singleLevel"/>
    <w:tmpl w:val="4A1B7C04"/>
    <w:lvl w:ilvl="0" w:tentative="0">
      <w:start w:val="1"/>
      <w:numFmt w:val="decimal"/>
      <w:suff w:val="nothing"/>
      <w:lvlText w:val="%1"/>
      <w:lvlJc w:val="center"/>
      <w:pPr>
        <w:ind w:left="0" w:firstLine="0"/>
      </w:pPr>
      <w:rPr>
        <w:rFonts w:hint="default"/>
      </w:rPr>
    </w:lvl>
  </w:abstractNum>
  <w:abstractNum w:abstractNumId="31">
    <w:nsid w:val="4A802A47"/>
    <w:multiLevelType w:val="singleLevel"/>
    <w:tmpl w:val="4A802A47"/>
    <w:lvl w:ilvl="0" w:tentative="0">
      <w:start w:val="1"/>
      <w:numFmt w:val="decimal"/>
      <w:suff w:val="nothing"/>
      <w:lvlText w:val="（%1）"/>
      <w:lvlJc w:val="left"/>
    </w:lvl>
  </w:abstractNum>
  <w:abstractNum w:abstractNumId="32">
    <w:nsid w:val="4C669BF8"/>
    <w:multiLevelType w:val="singleLevel"/>
    <w:tmpl w:val="4C669BF8"/>
    <w:lvl w:ilvl="0" w:tentative="0">
      <w:start w:val="1"/>
      <w:numFmt w:val="decimal"/>
      <w:suff w:val="nothing"/>
      <w:lvlText w:val="%1、"/>
      <w:lvlJc w:val="left"/>
    </w:lvl>
  </w:abstractNum>
  <w:abstractNum w:abstractNumId="33">
    <w:nsid w:val="4D560BFE"/>
    <w:multiLevelType w:val="singleLevel"/>
    <w:tmpl w:val="4D560BFE"/>
    <w:lvl w:ilvl="0" w:tentative="0">
      <w:start w:val="1"/>
      <w:numFmt w:val="decimal"/>
      <w:suff w:val="nothing"/>
      <w:lvlText w:val="%1"/>
      <w:lvlJc w:val="center"/>
      <w:pPr>
        <w:ind w:left="0" w:firstLine="0"/>
      </w:pPr>
      <w:rPr>
        <w:rFonts w:hint="default"/>
      </w:rPr>
    </w:lvl>
  </w:abstractNum>
  <w:abstractNum w:abstractNumId="34">
    <w:nsid w:val="4E3BF9F6"/>
    <w:multiLevelType w:val="singleLevel"/>
    <w:tmpl w:val="4E3BF9F6"/>
    <w:lvl w:ilvl="0" w:tentative="0">
      <w:start w:val="1"/>
      <w:numFmt w:val="decimal"/>
      <w:suff w:val="nothing"/>
      <w:lvlText w:val="%1、"/>
      <w:lvlJc w:val="left"/>
    </w:lvl>
  </w:abstractNum>
  <w:abstractNum w:abstractNumId="35">
    <w:nsid w:val="52624146"/>
    <w:multiLevelType w:val="singleLevel"/>
    <w:tmpl w:val="52624146"/>
    <w:lvl w:ilvl="0" w:tentative="0">
      <w:start w:val="1"/>
      <w:numFmt w:val="decimal"/>
      <w:suff w:val="nothing"/>
      <w:lvlText w:val="%1、"/>
      <w:lvlJc w:val="left"/>
    </w:lvl>
  </w:abstractNum>
  <w:abstractNum w:abstractNumId="36">
    <w:nsid w:val="60694009"/>
    <w:multiLevelType w:val="singleLevel"/>
    <w:tmpl w:val="60694009"/>
    <w:lvl w:ilvl="0" w:tentative="0">
      <w:start w:val="3"/>
      <w:numFmt w:val="decimal"/>
      <w:suff w:val="nothing"/>
      <w:lvlText w:val="（%1）"/>
      <w:lvlJc w:val="left"/>
    </w:lvl>
  </w:abstractNum>
  <w:abstractNum w:abstractNumId="37">
    <w:nsid w:val="6D3F2133"/>
    <w:multiLevelType w:val="singleLevel"/>
    <w:tmpl w:val="6D3F2133"/>
    <w:lvl w:ilvl="0" w:tentative="0">
      <w:start w:val="1"/>
      <w:numFmt w:val="decimal"/>
      <w:suff w:val="nothing"/>
      <w:lvlText w:val="%1"/>
      <w:lvlJc w:val="center"/>
      <w:pPr>
        <w:tabs>
          <w:tab w:val="left" w:pos="0"/>
        </w:tabs>
      </w:pPr>
      <w:rPr>
        <w:rFonts w:hint="default" w:ascii="Times New Roman" w:hAnsi="Times New Roman" w:eastAsia="宋体" w:cs="宋体"/>
        <w:sz w:val="21"/>
      </w:rPr>
    </w:lvl>
  </w:abstractNum>
  <w:abstractNum w:abstractNumId="38">
    <w:nsid w:val="6D584F88"/>
    <w:multiLevelType w:val="singleLevel"/>
    <w:tmpl w:val="6D584F88"/>
    <w:lvl w:ilvl="0" w:tentative="0">
      <w:start w:val="1"/>
      <w:numFmt w:val="decimal"/>
      <w:suff w:val="nothing"/>
      <w:lvlText w:val="（%1）"/>
      <w:lvlJc w:val="left"/>
    </w:lvl>
  </w:abstractNum>
  <w:abstractNum w:abstractNumId="39">
    <w:nsid w:val="720DF586"/>
    <w:multiLevelType w:val="singleLevel"/>
    <w:tmpl w:val="720DF586"/>
    <w:lvl w:ilvl="0" w:tentative="0">
      <w:start w:val="1"/>
      <w:numFmt w:val="decimal"/>
      <w:suff w:val="nothing"/>
      <w:lvlText w:val="%1"/>
      <w:lvlJc w:val="center"/>
      <w:pPr>
        <w:ind w:left="0" w:firstLine="0"/>
      </w:pPr>
      <w:rPr>
        <w:rFonts w:hint="default"/>
      </w:rPr>
    </w:lvl>
  </w:abstractNum>
  <w:abstractNum w:abstractNumId="40">
    <w:nsid w:val="783E6DD8"/>
    <w:multiLevelType w:val="singleLevel"/>
    <w:tmpl w:val="783E6DD8"/>
    <w:lvl w:ilvl="0" w:tentative="0">
      <w:start w:val="2"/>
      <w:numFmt w:val="decimal"/>
      <w:suff w:val="nothing"/>
      <w:lvlText w:val="%1、"/>
      <w:lvlJc w:val="left"/>
    </w:lvl>
  </w:abstractNum>
  <w:num w:numId="1">
    <w:abstractNumId w:val="35"/>
  </w:num>
  <w:num w:numId="2">
    <w:abstractNumId w:val="1"/>
  </w:num>
  <w:num w:numId="3">
    <w:abstractNumId w:val="6"/>
  </w:num>
  <w:num w:numId="4">
    <w:abstractNumId w:val="26"/>
  </w:num>
  <w:num w:numId="5">
    <w:abstractNumId w:val="23"/>
  </w:num>
  <w:num w:numId="6">
    <w:abstractNumId w:val="36"/>
  </w:num>
  <w:num w:numId="7">
    <w:abstractNumId w:val="4"/>
  </w:num>
  <w:num w:numId="8">
    <w:abstractNumId w:val="22"/>
  </w:num>
  <w:num w:numId="9">
    <w:abstractNumId w:val="0"/>
  </w:num>
  <w:num w:numId="10">
    <w:abstractNumId w:val="9"/>
  </w:num>
  <w:num w:numId="11">
    <w:abstractNumId w:val="19"/>
  </w:num>
  <w:num w:numId="12">
    <w:abstractNumId w:val="38"/>
  </w:num>
  <w:num w:numId="13">
    <w:abstractNumId w:val="24"/>
  </w:num>
  <w:num w:numId="14">
    <w:abstractNumId w:val="12"/>
  </w:num>
  <w:num w:numId="15">
    <w:abstractNumId w:val="3"/>
  </w:num>
  <w:num w:numId="16">
    <w:abstractNumId w:val="20"/>
  </w:num>
  <w:num w:numId="17">
    <w:abstractNumId w:val="10"/>
  </w:num>
  <w:num w:numId="18">
    <w:abstractNumId w:val="33"/>
  </w:num>
  <w:num w:numId="19">
    <w:abstractNumId w:val="17"/>
  </w:num>
  <w:num w:numId="20">
    <w:abstractNumId w:val="28"/>
  </w:num>
  <w:num w:numId="21">
    <w:abstractNumId w:val="34"/>
  </w:num>
  <w:num w:numId="22">
    <w:abstractNumId w:val="13"/>
  </w:num>
  <w:num w:numId="23">
    <w:abstractNumId w:val="16"/>
  </w:num>
  <w:num w:numId="24">
    <w:abstractNumId w:val="25"/>
  </w:num>
  <w:num w:numId="25">
    <w:abstractNumId w:val="11"/>
  </w:num>
  <w:num w:numId="26">
    <w:abstractNumId w:val="30"/>
  </w:num>
  <w:num w:numId="27">
    <w:abstractNumId w:val="31"/>
  </w:num>
  <w:num w:numId="28">
    <w:abstractNumId w:val="18"/>
  </w:num>
  <w:num w:numId="29">
    <w:abstractNumId w:val="29"/>
  </w:num>
  <w:num w:numId="30">
    <w:abstractNumId w:val="2"/>
  </w:num>
  <w:num w:numId="31">
    <w:abstractNumId w:val="40"/>
  </w:num>
  <w:num w:numId="32">
    <w:abstractNumId w:val="14"/>
  </w:num>
  <w:num w:numId="33">
    <w:abstractNumId w:val="37"/>
  </w:num>
  <w:num w:numId="34">
    <w:abstractNumId w:val="27"/>
  </w:num>
  <w:num w:numId="35">
    <w:abstractNumId w:val="21"/>
  </w:num>
  <w:num w:numId="36">
    <w:abstractNumId w:val="5"/>
  </w:num>
  <w:num w:numId="37">
    <w:abstractNumId w:val="39"/>
  </w:num>
  <w:num w:numId="38">
    <w:abstractNumId w:val="15"/>
  </w:num>
  <w:num w:numId="39">
    <w:abstractNumId w:val="8"/>
  </w:num>
  <w:num w:numId="40">
    <w:abstractNumId w:val="7"/>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mYTg0YzVjNjAxZWFiMGM2NjdlMjY5NmE2ODdiMTkifQ=="/>
  </w:docVars>
  <w:rsids>
    <w:rsidRoot w:val="00172A27"/>
    <w:rsid w:val="00D32067"/>
    <w:rsid w:val="01395070"/>
    <w:rsid w:val="01A73900"/>
    <w:rsid w:val="01AC517D"/>
    <w:rsid w:val="01BC7932"/>
    <w:rsid w:val="02275EDB"/>
    <w:rsid w:val="027C00C7"/>
    <w:rsid w:val="04632C77"/>
    <w:rsid w:val="046F14D4"/>
    <w:rsid w:val="04E2319C"/>
    <w:rsid w:val="06310BC5"/>
    <w:rsid w:val="06A35AB8"/>
    <w:rsid w:val="06E67961"/>
    <w:rsid w:val="07116996"/>
    <w:rsid w:val="075A0D93"/>
    <w:rsid w:val="08767F7A"/>
    <w:rsid w:val="08C90AA6"/>
    <w:rsid w:val="09164A8E"/>
    <w:rsid w:val="0970181C"/>
    <w:rsid w:val="099646D7"/>
    <w:rsid w:val="0A9D2A07"/>
    <w:rsid w:val="0B566063"/>
    <w:rsid w:val="0C87121B"/>
    <w:rsid w:val="0DA97851"/>
    <w:rsid w:val="0DE8328F"/>
    <w:rsid w:val="0F2A3EDC"/>
    <w:rsid w:val="0F313F83"/>
    <w:rsid w:val="0F32623D"/>
    <w:rsid w:val="0F997807"/>
    <w:rsid w:val="0FBD663B"/>
    <w:rsid w:val="100D3F17"/>
    <w:rsid w:val="10120977"/>
    <w:rsid w:val="106C3AA2"/>
    <w:rsid w:val="119D0D03"/>
    <w:rsid w:val="11A21857"/>
    <w:rsid w:val="11D405FA"/>
    <w:rsid w:val="11F65EA9"/>
    <w:rsid w:val="12661175"/>
    <w:rsid w:val="13862F37"/>
    <w:rsid w:val="147936E4"/>
    <w:rsid w:val="16393F8C"/>
    <w:rsid w:val="16414353"/>
    <w:rsid w:val="170114E8"/>
    <w:rsid w:val="186F108C"/>
    <w:rsid w:val="18F64A17"/>
    <w:rsid w:val="19AC41D9"/>
    <w:rsid w:val="1A5A7CE7"/>
    <w:rsid w:val="1ABF3CD3"/>
    <w:rsid w:val="1CB942E2"/>
    <w:rsid w:val="1D721C44"/>
    <w:rsid w:val="1EAE454F"/>
    <w:rsid w:val="1F0258B4"/>
    <w:rsid w:val="1F207FD8"/>
    <w:rsid w:val="1F38650F"/>
    <w:rsid w:val="208675FF"/>
    <w:rsid w:val="20991403"/>
    <w:rsid w:val="20F909D3"/>
    <w:rsid w:val="21E13260"/>
    <w:rsid w:val="22433E12"/>
    <w:rsid w:val="227F09EA"/>
    <w:rsid w:val="22A73A63"/>
    <w:rsid w:val="2394199E"/>
    <w:rsid w:val="240847CA"/>
    <w:rsid w:val="24BE3F84"/>
    <w:rsid w:val="25505782"/>
    <w:rsid w:val="25F71BD4"/>
    <w:rsid w:val="26333261"/>
    <w:rsid w:val="267F1B11"/>
    <w:rsid w:val="27927949"/>
    <w:rsid w:val="28036175"/>
    <w:rsid w:val="28597FAF"/>
    <w:rsid w:val="29DF1706"/>
    <w:rsid w:val="2A027E45"/>
    <w:rsid w:val="2A9C2B2F"/>
    <w:rsid w:val="2AD977C4"/>
    <w:rsid w:val="2B99684E"/>
    <w:rsid w:val="2E0306E6"/>
    <w:rsid w:val="2E1F2D74"/>
    <w:rsid w:val="2FB40854"/>
    <w:rsid w:val="2FDA4764"/>
    <w:rsid w:val="2FF90F7C"/>
    <w:rsid w:val="301D0CCC"/>
    <w:rsid w:val="30A15C28"/>
    <w:rsid w:val="31576B57"/>
    <w:rsid w:val="335262EB"/>
    <w:rsid w:val="338257CF"/>
    <w:rsid w:val="346C7D4A"/>
    <w:rsid w:val="34CD7BFA"/>
    <w:rsid w:val="357D5757"/>
    <w:rsid w:val="35870996"/>
    <w:rsid w:val="35BC2E28"/>
    <w:rsid w:val="3607296D"/>
    <w:rsid w:val="36536A84"/>
    <w:rsid w:val="368F480F"/>
    <w:rsid w:val="36AE1B85"/>
    <w:rsid w:val="36E35462"/>
    <w:rsid w:val="370B0149"/>
    <w:rsid w:val="38310C7F"/>
    <w:rsid w:val="38B5651C"/>
    <w:rsid w:val="38E53734"/>
    <w:rsid w:val="39194148"/>
    <w:rsid w:val="399B13CE"/>
    <w:rsid w:val="3A5123C7"/>
    <w:rsid w:val="3A5244D1"/>
    <w:rsid w:val="3B681923"/>
    <w:rsid w:val="3BAC7DAB"/>
    <w:rsid w:val="3BD556E5"/>
    <w:rsid w:val="3DE84A23"/>
    <w:rsid w:val="3E197BF0"/>
    <w:rsid w:val="3E9E2ECA"/>
    <w:rsid w:val="3F634A8A"/>
    <w:rsid w:val="4030291B"/>
    <w:rsid w:val="40C00528"/>
    <w:rsid w:val="412B3949"/>
    <w:rsid w:val="41B93B54"/>
    <w:rsid w:val="420A43ED"/>
    <w:rsid w:val="42AC6E18"/>
    <w:rsid w:val="43065462"/>
    <w:rsid w:val="43560B8E"/>
    <w:rsid w:val="43792ACE"/>
    <w:rsid w:val="43B71689"/>
    <w:rsid w:val="444A5133"/>
    <w:rsid w:val="44EC2434"/>
    <w:rsid w:val="45337804"/>
    <w:rsid w:val="45C910B8"/>
    <w:rsid w:val="4687200C"/>
    <w:rsid w:val="46DC3D83"/>
    <w:rsid w:val="46DD338A"/>
    <w:rsid w:val="4743767B"/>
    <w:rsid w:val="47500654"/>
    <w:rsid w:val="483C2809"/>
    <w:rsid w:val="486024AF"/>
    <w:rsid w:val="48D3553D"/>
    <w:rsid w:val="49112158"/>
    <w:rsid w:val="49E3742F"/>
    <w:rsid w:val="4B8564DA"/>
    <w:rsid w:val="4BD07EF1"/>
    <w:rsid w:val="4D421BCE"/>
    <w:rsid w:val="4D6F3EA0"/>
    <w:rsid w:val="4D7A17BB"/>
    <w:rsid w:val="4E231FB4"/>
    <w:rsid w:val="4EE54DE8"/>
    <w:rsid w:val="500145FB"/>
    <w:rsid w:val="508769D7"/>
    <w:rsid w:val="50904EF2"/>
    <w:rsid w:val="513A54EE"/>
    <w:rsid w:val="51B4709B"/>
    <w:rsid w:val="520F009C"/>
    <w:rsid w:val="52894B8D"/>
    <w:rsid w:val="529C5A87"/>
    <w:rsid w:val="52D36CFA"/>
    <w:rsid w:val="53030D9B"/>
    <w:rsid w:val="533A4B08"/>
    <w:rsid w:val="5345315F"/>
    <w:rsid w:val="53994003"/>
    <w:rsid w:val="53A44DA4"/>
    <w:rsid w:val="53E73A84"/>
    <w:rsid w:val="55560F98"/>
    <w:rsid w:val="55676C2B"/>
    <w:rsid w:val="560E048D"/>
    <w:rsid w:val="56561334"/>
    <w:rsid w:val="56977921"/>
    <w:rsid w:val="579D503F"/>
    <w:rsid w:val="57CF3558"/>
    <w:rsid w:val="581E1694"/>
    <w:rsid w:val="583D1240"/>
    <w:rsid w:val="587329E5"/>
    <w:rsid w:val="589139F5"/>
    <w:rsid w:val="58B475AE"/>
    <w:rsid w:val="5AD04D68"/>
    <w:rsid w:val="5B6F276D"/>
    <w:rsid w:val="5B8F6EDB"/>
    <w:rsid w:val="5BA64CC4"/>
    <w:rsid w:val="5D5306D7"/>
    <w:rsid w:val="5D58750A"/>
    <w:rsid w:val="5DC31172"/>
    <w:rsid w:val="5E406789"/>
    <w:rsid w:val="5EB12A83"/>
    <w:rsid w:val="5F5556C9"/>
    <w:rsid w:val="5FE56D7E"/>
    <w:rsid w:val="601F59AC"/>
    <w:rsid w:val="606C77EB"/>
    <w:rsid w:val="60B60A66"/>
    <w:rsid w:val="61017D6A"/>
    <w:rsid w:val="62A46135"/>
    <w:rsid w:val="62A77AD4"/>
    <w:rsid w:val="63082191"/>
    <w:rsid w:val="63533447"/>
    <w:rsid w:val="64816C99"/>
    <w:rsid w:val="649E1DF8"/>
    <w:rsid w:val="65055B18"/>
    <w:rsid w:val="65550DA5"/>
    <w:rsid w:val="66657F88"/>
    <w:rsid w:val="668D2269"/>
    <w:rsid w:val="672A3F5C"/>
    <w:rsid w:val="673B1CC5"/>
    <w:rsid w:val="673D3E87"/>
    <w:rsid w:val="67446DCC"/>
    <w:rsid w:val="6745021D"/>
    <w:rsid w:val="678533E6"/>
    <w:rsid w:val="6A3169CD"/>
    <w:rsid w:val="6B0514FA"/>
    <w:rsid w:val="6B784E78"/>
    <w:rsid w:val="6C1D0A6F"/>
    <w:rsid w:val="6C5D3D48"/>
    <w:rsid w:val="6CBF1672"/>
    <w:rsid w:val="6D293D1B"/>
    <w:rsid w:val="6D5A4E0D"/>
    <w:rsid w:val="6D68730F"/>
    <w:rsid w:val="6DEE0BC7"/>
    <w:rsid w:val="6DF01C95"/>
    <w:rsid w:val="6E472442"/>
    <w:rsid w:val="6E4F4167"/>
    <w:rsid w:val="6EB7319D"/>
    <w:rsid w:val="6EF42AB9"/>
    <w:rsid w:val="6F4162E7"/>
    <w:rsid w:val="6F4862DB"/>
    <w:rsid w:val="6FD64C81"/>
    <w:rsid w:val="6FF57D4B"/>
    <w:rsid w:val="702F0D23"/>
    <w:rsid w:val="70EC3B37"/>
    <w:rsid w:val="715100D4"/>
    <w:rsid w:val="7159440F"/>
    <w:rsid w:val="721C178C"/>
    <w:rsid w:val="72A52C50"/>
    <w:rsid w:val="72B47365"/>
    <w:rsid w:val="72CC4119"/>
    <w:rsid w:val="72DB61E2"/>
    <w:rsid w:val="733C6346"/>
    <w:rsid w:val="73614861"/>
    <w:rsid w:val="73A81741"/>
    <w:rsid w:val="73B24FB7"/>
    <w:rsid w:val="74056EF3"/>
    <w:rsid w:val="74166C50"/>
    <w:rsid w:val="74404CE7"/>
    <w:rsid w:val="75097890"/>
    <w:rsid w:val="75660855"/>
    <w:rsid w:val="75A03D67"/>
    <w:rsid w:val="75C81725"/>
    <w:rsid w:val="765011BE"/>
    <w:rsid w:val="76B9737A"/>
    <w:rsid w:val="77112A42"/>
    <w:rsid w:val="7764123C"/>
    <w:rsid w:val="776E1391"/>
    <w:rsid w:val="782F2702"/>
    <w:rsid w:val="78AD18CD"/>
    <w:rsid w:val="7A6D5EA5"/>
    <w:rsid w:val="7B2F16E9"/>
    <w:rsid w:val="7B694904"/>
    <w:rsid w:val="7C233B64"/>
    <w:rsid w:val="7C4527B1"/>
    <w:rsid w:val="7D4F331C"/>
    <w:rsid w:val="7DD87553"/>
    <w:rsid w:val="7DE5259F"/>
    <w:rsid w:val="7E6949C0"/>
    <w:rsid w:val="7EAE621F"/>
    <w:rsid w:val="7FC537B7"/>
    <w:rsid w:val="7FED1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4"/>
    <w:basedOn w:val="1"/>
    <w:next w:val="1"/>
    <w:qFormat/>
    <w:uiPriority w:val="0"/>
    <w:pPr>
      <w:tabs>
        <w:tab w:val="left" w:pos="360"/>
        <w:tab w:val="left" w:pos="2207"/>
      </w:tabs>
      <w:spacing w:line="480" w:lineRule="exact"/>
      <w:ind w:firstLine="0" w:firstLineChars="0"/>
      <w:outlineLvl w:val="3"/>
    </w:pPr>
    <w:rPr>
      <w:rFonts w:ascii="宋体" w:hAnsi="宋体"/>
      <w:b/>
      <w:snapToGrid/>
      <w:color w:val="000000"/>
      <w:sz w:val="24"/>
    </w:rPr>
  </w:style>
  <w:style w:type="paragraph" w:styleId="6">
    <w:name w:val="heading 5"/>
    <w:basedOn w:val="1"/>
    <w:next w:val="1"/>
    <w:unhideWhenUsed/>
    <w:qFormat/>
    <w:uiPriority w:val="0"/>
    <w:pPr>
      <w:keepNext w:val="0"/>
      <w:keepLines w:val="0"/>
      <w:adjustRightInd w:val="0"/>
      <w:snapToGrid w:val="0"/>
      <w:spacing w:beforeLines="0" w:beforeAutospacing="0" w:afterLines="0" w:afterAutospacing="0" w:line="240" w:lineRule="auto"/>
      <w:ind w:firstLine="0" w:firstLineChars="0"/>
      <w:jc w:val="center"/>
      <w:outlineLvl w:val="4"/>
    </w:pPr>
    <w:rPr>
      <w:rFonts w:ascii="Times New Roman" w:hAnsi="Times New Roman"/>
      <w:b/>
      <w:sz w:val="21"/>
      <w:szCs w:val="24"/>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rPr>
      <w:rFonts w:ascii="Times New Roman" w:hAnsi="Times New Roman"/>
      <w:szCs w:val="24"/>
    </w:rPr>
  </w:style>
  <w:style w:type="paragraph" w:styleId="3">
    <w:name w:val="toc 1"/>
    <w:basedOn w:val="1"/>
    <w:next w:val="1"/>
    <w:qFormat/>
    <w:uiPriority w:val="0"/>
  </w:style>
  <w:style w:type="paragraph" w:styleId="7">
    <w:name w:val="caption"/>
    <w:basedOn w:val="1"/>
    <w:next w:val="1"/>
    <w:qFormat/>
    <w:uiPriority w:val="0"/>
    <w:pPr>
      <w:spacing w:before="160" w:after="160" w:line="288" w:lineRule="auto"/>
      <w:ind w:firstLine="510"/>
      <w:jc w:val="center"/>
    </w:pPr>
    <w:rPr>
      <w:rFonts w:ascii="Arial" w:hAnsi="Arial" w:eastAsia="黑体"/>
      <w:sz w:val="24"/>
    </w:rPr>
  </w:style>
  <w:style w:type="paragraph" w:styleId="8">
    <w:name w:val="index 5"/>
    <w:basedOn w:val="1"/>
    <w:next w:val="1"/>
    <w:qFormat/>
    <w:uiPriority w:val="0"/>
    <w:pPr>
      <w:ind w:left="800" w:leftChars="800"/>
    </w:pPr>
  </w:style>
  <w:style w:type="paragraph" w:styleId="9">
    <w:name w:val="annotation text"/>
    <w:basedOn w:val="1"/>
    <w:qFormat/>
    <w:uiPriority w:val="0"/>
    <w:pPr>
      <w:jc w:val="left"/>
    </w:pPr>
  </w:style>
  <w:style w:type="paragraph" w:styleId="10">
    <w:name w:val="Body Text"/>
    <w:basedOn w:val="1"/>
    <w:next w:val="1"/>
    <w:qFormat/>
    <w:uiPriority w:val="0"/>
    <w:pPr>
      <w:ind w:left="153"/>
    </w:pPr>
    <w:rPr>
      <w:rFonts w:ascii="宋体" w:hAnsi="宋体" w:eastAsia="宋体"/>
      <w:sz w:val="25"/>
      <w:szCs w:val="25"/>
    </w:rPr>
  </w:style>
  <w:style w:type="paragraph" w:styleId="11">
    <w:name w:val="Body Text Indent"/>
    <w:basedOn w:val="1"/>
    <w:next w:val="12"/>
    <w:qFormat/>
    <w:uiPriority w:val="0"/>
    <w:pPr>
      <w:spacing w:after="120"/>
      <w:ind w:left="420" w:leftChars="200"/>
    </w:pPr>
    <w:rPr>
      <w:kern w:val="0"/>
      <w:sz w:val="24"/>
      <w:szCs w:val="20"/>
    </w:rPr>
  </w:style>
  <w:style w:type="paragraph" w:customStyle="1" w:styleId="12">
    <w:name w:val="样式 正文文本缩进 + 行距: 1.5 倍行距"/>
    <w:basedOn w:val="1"/>
    <w:qFormat/>
    <w:uiPriority w:val="0"/>
    <w:pPr>
      <w:spacing w:after="120" w:line="360" w:lineRule="auto"/>
      <w:ind w:left="90" w:leftChars="32" w:firstLine="560" w:firstLineChars="200"/>
    </w:pPr>
    <w:rPr>
      <w:rFonts w:ascii="Calibri" w:hAnsi="Calibri" w:cs="宋体"/>
      <w:szCs w:val="24"/>
    </w:rPr>
  </w:style>
  <w:style w:type="paragraph" w:styleId="13">
    <w:name w:val="Block Text"/>
    <w:basedOn w:val="1"/>
    <w:next w:val="1"/>
    <w:unhideWhenUsed/>
    <w:qFormat/>
    <w:uiPriority w:val="0"/>
    <w:pPr>
      <w:spacing w:after="120"/>
      <w:ind w:left="1440" w:leftChars="700" w:right="1440" w:rightChars="700"/>
    </w:pPr>
  </w:style>
  <w:style w:type="paragraph" w:styleId="14">
    <w:name w:val="Plain Text"/>
    <w:basedOn w:val="1"/>
    <w:qFormat/>
    <w:uiPriority w:val="0"/>
    <w:rPr>
      <w:rFonts w:hAnsi="Courier New"/>
      <w:kern w:val="2"/>
      <w:sz w:val="21"/>
    </w:rPr>
  </w:style>
  <w:style w:type="paragraph" w:styleId="15">
    <w:name w:val="Body Text Indent 2"/>
    <w:basedOn w:val="1"/>
    <w:qFormat/>
    <w:uiPriority w:val="0"/>
    <w:pPr>
      <w:spacing w:before="120" w:beforeLines="0"/>
      <w:ind w:right="113" w:firstLine="570"/>
    </w:pPr>
    <w:rPr>
      <w:kern w:val="24"/>
      <w:sz w:val="28"/>
      <w:szCs w:val="20"/>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Subtitle"/>
    <w:basedOn w:val="1"/>
    <w:next w:val="1"/>
    <w:qFormat/>
    <w:uiPriority w:val="0"/>
    <w:pPr>
      <w:ind w:firstLine="0" w:firstLineChars="0"/>
      <w:jc w:val="center"/>
    </w:pPr>
    <w:rPr>
      <w:b/>
      <w:sz w:val="21"/>
    </w:rPr>
  </w:style>
  <w:style w:type="paragraph" w:styleId="19">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0">
    <w:name w:val="HTML Preformatted"/>
    <w:basedOn w:val="1"/>
    <w:unhideWhenUsed/>
    <w:qFormat/>
    <w:uiPriority w:val="99"/>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default" w:ascii="微软雅黑" w:hAnsi="微软雅黑" w:eastAsia="微软雅黑" w:cs="微软雅黑"/>
      <w:kern w:val="0"/>
      <w:sz w:val="24"/>
      <w:szCs w:val="24"/>
      <w:lang w:val="en-US" w:eastAsia="zh-CN" w:bidi="ar"/>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Body Text First Indent"/>
    <w:basedOn w:val="10"/>
    <w:next w:val="1"/>
    <w:qFormat/>
    <w:uiPriority w:val="0"/>
    <w:pPr>
      <w:ind w:firstLine="420" w:firstLineChars="100"/>
    </w:pPr>
    <w:rPr>
      <w:szCs w:val="24"/>
    </w:rPr>
  </w:style>
  <w:style w:type="paragraph" w:styleId="23">
    <w:name w:val="Body Text First Indent 2"/>
    <w:basedOn w:val="11"/>
    <w:next w:val="22"/>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4"/>
      <w:lang w:val="en-US" w:eastAsia="zh-CN" w:bidi="ar"/>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Hyperlink"/>
    <w:qFormat/>
    <w:uiPriority w:val="0"/>
    <w:rPr>
      <w:rFonts w:eastAsia="宋体"/>
      <w:color w:val="0000FF"/>
      <w:sz w:val="24"/>
      <w:szCs w:val="24"/>
      <w:u w:val="none"/>
    </w:rPr>
  </w:style>
  <w:style w:type="character" w:styleId="30">
    <w:name w:val="annotation reference"/>
    <w:basedOn w:val="26"/>
    <w:qFormat/>
    <w:uiPriority w:val="0"/>
    <w:rPr>
      <w:sz w:val="21"/>
      <w:szCs w:val="21"/>
    </w:rPr>
  </w:style>
  <w:style w:type="paragraph" w:customStyle="1" w:styleId="31">
    <w:name w:val="表格"/>
    <w:basedOn w:val="32"/>
    <w:next w:val="1"/>
    <w:qFormat/>
    <w:uiPriority w:val="0"/>
    <w:pPr>
      <w:spacing w:line="240" w:lineRule="auto"/>
      <w:ind w:firstLine="0" w:firstLineChars="0"/>
      <w:jc w:val="center"/>
    </w:pPr>
    <w:rPr>
      <w:rFonts w:ascii="Times New Roman" w:hAnsi="Times New Roman" w:eastAsia="宋体"/>
      <w:sz w:val="21"/>
      <w:szCs w:val="21"/>
    </w:rPr>
  </w:style>
  <w:style w:type="paragraph" w:customStyle="1" w:styleId="32">
    <w:name w:val="正文1"/>
    <w:basedOn w:val="1"/>
    <w:next w:val="1"/>
    <w:qFormat/>
    <w:uiPriority w:val="0"/>
    <w:pPr>
      <w:spacing w:before="78" w:after="78" w:line="360" w:lineRule="auto"/>
      <w:ind w:firstLine="480"/>
    </w:pPr>
    <w:rPr>
      <w:kern w:val="1"/>
      <w:sz w:val="24"/>
    </w:rPr>
  </w:style>
  <w:style w:type="paragraph" w:customStyle="1" w:styleId="33">
    <w:name w:val="表头"/>
    <w:basedOn w:val="1"/>
    <w:next w:val="1"/>
    <w:link w:val="48"/>
    <w:qFormat/>
    <w:uiPriority w:val="0"/>
    <w:pPr>
      <w:ind w:firstLine="0" w:firstLineChars="0"/>
      <w:jc w:val="center"/>
    </w:pPr>
    <w:rPr>
      <w:b/>
      <w:sz w:val="21"/>
    </w:rPr>
  </w:style>
  <w:style w:type="paragraph" w:customStyle="1" w:styleId="34">
    <w:name w:val="封皮"/>
    <w:basedOn w:val="1"/>
    <w:qFormat/>
    <w:uiPriority w:val="0"/>
    <w:pPr>
      <w:spacing w:line="240" w:lineRule="auto"/>
      <w:ind w:firstLine="0" w:firstLineChars="0"/>
      <w:jc w:val="center"/>
    </w:pPr>
    <w:rPr>
      <w:b/>
      <w:sz w:val="72"/>
    </w:rPr>
  </w:style>
  <w:style w:type="paragraph" w:customStyle="1" w:styleId="35">
    <w:name w:val="Table Paragraph"/>
    <w:basedOn w:val="1"/>
    <w:qFormat/>
    <w:uiPriority w:val="1"/>
    <w:pPr>
      <w:autoSpaceDE w:val="0"/>
      <w:autoSpaceDN w:val="0"/>
      <w:adjustRightInd w:val="0"/>
      <w:jc w:val="left"/>
    </w:pPr>
    <w:rPr>
      <w:kern w:val="0"/>
      <w:sz w:val="24"/>
    </w:rPr>
  </w:style>
  <w:style w:type="paragraph" w:styleId="36">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character" w:customStyle="1" w:styleId="37">
    <w:name w:val="正文文本 (2) + 9.5 pt"/>
    <w:qFormat/>
    <w:uiPriority w:val="0"/>
    <w:rPr>
      <w:rFonts w:ascii="MingLiU-ExtB" w:hAnsi="MingLiU-ExtB" w:eastAsia="MingLiU-ExtB" w:cs="MingLiU-ExtB"/>
      <w:color w:val="000000"/>
      <w:spacing w:val="0"/>
      <w:w w:val="100"/>
      <w:position w:val="0"/>
      <w:sz w:val="19"/>
      <w:szCs w:val="19"/>
      <w:u w:val="none"/>
      <w:shd w:val="clear" w:color="auto" w:fill="FFFFFF"/>
      <w:lang w:val="zh-TW" w:eastAsia="zh-TW" w:bidi="zh-TW"/>
    </w:rPr>
  </w:style>
  <w:style w:type="character" w:customStyle="1" w:styleId="38">
    <w:name w:val="正文文本 (2) + AngsanaUPC"/>
    <w:qFormat/>
    <w:uiPriority w:val="0"/>
    <w:rPr>
      <w:rFonts w:ascii="Mongolian Baiti" w:hAnsi="Mongolian Baiti" w:eastAsia="Mongolian Baiti" w:cs="Mongolian Baiti"/>
      <w:color w:val="000000"/>
      <w:spacing w:val="0"/>
      <w:w w:val="100"/>
      <w:position w:val="0"/>
      <w:sz w:val="32"/>
      <w:szCs w:val="32"/>
      <w:u w:val="none"/>
      <w:shd w:val="clear" w:color="auto" w:fill="FFFFFF"/>
      <w:lang w:val="en-US" w:eastAsia="en-US" w:bidi="en-US"/>
    </w:rPr>
  </w:style>
  <w:style w:type="character" w:customStyle="1" w:styleId="39">
    <w:name w:val="font31"/>
    <w:basedOn w:val="26"/>
    <w:qFormat/>
    <w:uiPriority w:val="0"/>
    <w:rPr>
      <w:rFonts w:hint="eastAsia" w:ascii="宋体" w:hAnsi="宋体" w:eastAsia="宋体" w:cs="宋体"/>
      <w:color w:val="000000"/>
      <w:sz w:val="24"/>
      <w:szCs w:val="24"/>
      <w:u w:val="none"/>
    </w:rPr>
  </w:style>
  <w:style w:type="paragraph" w:customStyle="1" w:styleId="40">
    <w:name w:val="列出段落1"/>
    <w:basedOn w:val="1"/>
    <w:qFormat/>
    <w:uiPriority w:val="0"/>
    <w:pPr>
      <w:ind w:firstLine="420" w:firstLineChars="200"/>
    </w:pPr>
    <w:rPr>
      <w:rFonts w:ascii="Calibri" w:hAnsi="Calibri" w:eastAsia="宋体"/>
    </w:rPr>
  </w:style>
  <w:style w:type="paragraph" w:customStyle="1" w:styleId="41">
    <w:name w:val="(.a表格内容"/>
    <w:basedOn w:val="42"/>
    <w:qFormat/>
    <w:uiPriority w:val="0"/>
    <w:pPr>
      <w:spacing w:line="0" w:lineRule="atLeast"/>
      <w:jc w:val="center"/>
    </w:pPr>
    <w:rPr>
      <w:sz w:val="21"/>
    </w:rPr>
  </w:style>
  <w:style w:type="paragraph" w:customStyle="1" w:styleId="42">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43">
    <w:name w:val="我的表格"/>
    <w:basedOn w:val="1"/>
    <w:qFormat/>
    <w:uiPriority w:val="0"/>
    <w:pPr>
      <w:spacing w:line="240" w:lineRule="auto"/>
      <w:ind w:firstLine="0" w:firstLineChars="0"/>
      <w:jc w:val="center"/>
    </w:pPr>
    <w:rPr>
      <w:rFonts w:ascii="Times New Roman" w:hAnsi="Times New Roman"/>
      <w:sz w:val="21"/>
      <w:szCs w:val="21"/>
    </w:rPr>
  </w:style>
  <w:style w:type="paragraph" w:customStyle="1" w:styleId="44">
    <w:name w:val="正常格式"/>
    <w:basedOn w:val="45"/>
    <w:qFormat/>
    <w:uiPriority w:val="0"/>
    <w:pPr>
      <w:snapToGrid w:val="0"/>
      <w:spacing w:line="480" w:lineRule="exact"/>
      <w:ind w:firstLine="602"/>
    </w:pPr>
    <w:rPr>
      <w:rFonts w:ascii="Times New Roman" w:hAnsi="Times New Roman" w:eastAsia="方正仿宋_GB2312"/>
      <w:kern w:val="0"/>
      <w:szCs w:val="20"/>
    </w:rPr>
  </w:style>
  <w:style w:type="paragraph" w:customStyle="1" w:styleId="45">
    <w:name w:val="正文2"/>
    <w:basedOn w:val="46"/>
    <w:qFormat/>
    <w:uiPriority w:val="0"/>
    <w:pPr>
      <w:spacing w:line="360" w:lineRule="auto"/>
      <w:ind w:firstLine="480" w:firstLineChars="200"/>
    </w:pPr>
    <w:rPr>
      <w:rFonts w:ascii="宋体" w:hAnsi="宋体"/>
      <w:sz w:val="24"/>
    </w:rPr>
  </w:style>
  <w:style w:type="paragraph" w:customStyle="1" w:styleId="46">
    <w:name w:val="Body Text 22"/>
    <w:qFormat/>
    <w:uiPriority w:val="0"/>
    <w:pPr>
      <w:widowControl w:val="0"/>
      <w:adjustRightInd w:val="0"/>
      <w:spacing w:line="440" w:lineRule="atLeast"/>
      <w:ind w:firstLine="480"/>
      <w:jc w:val="both"/>
      <w:textAlignment w:val="baseline"/>
    </w:pPr>
    <w:rPr>
      <w:rFonts w:ascii="Times New Roman" w:hAnsi="Times New Roman" w:eastAsia="方正仿宋_GB2312" w:cs="Times New Roman"/>
      <w:kern w:val="2"/>
      <w:sz w:val="24"/>
      <w:szCs w:val="22"/>
      <w:lang w:val="en-US" w:eastAsia="zh-CN" w:bidi="ar-SA"/>
    </w:rPr>
  </w:style>
  <w:style w:type="paragraph" w:customStyle="1" w:styleId="47">
    <w:name w:val="正文文本 (2)"/>
    <w:qFormat/>
    <w:uiPriority w:val="0"/>
    <w:pPr>
      <w:widowControl w:val="0"/>
      <w:shd w:val="clear" w:color="auto" w:fill="FFFFFF"/>
      <w:spacing w:before="420" w:after="360" w:line="0" w:lineRule="atLeast"/>
      <w:jc w:val="distribute"/>
    </w:pPr>
    <w:rPr>
      <w:rFonts w:ascii="MingLiU-ExtB" w:hAnsi="MingLiU-ExtB" w:eastAsia="MingLiU-ExtB" w:cs="MingLiU-ExtB"/>
      <w:sz w:val="26"/>
      <w:szCs w:val="26"/>
      <w:lang w:val="en-US" w:eastAsia="en-US" w:bidi="en-US"/>
    </w:rPr>
  </w:style>
  <w:style w:type="character" w:customStyle="1" w:styleId="48">
    <w:name w:val="表头 Char"/>
    <w:link w:val="33"/>
    <w:qFormat/>
    <w:uiPriority w:val="0"/>
    <w:rPr>
      <w:rFonts w:ascii="Times New Roman" w:hAnsi="Times New Roman" w:eastAsia="宋体"/>
      <w:b/>
      <w:sz w:val="21"/>
    </w:rPr>
  </w:style>
  <w:style w:type="paragraph" w:customStyle="1" w:styleId="49">
    <w:name w:val="样式 正文文字 + 首行缩进:  2 字符 行距: 最小值 24 磅"/>
    <w:basedOn w:val="1"/>
    <w:qFormat/>
    <w:uiPriority w:val="0"/>
    <w:pPr>
      <w:adjustRightInd w:val="0"/>
      <w:snapToGrid w:val="0"/>
      <w:spacing w:line="480" w:lineRule="atLeast"/>
      <w:ind w:firstLine="480" w:firstLineChars="200"/>
    </w:pPr>
    <w:rPr>
      <w:rFonts w:ascii="Times New Roman" w:hAnsi="Times New Roman" w:eastAsia="宋体" w:cs="宋体"/>
      <w:sz w:val="24"/>
      <w:szCs w:val="20"/>
    </w:rPr>
  </w:style>
  <w:style w:type="paragraph" w:customStyle="1" w:styleId="50">
    <w:name w:val="正"/>
    <w:basedOn w:val="1"/>
    <w:qFormat/>
    <w:uiPriority w:val="0"/>
    <w:pPr>
      <w:ind w:firstLine="200"/>
    </w:pPr>
    <w:rPr>
      <w:rFonts w:ascii="Times New Roman" w:hAnsi="Times New Roman" w:eastAsia="宋体" w:cs="Times New Roman"/>
      <w:sz w:val="24"/>
    </w:rPr>
  </w:style>
  <w:style w:type="paragraph" w:customStyle="1" w:styleId="51">
    <w:name w:val="a)"/>
    <w:basedOn w:val="1"/>
    <w:qFormat/>
    <w:uiPriority w:val="0"/>
    <w:pPr>
      <w:tabs>
        <w:tab w:val="left" w:pos="1134"/>
      </w:tabs>
      <w:adjustRightInd w:val="0"/>
      <w:spacing w:line="360" w:lineRule="auto"/>
      <w:ind w:firstLine="567"/>
      <w:textAlignment w:val="baseline"/>
    </w:pPr>
    <w:rPr>
      <w:rFonts w:ascii="Times New Roman"/>
      <w:spacing w:val="0"/>
      <w:kern w:val="0"/>
      <w:sz w:val="28"/>
      <w:szCs w:val="20"/>
    </w:rPr>
  </w:style>
  <w:style w:type="paragraph" w:customStyle="1" w:styleId="52">
    <w:name w:val="样式 样式 样式 四号 左侧:  1.53 厘米 + 首行缩进:  2 字符 + 居中 左侧:  2 字符 首行缩进:  2..."/>
    <w:basedOn w:val="1"/>
    <w:qFormat/>
    <w:uiPriority w:val="0"/>
    <w:pPr>
      <w:adjustRightInd w:val="0"/>
      <w:snapToGrid w:val="0"/>
      <w:spacing w:line="500" w:lineRule="exact"/>
      <w:ind w:left="200" w:leftChars="200"/>
      <w:jc w:val="center"/>
    </w:pPr>
    <w:rPr>
      <w:rFonts w:ascii="Times New Roman" w:eastAsia="华文中宋" w:cs="华康俪金黑W8"/>
      <w:spacing w:val="0"/>
      <w:w w:val="90"/>
      <w:kern w:val="2"/>
    </w:rPr>
  </w:style>
  <w:style w:type="paragraph" w:customStyle="1" w:styleId="53">
    <w:name w:val="2.1.1"/>
    <w:basedOn w:val="1"/>
    <w:qFormat/>
    <w:uiPriority w:val="0"/>
    <w:rPr>
      <w:rFonts w:ascii="Times New Roman"/>
      <w:sz w:val="24"/>
    </w:rPr>
  </w:style>
  <w:style w:type="paragraph" w:customStyle="1" w:styleId="54">
    <w:name w:val="Default"/>
    <w:basedOn w:val="55"/>
    <w:next w:val="8"/>
    <w:qFormat/>
    <w:uiPriority w:val="0"/>
    <w:pPr>
      <w:widowControl w:val="0"/>
      <w:autoSpaceDE w:val="0"/>
      <w:autoSpaceDN w:val="0"/>
      <w:adjustRightInd w:val="0"/>
    </w:pPr>
    <w:rPr>
      <w:rFonts w:ascii="黑体" w:hAnsi="Times New Roman" w:eastAsia="黑体" w:cs="Times New Roman"/>
      <w:color w:val="000000"/>
      <w:sz w:val="24"/>
      <w:lang w:val="en-US" w:eastAsia="zh-CN" w:bidi="ar-SA"/>
    </w:rPr>
  </w:style>
  <w:style w:type="paragraph" w:customStyle="1" w:styleId="55">
    <w:name w:val="纯文本1"/>
    <w:basedOn w:val="1"/>
    <w:qFormat/>
    <w:uiPriority w:val="0"/>
    <w:pPr>
      <w:widowControl/>
      <w:spacing w:beforeLines="10" w:afterLines="10" w:line="360" w:lineRule="auto"/>
      <w:ind w:firstLine="200" w:firstLineChars="200"/>
      <w:jc w:val="left"/>
    </w:pPr>
    <w:rPr>
      <w:rFonts w:hAnsi="宋体" w:cs="宋体"/>
      <w:kern w:val="0"/>
      <w:sz w:val="24"/>
    </w:rPr>
  </w:style>
  <w:style w:type="paragraph" w:customStyle="1" w:styleId="56">
    <w:name w:val="样式 四号 首行缩进:  2 字符"/>
    <w:basedOn w:val="1"/>
    <w:qFormat/>
    <w:uiPriority w:val="0"/>
    <w:pPr>
      <w:spacing w:line="480" w:lineRule="atLeast"/>
      <w:ind w:firstLine="480" w:firstLineChars="200"/>
    </w:pPr>
    <w:rPr>
      <w:rFonts w:ascii="Times New Roman"/>
      <w:sz w:val="24"/>
    </w:rPr>
  </w:style>
  <w:style w:type="paragraph" w:customStyle="1" w:styleId="57">
    <w:name w:val="表格内容"/>
    <w:basedOn w:val="1"/>
    <w:next w:val="1"/>
    <w:qFormat/>
    <w:uiPriority w:val="0"/>
    <w:pPr>
      <w:spacing w:line="320" w:lineRule="exact"/>
      <w:ind w:firstLine="0" w:firstLineChars="0"/>
      <w:jc w:val="center"/>
    </w:pPr>
    <w:rPr>
      <w:sz w:val="21"/>
    </w:rPr>
  </w:style>
  <w:style w:type="paragraph" w:customStyle="1" w:styleId="58">
    <w:name w:val="表格标题"/>
    <w:basedOn w:val="1"/>
    <w:next w:val="1"/>
    <w:qFormat/>
    <w:uiPriority w:val="0"/>
    <w:pPr>
      <w:ind w:firstLine="0" w:firstLineChars="0"/>
      <w:jc w:val="center"/>
    </w:pPr>
    <w:rPr>
      <w:b/>
    </w:rPr>
  </w:style>
  <w:style w:type="table" w:customStyle="1" w:styleId="59">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1]正文"/>
    <w:basedOn w:val="1"/>
    <w:qFormat/>
    <w:uiPriority w:val="0"/>
    <w:pPr>
      <w:widowControl/>
      <w:snapToGrid w:val="0"/>
      <w:ind w:firstLine="200"/>
      <w:jc w:val="left"/>
    </w:pPr>
    <w:rPr>
      <w:szCs w:val="28"/>
    </w:rPr>
  </w:style>
  <w:style w:type="paragraph" w:customStyle="1" w:styleId="62">
    <w:name w:val="河南表内"/>
    <w:basedOn w:val="1"/>
    <w:qFormat/>
    <w:uiPriority w:val="0"/>
    <w:pPr>
      <w:spacing w:line="360" w:lineRule="exact"/>
      <w:jc w:val="center"/>
    </w:pPr>
    <w:rPr>
      <w:color w:val="000000"/>
      <w:szCs w:val="21"/>
    </w:rPr>
  </w:style>
  <w:style w:type="paragraph" w:customStyle="1" w:styleId="63">
    <w:name w:val="样式 首行缩进:  2 字符1"/>
    <w:basedOn w:val="1"/>
    <w:qFormat/>
    <w:uiPriority w:val="0"/>
    <w:pPr>
      <w:spacing w:line="360" w:lineRule="exact"/>
      <w:ind w:left="-90" w:leftChars="-43"/>
      <w:jc w:val="center"/>
    </w:pPr>
    <w:rPr>
      <w:rFonts w:cs="宋体"/>
      <w:kern w:val="0"/>
      <w:szCs w:val="21"/>
    </w:rPr>
  </w:style>
  <w:style w:type="paragraph" w:customStyle="1" w:styleId="64">
    <w:name w:val="图图"/>
    <w:basedOn w:val="1"/>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wmf"/><Relationship Id="rId42" Type="http://schemas.openxmlformats.org/officeDocument/2006/relationships/oleObject" Target="embeddings/oleObject12.bin"/><Relationship Id="rId41" Type="http://schemas.openxmlformats.org/officeDocument/2006/relationships/image" Target="media/image19.w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8.wmf"/><Relationship Id="rId38" Type="http://schemas.openxmlformats.org/officeDocument/2006/relationships/oleObject" Target="embeddings/oleObject10.bin"/><Relationship Id="rId37" Type="http://schemas.openxmlformats.org/officeDocument/2006/relationships/image" Target="media/image17.wmf"/><Relationship Id="rId36" Type="http://schemas.openxmlformats.org/officeDocument/2006/relationships/oleObject" Target="embeddings/oleObject9.bin"/><Relationship Id="rId35" Type="http://schemas.openxmlformats.org/officeDocument/2006/relationships/image" Target="media/image16.wmf"/><Relationship Id="rId34" Type="http://schemas.openxmlformats.org/officeDocument/2006/relationships/oleObject" Target="embeddings/oleObject8.bin"/><Relationship Id="rId33" Type="http://schemas.openxmlformats.org/officeDocument/2006/relationships/image" Target="media/image15.wmf"/><Relationship Id="rId32" Type="http://schemas.openxmlformats.org/officeDocument/2006/relationships/oleObject" Target="embeddings/oleObject7.bin"/><Relationship Id="rId31" Type="http://schemas.openxmlformats.org/officeDocument/2006/relationships/image" Target="media/image14.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13.wmf"/><Relationship Id="rId28" Type="http://schemas.openxmlformats.org/officeDocument/2006/relationships/oleObject" Target="embeddings/oleObject5.bin"/><Relationship Id="rId27" Type="http://schemas.openxmlformats.org/officeDocument/2006/relationships/image" Target="media/image12.wmf"/><Relationship Id="rId26" Type="http://schemas.openxmlformats.org/officeDocument/2006/relationships/oleObject" Target="embeddings/oleObject4.bin"/><Relationship Id="rId25" Type="http://schemas.openxmlformats.org/officeDocument/2006/relationships/image" Target="media/image11.wmf"/><Relationship Id="rId24" Type="http://schemas.openxmlformats.org/officeDocument/2006/relationships/oleObject" Target="embeddings/oleObject3.bin"/><Relationship Id="rId23" Type="http://schemas.openxmlformats.org/officeDocument/2006/relationships/image" Target="media/image10.wmf"/><Relationship Id="rId22" Type="http://schemas.openxmlformats.org/officeDocument/2006/relationships/oleObject" Target="embeddings/oleObject2.bin"/><Relationship Id="rId21" Type="http://schemas.openxmlformats.org/officeDocument/2006/relationships/image" Target="media/image9.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127</Pages>
  <Words>16087</Words>
  <Characters>17635</Characters>
  <Lines>0</Lines>
  <Paragraphs>0</Paragraphs>
  <TotalTime>9</TotalTime>
  <ScaleCrop>false</ScaleCrop>
  <LinksUpToDate>false</LinksUpToDate>
  <CharactersWithSpaces>17752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2021-12-08T03:54:00Z</dcterms:created>
  <dc:creator>Administrator</dc:creator>
  <cp:lastModifiedBy>勇敢编辑部</cp:lastModifiedBy>
  <cp:lastPrinted>2022-01-08T12:42:00Z</cp:lastPrinted>
  <dcterms:modified xsi:type="dcterms:W3CDTF">2025-07-22T02:08:51Z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3E746EE767F04428A32E904999D78FBB_13</vt:lpwstr>
  </property>
  <property fmtid="{D5CDD505-2E9C-101B-9397-08002B2CF9AE}" pid="4" name="KSOTemplateDocerSaveRecord">
    <vt:lpwstr>eyJoZGlkIjoiYmJkYmIyN2ZmNzkxZTFlODIzMWFjNTE5YmViNGUwNmUiLCJ1c2VySWQiOiIxNjU1MzMyOTYxIn0=</vt:lpwstr>
  </property>
</Properties>
</file>