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方正小标宋_GBK" w:hAnsi="宋体" w:eastAsia="方正小标宋_GBK" w:cs="Tahoma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hint="eastAsia" w:ascii="方正小标宋简体" w:hAnsi="宋体" w:eastAsia="方正小标宋简体" w:cs="Tahoma"/>
          <w:kern w:val="0"/>
          <w:sz w:val="40"/>
          <w:szCs w:val="40"/>
        </w:rPr>
      </w:pPr>
      <w:r>
        <w:rPr>
          <w:rFonts w:hint="eastAsia" w:ascii="方正小标宋简体" w:hAnsi="宋体" w:eastAsia="方正小标宋简体" w:cs="Tahoma"/>
          <w:kern w:val="0"/>
          <w:sz w:val="40"/>
          <w:szCs w:val="40"/>
        </w:rPr>
        <w:t>唐山市自然资源和规划局高新分局</w:t>
      </w:r>
    </w:p>
    <w:p>
      <w:pPr>
        <w:spacing w:line="580" w:lineRule="exact"/>
        <w:jc w:val="center"/>
        <w:rPr>
          <w:rFonts w:hint="eastAsia" w:ascii="方正小标宋简体" w:hAnsi="宋体" w:eastAsia="方正小标宋简体"/>
          <w:sz w:val="40"/>
          <w:szCs w:val="40"/>
        </w:rPr>
      </w:pPr>
      <w:r>
        <w:rPr>
          <w:rFonts w:hint="eastAsia" w:ascii="方正小标宋简体" w:hAnsi="宋体" w:eastAsia="方正小标宋简体"/>
          <w:sz w:val="40"/>
          <w:szCs w:val="40"/>
        </w:rPr>
        <w:t>20</w:t>
      </w:r>
      <w:r>
        <w:rPr>
          <w:rFonts w:hint="eastAsia" w:ascii="方正小标宋简体" w:hAnsi="宋体" w:eastAsia="方正小标宋简体"/>
          <w:sz w:val="40"/>
          <w:szCs w:val="40"/>
          <w:lang w:val="en-US" w:eastAsia="zh-CN"/>
        </w:rPr>
        <w:t>21</w:t>
      </w:r>
      <w:r>
        <w:rPr>
          <w:rFonts w:hint="eastAsia" w:ascii="方正小标宋简体" w:hAnsi="宋体" w:eastAsia="方正小标宋简体"/>
          <w:sz w:val="40"/>
          <w:szCs w:val="40"/>
        </w:rPr>
        <w:t>年度</w:t>
      </w:r>
      <w:r>
        <w:rPr>
          <w:rFonts w:hint="eastAsia" w:ascii="方正小标宋简体" w:hAnsi="宋体" w:eastAsia="方正小标宋简体"/>
          <w:sz w:val="40"/>
          <w:szCs w:val="40"/>
          <w:lang w:eastAsia="zh-CN"/>
        </w:rPr>
        <w:t>项目资金</w:t>
      </w:r>
      <w:r>
        <w:rPr>
          <w:rFonts w:hint="eastAsia" w:ascii="方正小标宋简体" w:hAnsi="宋体" w:eastAsia="方正小标宋简体"/>
          <w:sz w:val="40"/>
          <w:szCs w:val="40"/>
        </w:rPr>
        <w:t>绩效自评报告</w:t>
      </w:r>
    </w:p>
    <w:p>
      <w:pPr>
        <w:spacing w:line="580" w:lineRule="exact"/>
        <w:ind w:firstLine="640" w:firstLineChars="200"/>
        <w:rPr>
          <w:rFonts w:ascii="方正小标宋简体" w:hAnsi="宋体" w:eastAsia="方正小标宋简体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20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宋体" w:eastAsia="仿宋_GB2312"/>
          <w:sz w:val="32"/>
          <w:szCs w:val="32"/>
        </w:rPr>
        <w:t>年度，唐山市自然资源和规划局高新技术产业开发区分局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部门</w:t>
      </w:r>
      <w:r>
        <w:rPr>
          <w:rFonts w:hint="eastAsia" w:ascii="仿宋_GB2312" w:hAnsi="宋体" w:eastAsia="仿宋_GB2312"/>
          <w:sz w:val="32"/>
          <w:szCs w:val="32"/>
        </w:rPr>
        <w:t>预算安排项目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</w:rPr>
        <w:t>个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,其中省级专项资金2个，区级项目资金2个</w:t>
      </w:r>
      <w:r>
        <w:rPr>
          <w:rFonts w:hint="eastAsia" w:ascii="仿宋_GB2312" w:hAnsi="宋体" w:eastAsia="仿宋_GB2312"/>
          <w:sz w:val="32"/>
          <w:szCs w:val="32"/>
        </w:rPr>
        <w:t>，资金总量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51565.12</w:t>
      </w:r>
      <w:r>
        <w:rPr>
          <w:rFonts w:hint="eastAsia" w:ascii="仿宋_GB2312" w:hAnsi="宋体" w:eastAsia="仿宋_GB2312"/>
          <w:sz w:val="32"/>
          <w:szCs w:val="32"/>
        </w:rPr>
        <w:t>万元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ascii="仿宋_GB2312" w:hAnsi="宋体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2021年我分局</w:t>
      </w:r>
      <w:r>
        <w:rPr>
          <w:rFonts w:hint="eastAsia" w:ascii="仿宋_GB2312" w:hAnsi="宋体" w:eastAsia="仿宋_GB2312"/>
          <w:sz w:val="32"/>
          <w:szCs w:val="32"/>
        </w:rPr>
        <w:t>安排项目，主要涉及征地拆迁、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规划编制</w:t>
      </w:r>
      <w:r>
        <w:rPr>
          <w:rFonts w:hint="eastAsia" w:ascii="仿宋_GB2312" w:hAnsi="宋体" w:eastAsia="仿宋_GB2312"/>
          <w:sz w:val="32"/>
          <w:szCs w:val="32"/>
        </w:rPr>
        <w:t>、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委托补充耕地</w:t>
      </w:r>
      <w:r>
        <w:rPr>
          <w:rFonts w:hint="eastAsia" w:ascii="仿宋_GB2312" w:hAnsi="宋体" w:eastAsia="仿宋_GB2312"/>
          <w:sz w:val="32"/>
          <w:szCs w:val="32"/>
        </w:rPr>
        <w:t>等相关业务，具体情况如下：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480" w:firstLineChars="15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（一）征地和拆迁补偿费项目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left="420" w:leftChars="200" w:firstLine="160" w:firstLineChars="5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主要内容及用途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年征地拆迁补偿费</w:t>
      </w:r>
      <w:r>
        <w:rPr>
          <w:rFonts w:hint="eastAsia" w:ascii="仿宋_GB2312" w:eastAsia="仿宋_GB2312"/>
          <w:sz w:val="32"/>
          <w:szCs w:val="32"/>
          <w:lang w:eastAsia="zh-CN"/>
        </w:rPr>
        <w:t>用于支付征地补偿款，</w:t>
      </w:r>
      <w:r>
        <w:rPr>
          <w:rFonts w:hint="eastAsia" w:ascii="仿宋_GB2312" w:eastAsia="仿宋_GB2312"/>
          <w:sz w:val="32"/>
          <w:szCs w:val="32"/>
        </w:rPr>
        <w:t>主要用于以下地块：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2018年度实施第二十五批次建设用地4号地块（崔家屯、毛家坨），2018年度实施第十九批次1号地块（毛家坨、崔家屯），2018年度实施第十三批次4号地块（孙家庄），2014年度实施第三十九批次3号地块（毛家坨），2018年度实施第四批次1-5号地块（崔家屯、毛家坨、黄花港、高庄子），2012年度实施第五十九批次建设用地增减挂钩项目1号地块（良种场），2012年实施第十三批次建设用地6-7号地块（姚家庄、毛家坨），2015年度实施第二十批次建设用地14号地块（姚家庄），2019年度实施第五批次建设用地1-2号地块（毛家坨、姚家庄）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2、</w:t>
      </w: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资金来源与预算安排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2021年</w:t>
      </w:r>
      <w:r>
        <w:rPr>
          <w:rFonts w:hint="eastAsia" w:ascii="仿宋_GB2312" w:eastAsia="仿宋_GB2312"/>
          <w:sz w:val="32"/>
          <w:szCs w:val="32"/>
          <w:lang w:eastAsia="zh-CN"/>
        </w:rPr>
        <w:t>征地拆迁补偿费项目资金全部来源于财政拨款，按照管委会安排，对取得建设用地批复的土地进行征收，并依据标准拨付征地补偿费，保障失地农民和村集体的合法权益。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3、</w:t>
      </w:r>
      <w:r>
        <w:rPr>
          <w:rFonts w:hint="eastAsia" w:ascii="仿宋_GB2312" w:eastAsia="仿宋_GB2312"/>
          <w:sz w:val="32"/>
          <w:szCs w:val="32"/>
          <w:lang w:eastAsia="zh-CN"/>
        </w:rPr>
        <w:t>指标值设定情况及设定依据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依据标准及时拨付征地补偿费，保障失地农民及村集体的合法权益</w:t>
      </w:r>
      <w:r>
        <w:rPr>
          <w:rFonts w:hint="eastAsia" w:ascii="仿宋_GB2312" w:eastAsia="仿宋_GB2312"/>
          <w:sz w:val="32"/>
          <w:szCs w:val="32"/>
          <w:lang w:eastAsia="zh-CN"/>
        </w:rPr>
        <w:t>。根据高新区重点项目用地安排，对取得建设用地批复的土地与相关部门办理土地出让手续，申请并拨付征地补偿款，将土地征收为国有建设用地，保障工作顺利开展。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分析评价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依据支付比例及评价标准，绩效指标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部分</w:t>
      </w:r>
      <w:r>
        <w:rPr>
          <w:rFonts w:hint="eastAsia" w:ascii="仿宋_GB2312" w:eastAsia="仿宋_GB2312"/>
          <w:sz w:val="32"/>
          <w:szCs w:val="32"/>
          <w:highlight w:val="none"/>
        </w:rPr>
        <w:t>完成，评价等级属于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优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。 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征地拆迁补偿费是根据高新区重点项目用地情况，对取得的建设用地批复的土地与相关村集体签订征收补偿协议，申请并拨付的征地补偿款。这涉及到我分局、村集体、财政三方关系，任何一方关系处理不当都影响征地补偿费的发放。在今后的工作中应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及时沟通相关业务科室，申请资金拨付，保障征地拆迁补偿费及时发放，提高预算执行率，</w:t>
      </w:r>
      <w:r>
        <w:rPr>
          <w:rFonts w:hint="eastAsia" w:ascii="仿宋_GB2312" w:eastAsia="仿宋_GB2312"/>
          <w:sz w:val="32"/>
          <w:szCs w:val="32"/>
          <w:highlight w:val="none"/>
        </w:rPr>
        <w:t>积极协调，按实际情况做出预算计划，保障高新区重点项目落地。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480" w:firstLineChars="15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（二）自然资源管理费项目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1、项目</w:t>
      </w:r>
      <w:r>
        <w:rPr>
          <w:rFonts w:hint="eastAsia" w:ascii="仿宋_GB2312" w:eastAsia="仿宋_GB2312"/>
          <w:sz w:val="32"/>
          <w:szCs w:val="32"/>
          <w:lang w:eastAsia="zh-CN"/>
        </w:rPr>
        <w:t>主要用途及内容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该项目主要用于完成外业测量、内业检查与整理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现场勘测、定点</w:t>
      </w:r>
      <w:r>
        <w:rPr>
          <w:rFonts w:hint="eastAsia" w:ascii="仿宋_GB2312" w:eastAsia="仿宋_GB2312"/>
          <w:sz w:val="32"/>
          <w:szCs w:val="32"/>
          <w:lang w:eastAsia="zh-CN"/>
        </w:rPr>
        <w:t>放</w:t>
      </w:r>
      <w:r>
        <w:rPr>
          <w:rFonts w:hint="eastAsia" w:ascii="仿宋_GB2312" w:eastAsia="仿宋_GB2312"/>
          <w:sz w:val="32"/>
          <w:szCs w:val="32"/>
        </w:rPr>
        <w:t>线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违法占地勘测</w:t>
      </w:r>
      <w:r>
        <w:rPr>
          <w:rFonts w:hint="eastAsia" w:ascii="仿宋_GB2312" w:eastAsia="仿宋_GB2312"/>
          <w:sz w:val="32"/>
          <w:szCs w:val="32"/>
          <w:lang w:eastAsia="zh-CN"/>
        </w:rPr>
        <w:t>，地质灾害评估，土地估价等。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480" w:firstLineChars="15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2、</w:t>
      </w: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资金来源与预算安排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自然资源管理费项目的资金全部来自于财政拨款，年初预算1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90</w:t>
      </w:r>
      <w:r>
        <w:rPr>
          <w:rFonts w:hint="eastAsia" w:ascii="仿宋_GB2312" w:eastAsia="仿宋_GB2312"/>
          <w:sz w:val="32"/>
          <w:szCs w:val="32"/>
        </w:rPr>
        <w:t>万元，</w:t>
      </w:r>
      <w:r>
        <w:rPr>
          <w:rFonts w:hint="eastAsia" w:ascii="仿宋_GB2312" w:eastAsia="仿宋_GB2312"/>
          <w:sz w:val="32"/>
          <w:szCs w:val="32"/>
          <w:lang w:eastAsia="zh-CN"/>
        </w:rPr>
        <w:t>后追加预算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100万元，共290万元。</w:t>
      </w:r>
      <w:r>
        <w:rPr>
          <w:rFonts w:hint="eastAsia" w:ascii="仿宋_GB2312" w:eastAsia="仿宋_GB2312"/>
          <w:sz w:val="32"/>
          <w:szCs w:val="32"/>
        </w:rPr>
        <w:t>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270.486505</w:t>
      </w:r>
      <w:r>
        <w:rPr>
          <w:rFonts w:hint="eastAsia" w:ascii="仿宋_GB2312" w:eastAsia="仿宋_GB2312"/>
          <w:sz w:val="32"/>
          <w:szCs w:val="32"/>
        </w:rPr>
        <w:t>万元，资金基本使用完毕。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480" w:firstLineChars="15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指标值设定情况及设定依据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依据县区级测量标准及误差要求及国家测绘标准，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2021年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出让地块定点放线测绘按中标价收费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，勘测违法占地、出让地块宗地图数量不少于8宗，测量数据真实准确，满足业务科室对测量成果的要求。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left="0" w:leftChars="0" w:firstLine="480" w:firstLineChars="15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分析评价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该项目资金执行率9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3.27</w:t>
      </w:r>
      <w:r>
        <w:rPr>
          <w:rFonts w:hint="eastAsia" w:ascii="仿宋_GB2312" w:eastAsia="仿宋_GB2312"/>
          <w:sz w:val="32"/>
          <w:szCs w:val="32"/>
        </w:rPr>
        <w:t>%，依据支付比例及评价标准，绩效指标完成，评价等级属于优。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预算执行率完成较好，</w:t>
      </w:r>
      <w:r>
        <w:rPr>
          <w:rFonts w:hint="eastAsia" w:ascii="仿宋_GB2312" w:eastAsia="仿宋_GB2312"/>
          <w:sz w:val="32"/>
          <w:szCs w:val="32"/>
          <w:lang w:eastAsia="zh-CN"/>
        </w:rPr>
        <w:t>相关定点测绘面积及地块报告出具质量均达到年初绩效目标。</w:t>
      </w:r>
      <w:r>
        <w:rPr>
          <w:rFonts w:hint="eastAsia" w:ascii="仿宋_GB2312" w:eastAsia="仿宋_GB2312"/>
          <w:sz w:val="32"/>
          <w:szCs w:val="32"/>
        </w:rPr>
        <w:t>也存在极少数的测绘工作不及时和资金支出进度慢的情况。在今后的工作中应多督促测量单位，及时对出让地块开展完成测绘工作，以保障资金支出进度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480" w:firstLineChars="15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（三）委托补充耕地费项目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1、项目</w:t>
      </w:r>
      <w:r>
        <w:rPr>
          <w:rFonts w:hint="eastAsia" w:ascii="仿宋_GB2312" w:eastAsia="仿宋_GB2312"/>
          <w:sz w:val="32"/>
          <w:szCs w:val="32"/>
          <w:lang w:eastAsia="zh-CN"/>
        </w:rPr>
        <w:t>主要用途及内容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本着“占多少，补多少”的原则，严格落实国家耕地“占补平衡”政策。</w:t>
      </w:r>
      <w:r>
        <w:rPr>
          <w:rFonts w:hint="eastAsia" w:ascii="仿宋_GB2312" w:eastAsia="仿宋_GB2312"/>
          <w:sz w:val="32"/>
          <w:szCs w:val="32"/>
          <w:lang w:eastAsia="zh-CN"/>
        </w:rPr>
        <w:t>支付委托补充耕地费，委托其他县区补充耕地，保障建设用地批次顺利报批。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2、</w:t>
      </w:r>
      <w:r>
        <w:rPr>
          <w:rFonts w:hint="eastAsia" w:ascii="仿宋_GB2312" w:eastAsia="仿宋_GB2312"/>
          <w:sz w:val="32"/>
          <w:szCs w:val="32"/>
          <w:lang w:eastAsia="zh-CN"/>
        </w:rPr>
        <w:t>项目资金来源与预算安排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该项目资金全部来自于财政拨款，</w:t>
      </w:r>
      <w:r>
        <w:rPr>
          <w:rFonts w:hint="eastAsia" w:ascii="仿宋_GB2312" w:eastAsia="仿宋_GB2312"/>
          <w:sz w:val="32"/>
          <w:szCs w:val="32"/>
          <w:lang w:eastAsia="zh-CN"/>
        </w:rPr>
        <w:t>年初预算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8000万元，后追加预算25000万元，共计33000万元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2021年度支出11976.012万元。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指标值设定情况及设定依据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依据国家：耕地“占补平衡”政策及省厅要求时限及市政府用地安排，委托补充耕地标准12万元/亩，市储备库委托补充耕地标准1万元/亩。保障建设用地占补数量一致，委托其他县区补充耕地数量1298.001亩，保障建设用地批次顺利报批，工作顺利开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4、</w:t>
      </w:r>
      <w:r>
        <w:rPr>
          <w:rFonts w:hint="eastAsia" w:ascii="仿宋_GB2312" w:eastAsia="仿宋_GB2312"/>
          <w:sz w:val="32"/>
          <w:szCs w:val="32"/>
          <w:lang w:eastAsia="zh-CN"/>
        </w:rPr>
        <w:t>分析评价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委托补充耕地费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执行进度36.29%</w:t>
      </w:r>
      <w:r>
        <w:rPr>
          <w:rFonts w:hint="eastAsia" w:ascii="仿宋_GB2312" w:eastAsia="仿宋_GB2312"/>
          <w:sz w:val="32"/>
          <w:szCs w:val="32"/>
        </w:rPr>
        <w:t>，依据支付比例及评价标准，绩效指标完成，评价等级属于优。预算执行率</w:t>
      </w:r>
      <w:r>
        <w:rPr>
          <w:rFonts w:hint="eastAsia" w:ascii="仿宋_GB2312" w:eastAsia="仿宋_GB2312"/>
          <w:sz w:val="32"/>
          <w:szCs w:val="32"/>
          <w:lang w:eastAsia="zh-CN"/>
        </w:rPr>
        <w:t>较低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主要原因在于部分委托补充耕地费由我分局结合其他单位支付，</w:t>
      </w:r>
      <w:r>
        <w:rPr>
          <w:rFonts w:hint="eastAsia" w:ascii="仿宋_GB2312" w:eastAsia="仿宋_GB2312"/>
          <w:sz w:val="32"/>
          <w:szCs w:val="32"/>
        </w:rPr>
        <w:t>在今后的工作中</w:t>
      </w:r>
      <w:r>
        <w:rPr>
          <w:rFonts w:hint="eastAsia" w:ascii="仿宋_GB2312" w:eastAsia="仿宋_GB2312"/>
          <w:sz w:val="32"/>
          <w:szCs w:val="32"/>
          <w:lang w:eastAsia="zh-CN"/>
        </w:rPr>
        <w:t>应进一步加快预算资金支付，对确实不能支出的资金予以调减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480" w:firstLineChars="15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（四）</w:t>
      </w:r>
      <w:r>
        <w:rPr>
          <w:rFonts w:hint="eastAsia" w:ascii="仿宋_GB2312" w:eastAsia="仿宋_GB2312"/>
          <w:sz w:val="32"/>
          <w:szCs w:val="32"/>
          <w:lang w:eastAsia="zh-CN"/>
        </w:rPr>
        <w:t>办公用房改造费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1、项目</w:t>
      </w:r>
      <w:r>
        <w:rPr>
          <w:rFonts w:hint="eastAsia" w:ascii="仿宋_GB2312" w:eastAsia="仿宋_GB2312"/>
          <w:sz w:val="32"/>
          <w:szCs w:val="32"/>
          <w:lang w:eastAsia="zh-CN"/>
        </w:rPr>
        <w:t>主要用途及内容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该项目主要</w:t>
      </w:r>
      <w:r>
        <w:rPr>
          <w:rFonts w:hint="eastAsia" w:ascii="仿宋_GB2312" w:eastAsia="仿宋_GB2312"/>
          <w:sz w:val="32"/>
          <w:szCs w:val="32"/>
          <w:lang w:eastAsia="zh-CN"/>
        </w:rPr>
        <w:t>用于支付分局办公用房维修改造支出。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项目资金来源与预算安排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该项目资金全部来自于财政拨款，</w:t>
      </w:r>
      <w:r>
        <w:rPr>
          <w:rFonts w:hint="eastAsia" w:ascii="仿宋_GB2312" w:eastAsia="仿宋_GB2312"/>
          <w:sz w:val="32"/>
          <w:szCs w:val="32"/>
          <w:lang w:eastAsia="zh-CN"/>
        </w:rPr>
        <w:t>本年预算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9.7万元，后追加预算10万元，共19.7万元。2021年度完成支付18.088943万元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指标值设定情况及设定依据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根据单位办公用房间数及平米数，结合需维修的办公用房情况，办公用房改造面积平米数大于等于90平方米；根据工程审计结果，测算改造成本及实际支付费用。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4、</w:t>
      </w:r>
      <w:r>
        <w:rPr>
          <w:rFonts w:hint="eastAsia" w:ascii="仿宋_GB2312" w:eastAsia="仿宋_GB2312"/>
          <w:sz w:val="32"/>
          <w:szCs w:val="32"/>
          <w:lang w:eastAsia="zh-CN"/>
        </w:rPr>
        <w:t>分析评价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办公用房改造费资金执行率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91.82%，依据支付比例及评价标准，绩效指标完成，评价等级属于优。预算执行率完成较好，今后将提高工作效率，加快支出进度。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480" w:firstLineChars="15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（五）不动产业务经费项目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1、</w:t>
      </w:r>
      <w:r>
        <w:rPr>
          <w:rFonts w:hint="eastAsia" w:ascii="仿宋_GB2312" w:eastAsia="仿宋_GB2312"/>
          <w:sz w:val="32"/>
          <w:szCs w:val="32"/>
          <w:lang w:eastAsia="zh-CN"/>
        </w:rPr>
        <w:t>项目主要用途及内容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主要用于实现不动产权证</w:t>
      </w:r>
      <w:r>
        <w:rPr>
          <w:rFonts w:hint="eastAsia" w:ascii="仿宋_GB2312" w:eastAsia="仿宋_GB2312"/>
          <w:sz w:val="32"/>
          <w:szCs w:val="32"/>
          <w:lang w:eastAsia="zh-CN"/>
        </w:rPr>
        <w:t>书</w:t>
      </w:r>
      <w:r>
        <w:rPr>
          <w:rFonts w:hint="eastAsia" w:ascii="仿宋_GB2312" w:eastAsia="仿宋_GB2312"/>
          <w:sz w:val="32"/>
          <w:szCs w:val="32"/>
        </w:rPr>
        <w:t>发放，宅基地数据和集体建设用地数据质检、入库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保障不动产工作顺利进行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按上级部门要求完成不动产登记工作，提高不动产登记的工作效率，最大程度地为老百姓提供便捷的服务。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leftChars="200" w:firstLine="320" w:firstLineChars="1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2、项目资金来源与预算安排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不动产业务经费资金全部来源于财政拨款，年初预算33万元。主要用于购买不动产权证书，不动产软件系统维护，购买不动产打证机等。本年支出22.9808万元，资金部分使用完毕。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leftChars="200" w:firstLine="320" w:firstLineChars="1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3、指标值设定情况及设定依据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依据往年工作经验及全年所需证书数量，购买不动产权证书不少于800本；按时完成不动产宅基地数据及集体建设用地数据质检、入库，数据真实准确；提高办事效率，平均排队人员数量小于5人。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leftChars="200" w:firstLine="320" w:firstLineChars="1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4、分析评价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default" w:ascii="仿宋_GB2312" w:eastAsia="仿宋_GB2312"/>
          <w:sz w:val="32"/>
          <w:szCs w:val="32"/>
          <w:lang w:val="en-US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该项目资金部分支出，执行率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69.64%，依据支付比例及评价标准，绩效指标完成，评价等级属于优。预算执行率未能达到100%，在今后做预算之前要在详细考虑，及时与业务科室结合，争取提升预算执行率。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enter" w:pos="4450"/>
        </w:tabs>
        <w:kinsoku/>
        <w:wordWrap/>
        <w:overflowPunct/>
        <w:topLinePunct w:val="0"/>
        <w:autoSpaceDE/>
        <w:bidi w:val="0"/>
        <w:adjustRightInd/>
        <w:spacing w:line="600" w:lineRule="exact"/>
        <w:ind w:firstLine="480" w:firstLineChars="15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规划编制及招标代理费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450"/>
        </w:tabs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1、项目主要用途及内容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450"/>
        </w:tabs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该项目主要用于按市、区要求完成各项规划编制，委托机构进行招标。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450"/>
        </w:tabs>
        <w:kinsoku/>
        <w:wordWrap/>
        <w:overflowPunct/>
        <w:topLinePunct w:val="0"/>
        <w:autoSpaceDE/>
        <w:bidi w:val="0"/>
        <w:adjustRightInd/>
        <w:spacing w:line="600" w:lineRule="exact"/>
        <w:ind w:leftChars="200" w:firstLine="320" w:firstLineChars="1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2、项目资金来源与预算安排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450"/>
        </w:tabs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规划编制及招标代理费项目资金全部来源于财政拨款，全年预算630万元，后调减388万元，共242万元。本年支出108.79万元，资金部分使用完毕。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450"/>
        </w:tabs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3、指标值设定情况及设定依据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450"/>
        </w:tabs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z w:val="32"/>
          <w:szCs w:val="32"/>
          <w:lang w:val="en-US" w:eastAsia="zh-CN"/>
        </w:rPr>
        <w:t>根据实际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验收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使用情况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，及县区级规划编制标准，规划编制验收完成率不低于90%，项目引导科学合理，道路基础设施合理规划，符合高新区管委会工作要求。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450"/>
        </w:tabs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4、分析评价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该项目资金部分支出，</w:t>
      </w:r>
      <w:r>
        <w:rPr>
          <w:rFonts w:hint="eastAsia" w:ascii="仿宋_GB2312" w:eastAsia="仿宋_GB2312"/>
          <w:sz w:val="32"/>
          <w:szCs w:val="32"/>
          <w:lang w:eastAsia="zh-CN"/>
        </w:rPr>
        <w:t>执行率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44.95%，依据支付比例及评价标准，绩效指标完成，评价等级属于优。预算执行率未能达到100%，在今后做预算之前要在详细考虑，及时与业务科室结合，争取提升预算执行率。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480" w:firstLineChars="15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（七）耕地占用税项目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1、项</w:t>
      </w:r>
      <w:r>
        <w:rPr>
          <w:rFonts w:hint="eastAsia" w:ascii="仿宋_GB2312" w:eastAsia="仿宋_GB2312"/>
          <w:sz w:val="32"/>
          <w:szCs w:val="32"/>
          <w:lang w:eastAsia="zh-CN"/>
        </w:rPr>
        <w:t>目主要用途及内容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该项目费用用于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缴纳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2020-2021年度</w:t>
      </w:r>
      <w:r>
        <w:rPr>
          <w:rFonts w:hint="eastAsia" w:ascii="仿宋_GB2312" w:eastAsia="仿宋_GB2312"/>
          <w:sz w:val="32"/>
          <w:szCs w:val="32"/>
          <w:highlight w:val="none"/>
        </w:rPr>
        <w:t>耕地占用税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及滞纳金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textAlignment w:val="auto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2、项目资金来源与预算安排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该项目资金全部来自财政拨款，全年预算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2700万元，用于支付2020-2021年耕地占用税及滞纳金。本年支出23679200.47万元，资金全部使用完毕。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3、指标值设定情况及设定依据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480" w:firstLineChars="15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根据耕地占用税计税标准及高新区税务局缴款要求，按时按标准足额缴纳耕地占用税，完成税务局缴税要求，保证工作顺利进行。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left="0" w:lef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4、分析评价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耕地占用税项目资金部分支出，预算</w:t>
      </w:r>
      <w:r>
        <w:rPr>
          <w:rFonts w:hint="eastAsia" w:ascii="仿宋_GB2312" w:eastAsia="仿宋_GB2312"/>
          <w:sz w:val="32"/>
          <w:szCs w:val="32"/>
        </w:rPr>
        <w:t>执行率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87.7</w:t>
      </w:r>
      <w:r>
        <w:rPr>
          <w:rFonts w:hint="eastAsia" w:ascii="仿宋_GB2312" w:eastAsia="仿宋_GB2312"/>
          <w:sz w:val="32"/>
          <w:szCs w:val="32"/>
        </w:rPr>
        <w:t>%，按照绩效评价标准属于完成。依据支付比例及评价标准，评价等级属于</w:t>
      </w:r>
      <w:r>
        <w:rPr>
          <w:rFonts w:hint="eastAsia" w:ascii="仿宋_GB2312" w:eastAsia="仿宋_GB2312"/>
          <w:sz w:val="32"/>
          <w:szCs w:val="32"/>
          <w:lang w:eastAsia="zh-CN"/>
        </w:rPr>
        <w:t>优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  <w:lang w:eastAsia="zh-CN"/>
        </w:rPr>
        <w:t>因税务部门书面告知时间较晚，导致税款缴纳较晚，今后在工作中应与相关部门提前对接，保障税款及时缴纳。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（八）卫片执法资金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项目主要用途及内容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该项目主要用于完成年度土地卫片执法工作，对违规圈占土地及时整改，消除违法状态。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项目资金来源与预算安排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该项目资金全部来源于财政拨款，本年预算50万元，后追加预算20万元，共70万元，已完成支付39.5151万元。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指标值设定情况及设定依据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按照国家、省下发的2020、2021年土地卫片图斑数进行整改，共18宗图斑，项目资金最终支付金额按照区审计局审计结果测算。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分析评价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left="0" w:lef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卫片执法资金</w:t>
      </w:r>
      <w:r>
        <w:rPr>
          <w:rFonts w:hint="eastAsia" w:ascii="仿宋_GB2312" w:eastAsia="仿宋_GB2312"/>
          <w:sz w:val="32"/>
          <w:szCs w:val="32"/>
        </w:rPr>
        <w:t>执行率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56.45</w:t>
      </w:r>
      <w:r>
        <w:rPr>
          <w:rFonts w:hint="eastAsia" w:ascii="仿宋_GB2312" w:eastAsia="仿宋_GB2312"/>
          <w:sz w:val="32"/>
          <w:szCs w:val="32"/>
        </w:rPr>
        <w:t>%，按照绩效评价标准属于完成。依据支付比例及评价标准，评价等级属于</w:t>
      </w:r>
      <w:r>
        <w:rPr>
          <w:rFonts w:hint="eastAsia" w:ascii="仿宋_GB2312" w:eastAsia="仿宋_GB2312"/>
          <w:sz w:val="32"/>
          <w:szCs w:val="32"/>
          <w:lang w:eastAsia="zh-CN"/>
        </w:rPr>
        <w:t>优。今后将与业务部门加强沟通，合理安排预算，提高预算执行率。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新增建设用地有偿使用费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唐财资环【2021】34号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bidi w:val="0"/>
        <w:adjustRightInd/>
        <w:spacing w:line="600" w:lineRule="exac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项目主要用途及内容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该项目主要用于土地征收成片开发方案编制。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项目资金来源与预算安排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该项目资金全部来自财政拨款，年初预算30万元。主要用于土地征收成片开发方案编制。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指标值设定情况及设定依据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依据上级下发的土地征收成片开发方案面积31.45公顷，方案是否及时上报省厅审核等。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分析评价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left="0" w:lef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该项目完成数量指标、时效指标、成本指标与生态效益指标，</w:t>
      </w:r>
      <w:r>
        <w:rPr>
          <w:rFonts w:hint="eastAsia" w:ascii="仿宋_GB2312" w:eastAsia="仿宋_GB2312"/>
          <w:sz w:val="32"/>
          <w:szCs w:val="32"/>
        </w:rPr>
        <w:t>按照绩效评价标准属于</w:t>
      </w:r>
      <w:r>
        <w:rPr>
          <w:rFonts w:hint="eastAsia" w:ascii="仿宋_GB2312" w:eastAsia="仿宋_GB2312"/>
          <w:sz w:val="32"/>
          <w:szCs w:val="32"/>
          <w:lang w:eastAsia="zh-CN"/>
        </w:rPr>
        <w:t>部分</w:t>
      </w:r>
      <w:r>
        <w:rPr>
          <w:rFonts w:hint="eastAsia" w:ascii="仿宋_GB2312" w:eastAsia="仿宋_GB2312"/>
          <w:sz w:val="32"/>
          <w:szCs w:val="32"/>
        </w:rPr>
        <w:t>完成。依据支付比例及评价标准，评价等级属于</w:t>
      </w:r>
      <w:r>
        <w:rPr>
          <w:rFonts w:hint="eastAsia" w:ascii="仿宋_GB2312" w:eastAsia="仿宋_GB2312"/>
          <w:sz w:val="32"/>
          <w:szCs w:val="32"/>
          <w:lang w:eastAsia="zh-CN"/>
        </w:rPr>
        <w:t>良。预算执行未达到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100%，在今后做预算之前要再详细考虑项目进展情况，与业务科室结合，争取加快支出进度。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新增建设用地有偿使用费 唐财资环（2021）99号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bidi w:val="0"/>
        <w:adjustRightInd/>
        <w:spacing w:line="600" w:lineRule="exac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项目主要用途及内容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该项目主要用于对上级下发图斑开展耕地后备资源调查评价。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项目资金来源与预算安排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该项目资金全部来自于财政拨款，本年预算4万元，本年支出0万元。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指标值设定情况及设定依据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依据上级下发16个图斑开展调查，按照上级要求开展调查工作，按合同收费。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bidi w:val="0"/>
        <w:adjustRightIn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分析评价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left="0" w:leftChars="0"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该项目预算执行率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%，按照绩效评价标准</w:t>
      </w:r>
      <w:r>
        <w:rPr>
          <w:rFonts w:hint="eastAsia" w:ascii="仿宋_GB2312" w:eastAsia="仿宋_GB2312"/>
          <w:sz w:val="32"/>
          <w:szCs w:val="32"/>
          <w:lang w:eastAsia="zh-CN"/>
        </w:rPr>
        <w:t>数量指标、质量指标、时效指标、生态效益指标完成</w:t>
      </w:r>
      <w:r>
        <w:rPr>
          <w:rFonts w:hint="eastAsia" w:ascii="仿宋_GB2312" w:eastAsia="仿宋_GB2312"/>
          <w:sz w:val="32"/>
          <w:szCs w:val="32"/>
        </w:rPr>
        <w:t>。依据支付比例及评价标准，评价等级属于</w:t>
      </w:r>
      <w:r>
        <w:rPr>
          <w:rFonts w:hint="eastAsia" w:ascii="仿宋_GB2312" w:eastAsia="仿宋_GB2312"/>
          <w:sz w:val="32"/>
          <w:szCs w:val="32"/>
          <w:lang w:eastAsia="zh-CN"/>
        </w:rPr>
        <w:t>良，资金支付率较低，下一步将加强与业务科室结合，进一步推动项目资金拨付。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二、综合评价结论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项目评价总数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</w:rPr>
        <w:t>个，评价等级优的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/>
          <w:sz w:val="32"/>
          <w:szCs w:val="32"/>
        </w:rPr>
        <w:t>个，评价等级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良</w:t>
      </w:r>
      <w:r>
        <w:rPr>
          <w:rFonts w:hint="eastAsia" w:ascii="仿宋_GB2312" w:hAnsi="宋体" w:eastAsia="仿宋_GB2312"/>
          <w:sz w:val="32"/>
          <w:szCs w:val="32"/>
        </w:rPr>
        <w:t>的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个，评优率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80</w:t>
      </w:r>
      <w:r>
        <w:rPr>
          <w:rFonts w:hint="eastAsia" w:ascii="仿宋_GB2312" w:hAnsi="宋体" w:eastAsia="仿宋_GB2312"/>
          <w:sz w:val="32"/>
          <w:szCs w:val="32"/>
        </w:rPr>
        <w:t>%，评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良</w:t>
      </w:r>
      <w:r>
        <w:rPr>
          <w:rFonts w:hint="eastAsia" w:ascii="仿宋_GB2312" w:hAnsi="宋体" w:eastAsia="仿宋_GB2312"/>
          <w:sz w:val="32"/>
          <w:szCs w:val="32"/>
        </w:rPr>
        <w:t>率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宋体" w:eastAsia="仿宋_GB2312"/>
          <w:sz w:val="32"/>
          <w:szCs w:val="32"/>
        </w:rPr>
        <w:t>%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,</w:t>
      </w:r>
      <w:r>
        <w:rPr>
          <w:rFonts w:hint="eastAsia" w:ascii="仿宋_GB2312" w:hAnsi="宋体" w:eastAsia="仿宋_GB2312"/>
          <w:sz w:val="32"/>
          <w:szCs w:val="32"/>
        </w:rPr>
        <w:t>部门整体绩效目标的完成情况较好。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三、绩效项目完成情况分析及下一步改进措施。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20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宋体" w:eastAsia="仿宋_GB2312"/>
          <w:sz w:val="32"/>
          <w:szCs w:val="32"/>
        </w:rPr>
        <w:t>年度，评价为优的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/>
          <w:sz w:val="32"/>
          <w:szCs w:val="32"/>
        </w:rPr>
        <w:t>个项目中，不动产业务经费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、委托补充耕地费、规划编制及招标代理费</w:t>
      </w:r>
      <w:r>
        <w:rPr>
          <w:rFonts w:hint="eastAsia" w:ascii="仿宋_GB2312" w:hAnsi="宋体" w:eastAsia="仿宋_GB2312"/>
          <w:sz w:val="32"/>
          <w:szCs w:val="32"/>
        </w:rPr>
        <w:t>仍有提升空间，在今后的工作中，应紧密结合业务部门，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全面</w:t>
      </w:r>
      <w:r>
        <w:rPr>
          <w:rFonts w:hint="eastAsia" w:ascii="仿宋_GB2312" w:hAnsi="宋体" w:eastAsia="仿宋_GB2312"/>
          <w:sz w:val="32"/>
          <w:szCs w:val="32"/>
        </w:rPr>
        <w:t>分析工作形势，合理安排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资金</w:t>
      </w:r>
      <w:r>
        <w:rPr>
          <w:rFonts w:hint="eastAsia" w:ascii="仿宋_GB2312" w:hAnsi="宋体" w:eastAsia="仿宋_GB2312"/>
          <w:sz w:val="32"/>
          <w:szCs w:val="32"/>
        </w:rPr>
        <w:t>，优化预算计划，必要时组织会议研讨，反复研究，精益求精，实现预算执行率的最大化；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新增建设用地有偿使用费（唐财资环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[2021]99号）、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（唐财资环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[2021]34号）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项目由于项目跨度较长</w:t>
      </w:r>
      <w:r>
        <w:rPr>
          <w:rFonts w:hint="eastAsia" w:ascii="仿宋_GB2312" w:hAnsi="宋体" w:eastAsia="仿宋_GB2312"/>
          <w:sz w:val="32"/>
          <w:szCs w:val="32"/>
        </w:rPr>
        <w:t>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资金拨付未达到验收标准，尚未形成支出</w:t>
      </w:r>
      <w:r>
        <w:rPr>
          <w:rFonts w:hint="eastAsia" w:ascii="仿宋_GB2312" w:hAnsi="宋体" w:eastAsia="仿宋_GB2312"/>
          <w:sz w:val="32"/>
          <w:szCs w:val="32"/>
        </w:rPr>
        <w:t>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后续将进一步加强预算绩效监控，</w:t>
      </w:r>
      <w:r>
        <w:rPr>
          <w:rFonts w:hint="eastAsia" w:ascii="仿宋_GB2312" w:hAnsi="宋体" w:eastAsia="仿宋_GB2312"/>
          <w:sz w:val="32"/>
          <w:szCs w:val="32"/>
        </w:rPr>
        <w:t>以实现财政资金的优化使用和合理安排，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加快资金支出进度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ascii="仿宋_GB2312" w:hAnsi="宋体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firstLine="640" w:firstLineChars="200"/>
        <w:textAlignment w:val="auto"/>
        <w:rPr>
          <w:rFonts w:ascii="仿宋_GB2312" w:hAnsi="宋体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jc w:val="right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唐山市自然资源和规划局高新分局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pacing w:line="600" w:lineRule="exact"/>
        <w:ind w:right="640"/>
        <w:jc w:val="center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         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月</w:t>
      </w:r>
    </w:p>
    <w:sectPr>
      <w:pgSz w:w="11906" w:h="16838"/>
      <w:pgMar w:top="1440" w:right="141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C491CD2"/>
    <w:multiLevelType w:val="singleLevel"/>
    <w:tmpl w:val="8C491CD2"/>
    <w:lvl w:ilvl="0" w:tentative="0">
      <w:start w:val="6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29D1D33"/>
    <w:multiLevelType w:val="singleLevel"/>
    <w:tmpl w:val="C29D1D33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C6EE6837"/>
    <w:multiLevelType w:val="singleLevel"/>
    <w:tmpl w:val="C6EE6837"/>
    <w:lvl w:ilvl="0" w:tentative="0">
      <w:start w:val="9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C9268926"/>
    <w:multiLevelType w:val="singleLevel"/>
    <w:tmpl w:val="C9268926"/>
    <w:lvl w:ilvl="0" w:tentative="0">
      <w:start w:val="3"/>
      <w:numFmt w:val="decimal"/>
      <w:suff w:val="nothing"/>
      <w:lvlText w:val="%1、"/>
      <w:lvlJc w:val="left"/>
    </w:lvl>
  </w:abstractNum>
  <w:abstractNum w:abstractNumId="4">
    <w:nsid w:val="CA4E6EA3"/>
    <w:multiLevelType w:val="singleLevel"/>
    <w:tmpl w:val="CA4E6EA3"/>
    <w:lvl w:ilvl="0" w:tentative="0">
      <w:start w:val="3"/>
      <w:numFmt w:val="decimal"/>
      <w:suff w:val="nothing"/>
      <w:lvlText w:val="%1、"/>
      <w:lvlJc w:val="left"/>
    </w:lvl>
  </w:abstractNum>
  <w:abstractNum w:abstractNumId="5">
    <w:nsid w:val="DCBBE69C"/>
    <w:multiLevelType w:val="singleLevel"/>
    <w:tmpl w:val="DCBBE69C"/>
    <w:lvl w:ilvl="0" w:tentative="0">
      <w:start w:val="4"/>
      <w:numFmt w:val="decimal"/>
      <w:suff w:val="nothing"/>
      <w:lvlText w:val="%1、"/>
      <w:lvlJc w:val="left"/>
    </w:lvl>
  </w:abstractNum>
  <w:abstractNum w:abstractNumId="6">
    <w:nsid w:val="DE134339"/>
    <w:multiLevelType w:val="singleLevel"/>
    <w:tmpl w:val="DE134339"/>
    <w:lvl w:ilvl="0" w:tentative="0">
      <w:start w:val="2"/>
      <w:numFmt w:val="decimal"/>
      <w:suff w:val="nothing"/>
      <w:lvlText w:val="%1、"/>
      <w:lvlJc w:val="left"/>
    </w:lvl>
  </w:abstractNum>
  <w:abstractNum w:abstractNumId="7">
    <w:nsid w:val="017BB279"/>
    <w:multiLevelType w:val="singleLevel"/>
    <w:tmpl w:val="017BB279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0752D892"/>
    <w:multiLevelType w:val="singleLevel"/>
    <w:tmpl w:val="0752D892"/>
    <w:lvl w:ilvl="0" w:tentative="0">
      <w:start w:val="3"/>
      <w:numFmt w:val="decimal"/>
      <w:suff w:val="nothing"/>
      <w:lvlText w:val="%1、"/>
      <w:lvlJc w:val="left"/>
    </w:lvl>
  </w:abstractNum>
  <w:abstractNum w:abstractNumId="9">
    <w:nsid w:val="29CA3862"/>
    <w:multiLevelType w:val="singleLevel"/>
    <w:tmpl w:val="29CA386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8"/>
  </w:num>
  <w:num w:numId="6">
    <w:abstractNumId w:val="0"/>
  </w:num>
  <w:num w:numId="7">
    <w:abstractNumId w:val="9"/>
  </w:num>
  <w:num w:numId="8">
    <w:abstractNumId w:val="2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608"/>
    <w:rsid w:val="000038D0"/>
    <w:rsid w:val="00013BCD"/>
    <w:rsid w:val="00027602"/>
    <w:rsid w:val="000333F1"/>
    <w:rsid w:val="0003646F"/>
    <w:rsid w:val="000614E0"/>
    <w:rsid w:val="00061FF2"/>
    <w:rsid w:val="000D4C09"/>
    <w:rsid w:val="000F27BE"/>
    <w:rsid w:val="000F32D0"/>
    <w:rsid w:val="001254A7"/>
    <w:rsid w:val="001407C9"/>
    <w:rsid w:val="00144D33"/>
    <w:rsid w:val="00187338"/>
    <w:rsid w:val="00194022"/>
    <w:rsid w:val="00197779"/>
    <w:rsid w:val="001A72EC"/>
    <w:rsid w:val="001C3EC5"/>
    <w:rsid w:val="001D409C"/>
    <w:rsid w:val="001F2B6D"/>
    <w:rsid w:val="002077D6"/>
    <w:rsid w:val="00236304"/>
    <w:rsid w:val="00262DA7"/>
    <w:rsid w:val="00275284"/>
    <w:rsid w:val="00276309"/>
    <w:rsid w:val="002A33E3"/>
    <w:rsid w:val="002C7E8C"/>
    <w:rsid w:val="002D7207"/>
    <w:rsid w:val="003515DB"/>
    <w:rsid w:val="00390BB8"/>
    <w:rsid w:val="0039153A"/>
    <w:rsid w:val="00397E5A"/>
    <w:rsid w:val="003A2689"/>
    <w:rsid w:val="003A7EF0"/>
    <w:rsid w:val="003B0A65"/>
    <w:rsid w:val="003B6AD3"/>
    <w:rsid w:val="003C49FB"/>
    <w:rsid w:val="003D4665"/>
    <w:rsid w:val="003F3BDD"/>
    <w:rsid w:val="004031A9"/>
    <w:rsid w:val="00411B09"/>
    <w:rsid w:val="00467548"/>
    <w:rsid w:val="00472D21"/>
    <w:rsid w:val="004739F8"/>
    <w:rsid w:val="0049243E"/>
    <w:rsid w:val="004967A4"/>
    <w:rsid w:val="004A2A09"/>
    <w:rsid w:val="004A390D"/>
    <w:rsid w:val="004F2A42"/>
    <w:rsid w:val="005656A7"/>
    <w:rsid w:val="00591A80"/>
    <w:rsid w:val="005A4208"/>
    <w:rsid w:val="005A6271"/>
    <w:rsid w:val="005B3885"/>
    <w:rsid w:val="005E5369"/>
    <w:rsid w:val="00602BAC"/>
    <w:rsid w:val="00617A29"/>
    <w:rsid w:val="006377E6"/>
    <w:rsid w:val="0064731C"/>
    <w:rsid w:val="00661262"/>
    <w:rsid w:val="00671415"/>
    <w:rsid w:val="006F4C2C"/>
    <w:rsid w:val="0077484F"/>
    <w:rsid w:val="00776A73"/>
    <w:rsid w:val="0079495E"/>
    <w:rsid w:val="007A5273"/>
    <w:rsid w:val="007D04FC"/>
    <w:rsid w:val="007D5BD8"/>
    <w:rsid w:val="007F2CE5"/>
    <w:rsid w:val="0086055C"/>
    <w:rsid w:val="0086193F"/>
    <w:rsid w:val="00873C29"/>
    <w:rsid w:val="00883B3F"/>
    <w:rsid w:val="00887E9A"/>
    <w:rsid w:val="009648AE"/>
    <w:rsid w:val="00996253"/>
    <w:rsid w:val="009A6D76"/>
    <w:rsid w:val="009C5EC7"/>
    <w:rsid w:val="00A2503A"/>
    <w:rsid w:val="00A52608"/>
    <w:rsid w:val="00A66EBA"/>
    <w:rsid w:val="00A7449E"/>
    <w:rsid w:val="00A969DB"/>
    <w:rsid w:val="00AA697B"/>
    <w:rsid w:val="00AB5E10"/>
    <w:rsid w:val="00AC4691"/>
    <w:rsid w:val="00AD2F28"/>
    <w:rsid w:val="00AD40CE"/>
    <w:rsid w:val="00B3558B"/>
    <w:rsid w:val="00B71BCA"/>
    <w:rsid w:val="00BB4FB5"/>
    <w:rsid w:val="00BB6E9C"/>
    <w:rsid w:val="00BE03EA"/>
    <w:rsid w:val="00BE0760"/>
    <w:rsid w:val="00C051CC"/>
    <w:rsid w:val="00C174A3"/>
    <w:rsid w:val="00C208E5"/>
    <w:rsid w:val="00C247E2"/>
    <w:rsid w:val="00C40C33"/>
    <w:rsid w:val="00C807C3"/>
    <w:rsid w:val="00C8399A"/>
    <w:rsid w:val="00C85848"/>
    <w:rsid w:val="00C95C20"/>
    <w:rsid w:val="00CC4F26"/>
    <w:rsid w:val="00CC5A18"/>
    <w:rsid w:val="00D564B8"/>
    <w:rsid w:val="00D62B9E"/>
    <w:rsid w:val="00D6499D"/>
    <w:rsid w:val="00D70261"/>
    <w:rsid w:val="00D8542B"/>
    <w:rsid w:val="00D91BAB"/>
    <w:rsid w:val="00D97BD9"/>
    <w:rsid w:val="00DA09C8"/>
    <w:rsid w:val="00DA32EE"/>
    <w:rsid w:val="00DB370F"/>
    <w:rsid w:val="00DC0BCF"/>
    <w:rsid w:val="00DD22CB"/>
    <w:rsid w:val="00E00507"/>
    <w:rsid w:val="00E01723"/>
    <w:rsid w:val="00E13898"/>
    <w:rsid w:val="00E24335"/>
    <w:rsid w:val="00EA30AC"/>
    <w:rsid w:val="00EC21AF"/>
    <w:rsid w:val="00EC744A"/>
    <w:rsid w:val="00EE3C4F"/>
    <w:rsid w:val="00F45A68"/>
    <w:rsid w:val="00FA716B"/>
    <w:rsid w:val="00FA7640"/>
    <w:rsid w:val="00FB75FB"/>
    <w:rsid w:val="00FC2886"/>
    <w:rsid w:val="0A4856BB"/>
    <w:rsid w:val="12E57342"/>
    <w:rsid w:val="181D09D5"/>
    <w:rsid w:val="22744990"/>
    <w:rsid w:val="281C0041"/>
    <w:rsid w:val="32B8586B"/>
    <w:rsid w:val="34147C7F"/>
    <w:rsid w:val="349866F8"/>
    <w:rsid w:val="34E468D0"/>
    <w:rsid w:val="370419B0"/>
    <w:rsid w:val="3C735E6D"/>
    <w:rsid w:val="3FC206B6"/>
    <w:rsid w:val="415455D0"/>
    <w:rsid w:val="46750C7A"/>
    <w:rsid w:val="506F7A72"/>
    <w:rsid w:val="57631008"/>
    <w:rsid w:val="584D5EFC"/>
    <w:rsid w:val="61063B07"/>
    <w:rsid w:val="63CB0FB5"/>
    <w:rsid w:val="65582C1A"/>
    <w:rsid w:val="7E010C7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8</Pages>
  <Words>514</Words>
  <Characters>2934</Characters>
  <Lines>24</Lines>
  <Paragraphs>6</Paragraphs>
  <TotalTime>19</TotalTime>
  <ScaleCrop>false</ScaleCrop>
  <LinksUpToDate>false</LinksUpToDate>
  <CharactersWithSpaces>3442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2019-12-27T07:58:00Z</dcterms:created>
  <dc:creator>靳翰博</dc:creator>
  <cp:lastModifiedBy>Administrator</cp:lastModifiedBy>
  <cp:lastPrinted>2022-01-18T01:10:00Z</cp:lastPrinted>
  <dcterms:modified xsi:type="dcterms:W3CDTF">2022-09-22T02:01:20Z</dcterms:modified>
  <cp:revision>127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3CB9F63D2E6949C69B68BAD3A4EB3B7D</vt:lpwstr>
  </property>
</Properties>
</file>