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2F798">
      <w:pPr>
        <w:spacing w:line="700" w:lineRule="exact"/>
        <w:jc w:val="center"/>
        <w:rPr>
          <w:rFonts w:hint="eastAsia" w:ascii="方正小标宋简体" w:eastAsia="方正小标宋简体"/>
          <w:sz w:val="52"/>
          <w:szCs w:val="52"/>
          <w:lang w:val="en-US" w:eastAsia="zh-CN"/>
        </w:rPr>
      </w:pPr>
      <w:bookmarkStart w:id="0" w:name="_GoBack"/>
      <w:bookmarkEnd w:id="0"/>
      <w:r>
        <w:rPr>
          <w:rFonts w:hint="eastAsia" w:ascii="方正小标宋简体" w:eastAsia="方正小标宋简体"/>
          <w:sz w:val="52"/>
          <w:szCs w:val="52"/>
          <w:lang w:eastAsia="zh-CN"/>
        </w:rPr>
        <w:t>高新区政法委</w:t>
      </w:r>
      <w:r>
        <w:rPr>
          <w:rFonts w:hint="eastAsia" w:ascii="方正小标宋简体" w:eastAsia="方正小标宋简体"/>
          <w:sz w:val="52"/>
          <w:szCs w:val="52"/>
          <w:lang w:val="en-US" w:eastAsia="zh-CN"/>
        </w:rPr>
        <w:t>2021年度财政专项资金</w:t>
      </w:r>
    </w:p>
    <w:p w14:paraId="6C1CAF28">
      <w:pPr>
        <w:spacing w:line="700" w:lineRule="exact"/>
        <w:jc w:val="center"/>
        <w:rPr>
          <w:rFonts w:hint="eastAsia" w:ascii="方正小标宋简体" w:eastAsia="方正小标宋简体"/>
          <w:sz w:val="52"/>
          <w:szCs w:val="52"/>
        </w:rPr>
      </w:pPr>
      <w:r>
        <w:rPr>
          <w:rFonts w:hint="eastAsia" w:ascii="方正小标宋简体" w:eastAsia="方正小标宋简体"/>
          <w:sz w:val="52"/>
          <w:szCs w:val="52"/>
          <w:lang w:val="en-US" w:eastAsia="zh-CN"/>
        </w:rPr>
        <w:t>绩效自评报告</w:t>
      </w:r>
    </w:p>
    <w:p w14:paraId="4064FA2B">
      <w:pPr>
        <w:jc w:val="center"/>
        <w:rPr>
          <w:rFonts w:hint="eastAsia" w:ascii="方正小标宋简体" w:eastAsia="方正小标宋简体"/>
          <w:sz w:val="52"/>
          <w:szCs w:val="52"/>
        </w:rPr>
      </w:pPr>
    </w:p>
    <w:p w14:paraId="675BEF5A">
      <w:pPr>
        <w:jc w:val="center"/>
        <w:rPr>
          <w:rFonts w:hint="eastAsia" w:ascii="方正小标宋简体" w:eastAsia="方正小标宋简体"/>
          <w:sz w:val="52"/>
          <w:szCs w:val="52"/>
        </w:rPr>
      </w:pPr>
    </w:p>
    <w:p w14:paraId="0A71E091">
      <w:pPr>
        <w:jc w:val="center"/>
        <w:rPr>
          <w:rFonts w:hint="eastAsia" w:ascii="方正小标宋简体" w:eastAsia="方正小标宋简体"/>
          <w:sz w:val="52"/>
          <w:szCs w:val="52"/>
        </w:rPr>
      </w:pPr>
    </w:p>
    <w:p w14:paraId="261C634E">
      <w:pPr>
        <w:jc w:val="center"/>
        <w:rPr>
          <w:rFonts w:hint="eastAsia" w:ascii="方正小标宋简体" w:eastAsia="方正小标宋简体"/>
          <w:sz w:val="52"/>
          <w:szCs w:val="52"/>
        </w:rPr>
      </w:pPr>
    </w:p>
    <w:p w14:paraId="06782426">
      <w:pPr>
        <w:jc w:val="center"/>
        <w:rPr>
          <w:rFonts w:hint="eastAsia" w:ascii="方正小标宋简体" w:eastAsia="方正小标宋简体"/>
          <w:sz w:val="52"/>
          <w:szCs w:val="52"/>
        </w:rPr>
      </w:pPr>
    </w:p>
    <w:p w14:paraId="04F67913">
      <w:pPr>
        <w:jc w:val="both"/>
        <w:rPr>
          <w:rFonts w:hint="eastAsia" w:ascii="方正小标宋简体" w:eastAsia="方正小标宋简体"/>
          <w:sz w:val="52"/>
          <w:szCs w:val="52"/>
        </w:rPr>
      </w:pPr>
    </w:p>
    <w:p w14:paraId="1C17755B">
      <w:pPr>
        <w:jc w:val="both"/>
        <w:rPr>
          <w:rFonts w:hint="eastAsia" w:ascii="方正小标宋简体" w:eastAsia="方正小标宋简体"/>
          <w:sz w:val="52"/>
          <w:szCs w:val="52"/>
        </w:rPr>
      </w:pPr>
    </w:p>
    <w:p w14:paraId="7666D680">
      <w:pPr>
        <w:jc w:val="both"/>
        <w:rPr>
          <w:rFonts w:hint="eastAsia" w:ascii="方正小标宋简体" w:eastAsia="方正小标宋简体"/>
          <w:sz w:val="52"/>
          <w:szCs w:val="52"/>
        </w:rPr>
      </w:pPr>
    </w:p>
    <w:p w14:paraId="36FCA462">
      <w:pPr>
        <w:overflowPunct w:val="0"/>
        <w:autoSpaceDE w:val="0"/>
        <w:autoSpaceDN w:val="0"/>
        <w:adjustRightInd w:val="0"/>
        <w:snapToGrid w:val="0"/>
        <w:ind w:right="2646"/>
        <w:jc w:val="center"/>
        <w:rPr>
          <w:rFonts w:hint="eastAsia" w:ascii="黑体" w:hAnsi="黑体" w:eastAsia="黑体"/>
          <w:sz w:val="32"/>
          <w:szCs w:val="32"/>
        </w:rPr>
      </w:pPr>
      <w:r>
        <w:rPr>
          <w:rFonts w:hint="eastAsia" w:ascii="黑体" w:hAnsi="黑体" w:eastAsia="黑体"/>
          <w:spacing w:val="2"/>
          <w:sz w:val="32"/>
          <w:szCs w:val="32"/>
          <w:lang w:val="en-US" w:eastAsia="zh-CN"/>
        </w:rPr>
        <w:t xml:space="preserve">                </w:t>
      </w:r>
      <w:r>
        <w:rPr>
          <w:rFonts w:hint="eastAsia" w:ascii="黑体" w:hAnsi="黑体" w:eastAsia="黑体"/>
          <w:spacing w:val="2"/>
          <w:sz w:val="32"/>
          <w:szCs w:val="32"/>
          <w:lang w:eastAsia="zh-CN"/>
        </w:rPr>
        <w:t>高新区政法委</w:t>
      </w:r>
      <w:r>
        <w:rPr>
          <w:rFonts w:hint="eastAsia" w:ascii="黑体" w:hAnsi="黑体" w:eastAsia="黑体"/>
          <w:spacing w:val="2"/>
          <w:sz w:val="32"/>
          <w:szCs w:val="32"/>
        </w:rPr>
        <w:t>编</w:t>
      </w:r>
      <w:r>
        <w:rPr>
          <w:rFonts w:hint="eastAsia" w:ascii="黑体" w:hAnsi="黑体" w:eastAsia="黑体"/>
          <w:sz w:val="32"/>
          <w:szCs w:val="32"/>
        </w:rPr>
        <w:t>制</w:t>
      </w:r>
    </w:p>
    <w:p w14:paraId="75445863">
      <w:pPr>
        <w:overflowPunct w:val="0"/>
        <w:autoSpaceDE w:val="0"/>
        <w:autoSpaceDN w:val="0"/>
        <w:adjustRightInd w:val="0"/>
        <w:snapToGrid w:val="0"/>
        <w:ind w:right="2646"/>
        <w:jc w:val="cente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pacing w:val="2"/>
          <w:sz w:val="32"/>
          <w:szCs w:val="32"/>
        </w:rPr>
        <w:t>（盖章</w:t>
      </w:r>
      <w:r>
        <w:rPr>
          <w:rFonts w:hint="eastAsia" w:ascii="黑体" w:hAnsi="黑体" w:eastAsia="黑体"/>
          <w:sz w:val="32"/>
          <w:szCs w:val="32"/>
        </w:rPr>
        <w:t>）</w:t>
      </w:r>
    </w:p>
    <w:p w14:paraId="342F850F">
      <w:pPr>
        <w:jc w:val="center"/>
        <w:rPr>
          <w:rFonts w:hint="eastAsia" w:ascii="黑体" w:hAnsi="黑体" w:eastAsia="黑体"/>
          <w:sz w:val="32"/>
          <w:szCs w:val="32"/>
        </w:rPr>
      </w:pPr>
      <w:r>
        <w:rPr>
          <w:rFonts w:hint="eastAsia" w:ascii="黑体" w:hAnsi="黑体" w:eastAsia="黑体"/>
          <w:spacing w:val="2"/>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val="en-US" w:eastAsia="zh-CN"/>
        </w:rPr>
        <w:t>1</w:t>
      </w:r>
      <w:r>
        <w:rPr>
          <w:rFonts w:hint="eastAsia" w:ascii="黑体" w:hAnsi="黑体" w:eastAsia="黑体"/>
          <w:sz w:val="32"/>
          <w:szCs w:val="32"/>
        </w:rPr>
        <w:t>月</w:t>
      </w:r>
      <w:r>
        <w:rPr>
          <w:rFonts w:hint="eastAsia" w:ascii="黑体" w:hAnsi="黑体" w:eastAsia="黑体"/>
          <w:sz w:val="32"/>
          <w:szCs w:val="32"/>
          <w:lang w:val="en-US" w:eastAsia="zh-CN"/>
        </w:rPr>
        <w:t>5</w:t>
      </w:r>
      <w:r>
        <w:rPr>
          <w:rFonts w:hint="eastAsia" w:ascii="黑体" w:hAnsi="黑体" w:eastAsia="黑体"/>
          <w:sz w:val="32"/>
          <w:szCs w:val="32"/>
        </w:rPr>
        <w:t>日</w:t>
      </w:r>
    </w:p>
    <w:p w14:paraId="1791377F">
      <w:pPr>
        <w:spacing w:line="580" w:lineRule="exact"/>
        <w:jc w:val="center"/>
        <w:rPr>
          <w:rFonts w:hint="eastAsia" w:ascii="方正小标宋_GBK" w:hAnsi="宋体" w:eastAsia="方正小标宋_GBK" w:cs="Tahoma"/>
          <w:color w:val="auto"/>
          <w:kern w:val="0"/>
          <w:sz w:val="44"/>
          <w:szCs w:val="44"/>
        </w:rPr>
      </w:pPr>
    </w:p>
    <w:p w14:paraId="7A9310D4">
      <w:pPr>
        <w:spacing w:line="580" w:lineRule="exact"/>
        <w:jc w:val="center"/>
        <w:rPr>
          <w:rFonts w:hint="eastAsia" w:ascii="方正小标宋_GBK" w:hAnsi="宋体" w:eastAsia="方正小标宋_GBK" w:cs="Tahoma"/>
          <w:color w:val="auto"/>
          <w:kern w:val="0"/>
          <w:sz w:val="44"/>
          <w:szCs w:val="44"/>
        </w:rPr>
      </w:pPr>
    </w:p>
    <w:p w14:paraId="15AB8A2B">
      <w:pPr>
        <w:spacing w:line="580" w:lineRule="exact"/>
        <w:jc w:val="center"/>
        <w:rPr>
          <w:rFonts w:hint="eastAsia" w:ascii="方正小标宋_GBK" w:hAnsi="宋体" w:eastAsia="方正小标宋_GBK" w:cs="Tahoma"/>
          <w:color w:val="auto"/>
          <w:kern w:val="0"/>
          <w:sz w:val="44"/>
          <w:szCs w:val="44"/>
        </w:rPr>
      </w:pPr>
    </w:p>
    <w:p w14:paraId="7F20CEE8">
      <w:pPr>
        <w:spacing w:line="580" w:lineRule="exact"/>
        <w:jc w:val="both"/>
        <w:rPr>
          <w:rFonts w:hint="eastAsia" w:ascii="方正小标宋_GBK" w:hAnsi="宋体" w:eastAsia="方正小标宋_GBK" w:cs="Tahoma"/>
          <w:color w:val="auto"/>
          <w:kern w:val="0"/>
          <w:sz w:val="44"/>
          <w:szCs w:val="44"/>
        </w:rPr>
      </w:pPr>
    </w:p>
    <w:p w14:paraId="00F67AB5">
      <w:pPr>
        <w:spacing w:line="580" w:lineRule="exact"/>
        <w:jc w:val="center"/>
        <w:rPr>
          <w:rFonts w:ascii="方正小标宋_GBK" w:hAnsi="宋体" w:eastAsia="方正小标宋_GBK"/>
          <w:color w:val="auto"/>
          <w:sz w:val="44"/>
          <w:szCs w:val="44"/>
        </w:rPr>
      </w:pPr>
      <w:r>
        <w:rPr>
          <w:rFonts w:hint="eastAsia" w:ascii="方正小标宋_GBK" w:hAnsi="宋体" w:eastAsia="方正小标宋_GBK" w:cs="Tahoma"/>
          <w:color w:val="auto"/>
          <w:kern w:val="0"/>
          <w:sz w:val="44"/>
          <w:szCs w:val="44"/>
        </w:rPr>
        <w:t>高新区政法委</w:t>
      </w:r>
      <w:r>
        <w:rPr>
          <w:rFonts w:ascii="方正小标宋_GBK" w:hAnsi="宋体" w:eastAsia="方正小标宋_GBK"/>
          <w:color w:val="auto"/>
          <w:sz w:val="44"/>
          <w:szCs w:val="44"/>
        </w:rPr>
        <w:t>20</w:t>
      </w:r>
      <w:r>
        <w:rPr>
          <w:rFonts w:hint="eastAsia" w:ascii="方正小标宋_GBK" w:hAnsi="宋体" w:eastAsia="方正小标宋_GBK"/>
          <w:color w:val="auto"/>
          <w:sz w:val="44"/>
          <w:szCs w:val="44"/>
          <w:lang w:val="en-US" w:eastAsia="zh-CN"/>
        </w:rPr>
        <w:t>21</w:t>
      </w:r>
      <w:r>
        <w:rPr>
          <w:rFonts w:hint="eastAsia" w:ascii="方正小标宋_GBK" w:hAnsi="宋体" w:eastAsia="方正小标宋_GBK"/>
          <w:color w:val="auto"/>
          <w:sz w:val="44"/>
          <w:szCs w:val="44"/>
        </w:rPr>
        <w:t>年度财政专项资金</w:t>
      </w:r>
    </w:p>
    <w:p w14:paraId="24C5782C">
      <w:pPr>
        <w:spacing w:line="580" w:lineRule="exact"/>
        <w:jc w:val="center"/>
        <w:rPr>
          <w:rFonts w:ascii="方正小标宋_GBK" w:hAnsi="宋体" w:eastAsia="方正小标宋_GBK"/>
          <w:color w:val="auto"/>
          <w:sz w:val="44"/>
          <w:szCs w:val="44"/>
        </w:rPr>
      </w:pPr>
      <w:r>
        <w:rPr>
          <w:rFonts w:hint="eastAsia" w:ascii="方正小标宋_GBK" w:hAnsi="宋体" w:eastAsia="方正小标宋_GBK"/>
          <w:color w:val="auto"/>
          <w:sz w:val="44"/>
          <w:szCs w:val="44"/>
        </w:rPr>
        <w:t>绩效自评报告</w:t>
      </w:r>
    </w:p>
    <w:p w14:paraId="714493B3">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一、基本情况</w:t>
      </w:r>
    </w:p>
    <w:p w14:paraId="2073DDF3">
      <w:pPr>
        <w:spacing w:line="580" w:lineRule="exact"/>
        <w:ind w:firstLine="643" w:firstLineChars="200"/>
        <w:rPr>
          <w:rFonts w:hint="eastAsia" w:ascii="仿宋_GB2312" w:hAnsi="宋体" w:eastAsia="仿宋_GB2312"/>
          <w:color w:val="auto"/>
          <w:sz w:val="32"/>
          <w:szCs w:val="32"/>
          <w:lang w:eastAsia="zh-CN"/>
        </w:rPr>
      </w:pPr>
      <w:r>
        <w:rPr>
          <w:rFonts w:hint="eastAsia" w:ascii="楷体_GB2312" w:hAnsi="宋体" w:eastAsia="楷体_GB2312"/>
          <w:b/>
          <w:color w:val="auto"/>
          <w:sz w:val="32"/>
          <w:szCs w:val="32"/>
        </w:rPr>
        <w:t>（一</w:t>
      </w:r>
      <w:r>
        <w:rPr>
          <w:rFonts w:hint="eastAsia" w:ascii="楷体_GB2312" w:hAnsi="宋体" w:eastAsia="楷体_GB2312"/>
          <w:b w:val="0"/>
          <w:bCs/>
          <w:color w:val="auto"/>
          <w:sz w:val="32"/>
          <w:szCs w:val="32"/>
        </w:rPr>
        <w:t>）总体情况。</w:t>
      </w:r>
      <w:r>
        <w:rPr>
          <w:rFonts w:hint="eastAsia" w:ascii="仿宋_GB2312" w:hAnsi="宋体" w:eastAsia="仿宋_GB2312"/>
          <w:color w:val="auto"/>
          <w:sz w:val="32"/>
          <w:szCs w:val="32"/>
        </w:rPr>
        <w:t>本部门年度预算安排的专项项目总量为</w:t>
      </w:r>
      <w:r>
        <w:rPr>
          <w:rFonts w:hint="eastAsia" w:ascii="仿宋_GB2312" w:hAnsi="宋体" w:eastAsia="仿宋_GB2312"/>
          <w:color w:val="auto"/>
          <w:sz w:val="32"/>
          <w:szCs w:val="32"/>
          <w:lang w:val="en-US" w:eastAsia="zh-CN"/>
        </w:rPr>
        <w:t>9个</w:t>
      </w:r>
      <w:r>
        <w:rPr>
          <w:rFonts w:hint="eastAsia" w:ascii="仿宋_GB2312" w:hAnsi="宋体" w:eastAsia="仿宋_GB2312"/>
          <w:color w:val="auto"/>
          <w:sz w:val="32"/>
          <w:szCs w:val="32"/>
        </w:rPr>
        <w:t>，资金总量为4061.72</w:t>
      </w:r>
      <w:r>
        <w:rPr>
          <w:rFonts w:hint="eastAsia" w:ascii="仿宋_GB2312" w:hAnsi="宋体" w:eastAsia="仿宋_GB2312"/>
          <w:color w:val="auto"/>
          <w:sz w:val="32"/>
          <w:szCs w:val="32"/>
          <w:lang w:val="en-US" w:eastAsia="zh-CN"/>
        </w:rPr>
        <w:t>万</w:t>
      </w:r>
      <w:r>
        <w:rPr>
          <w:rFonts w:hint="eastAsia" w:ascii="仿宋_GB2312" w:hAnsi="宋体" w:eastAsia="仿宋_GB2312"/>
          <w:color w:val="auto"/>
          <w:sz w:val="32"/>
          <w:szCs w:val="32"/>
        </w:rPr>
        <w:t>元</w:t>
      </w:r>
      <w:r>
        <w:rPr>
          <w:rFonts w:hint="eastAsia" w:ascii="仿宋_GB2312" w:hAnsi="宋体" w:eastAsia="仿宋_GB2312"/>
          <w:color w:val="auto"/>
          <w:sz w:val="32"/>
          <w:szCs w:val="32"/>
          <w:lang w:eastAsia="zh-CN"/>
        </w:rPr>
        <w:t>。其中年初预算安排</w:t>
      </w:r>
      <w:r>
        <w:rPr>
          <w:rFonts w:hint="eastAsia" w:ascii="仿宋_GB2312" w:hAnsi="宋体" w:eastAsia="仿宋_GB2312"/>
          <w:color w:val="auto"/>
          <w:sz w:val="32"/>
          <w:szCs w:val="32"/>
          <w:lang w:val="en-US" w:eastAsia="zh-CN"/>
        </w:rPr>
        <w:t>732.24万元；上年结转资金2764.41万元，本年结转资金0万元。</w:t>
      </w:r>
      <w:r>
        <w:rPr>
          <w:rFonts w:hint="eastAsia" w:ascii="仿宋_GB2312" w:hAnsi="宋体" w:eastAsia="仿宋_GB2312"/>
          <w:color w:val="auto"/>
          <w:sz w:val="32"/>
          <w:szCs w:val="32"/>
        </w:rPr>
        <w:t>省市区预算安排资金为4061.72</w:t>
      </w:r>
      <w:r>
        <w:rPr>
          <w:rFonts w:hint="eastAsia" w:ascii="仿宋_GB2312" w:hAnsi="宋体" w:eastAsia="仿宋_GB2312"/>
          <w:color w:val="auto"/>
          <w:sz w:val="32"/>
          <w:szCs w:val="32"/>
          <w:lang w:eastAsia="zh-CN"/>
        </w:rPr>
        <w:t>万</w:t>
      </w:r>
      <w:r>
        <w:rPr>
          <w:rFonts w:hint="eastAsia" w:ascii="仿宋_GB2312" w:hAnsi="宋体" w:eastAsia="仿宋_GB2312"/>
          <w:color w:val="auto"/>
          <w:sz w:val="32"/>
          <w:szCs w:val="32"/>
        </w:rPr>
        <w:t>元，结转资金</w:t>
      </w:r>
      <w:r>
        <w:rPr>
          <w:rFonts w:hint="eastAsia" w:ascii="仿宋_GB2312" w:hAnsi="宋体" w:eastAsia="仿宋_GB2312"/>
          <w:color w:val="auto"/>
          <w:sz w:val="32"/>
          <w:szCs w:val="32"/>
          <w:lang w:val="en-US" w:eastAsia="zh-CN"/>
        </w:rPr>
        <w:t>2764.41</w:t>
      </w:r>
      <w:r>
        <w:rPr>
          <w:rFonts w:hint="eastAsia" w:ascii="仿宋_GB2312" w:hAnsi="宋体" w:eastAsia="仿宋_GB2312"/>
          <w:color w:val="auto"/>
          <w:sz w:val="32"/>
          <w:szCs w:val="32"/>
          <w:lang w:eastAsia="zh-CN"/>
        </w:rPr>
        <w:t>万</w:t>
      </w:r>
      <w:r>
        <w:rPr>
          <w:rFonts w:hint="eastAsia" w:ascii="仿宋_GB2312" w:hAnsi="宋体" w:eastAsia="仿宋_GB2312"/>
          <w:color w:val="auto"/>
          <w:sz w:val="32"/>
          <w:szCs w:val="32"/>
        </w:rPr>
        <w:t>元，</w:t>
      </w:r>
      <w:r>
        <w:rPr>
          <w:rFonts w:hint="eastAsia" w:ascii="仿宋_GB2312" w:hAnsi="宋体" w:eastAsia="仿宋_GB2312"/>
          <w:color w:val="auto"/>
          <w:sz w:val="32"/>
          <w:szCs w:val="32"/>
          <w:lang w:eastAsia="zh-CN"/>
        </w:rPr>
        <w:t>项目数量为</w:t>
      </w:r>
      <w:r>
        <w:rPr>
          <w:rFonts w:hint="eastAsia" w:ascii="仿宋_GB2312" w:hAnsi="宋体" w:eastAsia="仿宋_GB2312"/>
          <w:color w:val="auto"/>
          <w:sz w:val="32"/>
          <w:szCs w:val="32"/>
          <w:lang w:val="en-US" w:eastAsia="zh-CN"/>
        </w:rPr>
        <w:t>9个，</w:t>
      </w:r>
      <w:r>
        <w:rPr>
          <w:rFonts w:hint="eastAsia" w:ascii="仿宋_GB2312" w:hAnsi="宋体" w:eastAsia="仿宋_GB2312"/>
          <w:color w:val="auto"/>
          <w:sz w:val="32"/>
          <w:szCs w:val="32"/>
          <w:lang w:eastAsia="zh-CN"/>
        </w:rPr>
        <w:t>无中央专项转移支付资金。</w:t>
      </w:r>
    </w:p>
    <w:p w14:paraId="76DFFF74">
      <w:pPr>
        <w:spacing w:line="580" w:lineRule="exact"/>
        <w:ind w:firstLine="640" w:firstLineChars="200"/>
        <w:rPr>
          <w:rFonts w:ascii="仿宋_GB2312" w:hAnsi="宋体" w:eastAsia="仿宋_GB2312"/>
          <w:color w:val="auto"/>
          <w:sz w:val="32"/>
          <w:szCs w:val="32"/>
        </w:rPr>
      </w:pPr>
      <w:r>
        <w:rPr>
          <w:rFonts w:hint="eastAsia" w:ascii="仿宋_GB2312" w:hAnsi="仿宋_GB2312" w:eastAsia="仿宋_GB2312" w:cs="仿宋_GB2312"/>
          <w:color w:val="auto"/>
          <w:sz w:val="32"/>
          <w:szCs w:val="32"/>
          <w:lang w:val="en-US" w:eastAsia="zh-CN"/>
        </w:rPr>
        <w:t>我单位根据财政要求，严格进行绩效目标管理，资产覆盖率符合文件对本单位的要求。项目申报时间、格式和质量都符合财政局要求。通过建立完善的制度体系和运转流程，单位整体支出的效率性都有效增强，切实提升了整体支出效益，有力的推动了各项工作发展，实现部门预算管理总体目标。</w:t>
      </w:r>
    </w:p>
    <w:p w14:paraId="2053BA34">
      <w:pPr>
        <w:numPr>
          <w:ilvl w:val="0"/>
          <w:numId w:val="1"/>
        </w:numPr>
        <w:spacing w:line="580" w:lineRule="exact"/>
        <w:ind w:firstLine="643" w:firstLineChars="200"/>
        <w:rPr>
          <w:rFonts w:hint="eastAsia" w:ascii="仿宋_GB2312" w:hAnsi="宋体" w:eastAsia="仿宋_GB2312"/>
          <w:color w:val="auto"/>
          <w:sz w:val="32"/>
          <w:szCs w:val="32"/>
          <w:lang w:val="en-US" w:eastAsia="zh-CN"/>
        </w:rPr>
      </w:pPr>
      <w:r>
        <w:rPr>
          <w:rFonts w:hint="eastAsia" w:ascii="楷体_GB2312" w:hAnsi="宋体" w:eastAsia="楷体_GB2312"/>
          <w:b/>
          <w:color w:val="auto"/>
          <w:sz w:val="32"/>
          <w:szCs w:val="32"/>
        </w:rPr>
        <w:t>具体情况。</w:t>
      </w:r>
      <w:r>
        <w:rPr>
          <w:rFonts w:hint="eastAsia" w:ascii="仿宋_GB2312" w:hAnsi="宋体" w:eastAsia="仿宋_GB2312"/>
          <w:color w:val="auto"/>
          <w:sz w:val="32"/>
          <w:szCs w:val="32"/>
        </w:rPr>
        <w:t>本部门项目</w:t>
      </w:r>
      <w:r>
        <w:rPr>
          <w:rFonts w:hint="eastAsia" w:ascii="仿宋_GB2312" w:hAnsi="宋体" w:eastAsia="仿宋_GB2312"/>
          <w:color w:val="auto"/>
          <w:sz w:val="32"/>
          <w:szCs w:val="32"/>
          <w:lang w:eastAsia="zh-CN"/>
        </w:rPr>
        <w:t>共计</w:t>
      </w:r>
      <w:r>
        <w:rPr>
          <w:rFonts w:hint="eastAsia" w:ascii="仿宋_GB2312" w:hAnsi="宋体" w:eastAsia="仿宋_GB2312"/>
          <w:color w:val="auto"/>
          <w:sz w:val="32"/>
          <w:szCs w:val="32"/>
          <w:lang w:val="en-US" w:eastAsia="zh-CN"/>
        </w:rPr>
        <w:t>9个。</w:t>
      </w:r>
    </w:p>
    <w:p w14:paraId="55617B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firstLine="320" w:firstLineChars="1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 司法所项目工作经费。</w:t>
      </w:r>
    </w:p>
    <w:p w14:paraId="0711C08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kern w:val="2"/>
          <w:sz w:val="32"/>
          <w:szCs w:val="32"/>
          <w:lang w:val="zh-CN" w:eastAsia="zh-CN" w:bidi="ar-SA"/>
        </w:rPr>
        <w:t>高新区设</w:t>
      </w: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kern w:val="2"/>
          <w:sz w:val="32"/>
          <w:szCs w:val="32"/>
          <w:lang w:val="zh-CN" w:eastAsia="zh-CN" w:bidi="ar-SA"/>
        </w:rPr>
        <w:t>个基层司法所，各基层司法所负责指导乡（镇）人民调解工作；参与重大疑难民间纠纷调解工作；开展对刑满释放人员的安置帮教以及社区矫正工作；组织开展普法宣传、法制教育工作。为确保基层规范化司法所建设工作正常开展，</w:t>
      </w:r>
      <w:r>
        <w:rPr>
          <w:rFonts w:hint="eastAsia" w:ascii="仿宋_GB2312" w:hAnsi="仿宋_GB2312" w:eastAsia="仿宋_GB2312" w:cs="仿宋_GB2312"/>
          <w:color w:val="auto"/>
          <w:sz w:val="32"/>
          <w:szCs w:val="32"/>
          <w:lang w:val="en-US" w:eastAsia="zh-CN"/>
        </w:rPr>
        <w:t>2021年司法所建设工作经费预算批复金额为2万元，实际支出为2万元，均为高新区财政拨款。产出指标为</w:t>
      </w:r>
      <w:r>
        <w:rPr>
          <w:rFonts w:hint="eastAsia" w:ascii="仿宋_GB2312" w:hAnsi="仿宋_GB2312" w:eastAsia="仿宋_GB2312" w:cs="仿宋_GB2312"/>
          <w:color w:val="auto"/>
          <w:kern w:val="0"/>
          <w:sz w:val="32"/>
          <w:szCs w:val="32"/>
          <w:lang w:val="en-US" w:eastAsia="zh-CN" w:bidi="ar"/>
        </w:rPr>
        <w:t>司法所创建规范化情况，预计指标值1个，实际完成值1个，设定依据为河北省司法厅关于《河北省基层司法所规范化建设标准》的通知，需对办公场地、办公设施等按照标准进行考核；效益指标为</w:t>
      </w:r>
      <w:r>
        <w:rPr>
          <w:rFonts w:hint="eastAsia" w:ascii="仿宋_GB2312" w:hAnsi="仿宋_GB2312" w:eastAsia="仿宋_GB2312" w:cs="仿宋_GB2312"/>
          <w:color w:val="auto"/>
          <w:kern w:val="2"/>
          <w:sz w:val="32"/>
          <w:szCs w:val="32"/>
          <w:lang w:val="zh-CN" w:eastAsia="zh-CN" w:bidi="ar-SA"/>
        </w:rPr>
        <w:t>验收通过率</w:t>
      </w:r>
      <w:r>
        <w:rPr>
          <w:rFonts w:hint="eastAsia" w:ascii="仿宋_GB2312" w:hAnsi="仿宋_GB2312" w:eastAsia="仿宋_GB2312" w:cs="仿宋_GB2312"/>
          <w:color w:val="auto"/>
          <w:kern w:val="2"/>
          <w:sz w:val="32"/>
          <w:szCs w:val="32"/>
          <w:lang w:val="en-US" w:eastAsia="zh-CN" w:bidi="ar-SA"/>
        </w:rPr>
        <w:t>，预计指标值100%，实际完成值100%，设定依据为</w:t>
      </w:r>
      <w:r>
        <w:rPr>
          <w:rFonts w:hint="eastAsia" w:ascii="仿宋_GB2312" w:hAnsi="仿宋_GB2312" w:eastAsia="仿宋_GB2312" w:cs="仿宋_GB2312"/>
          <w:color w:val="auto"/>
          <w:kern w:val="0"/>
          <w:sz w:val="32"/>
          <w:szCs w:val="32"/>
          <w:lang w:val="en-US" w:eastAsia="zh-CN" w:bidi="ar"/>
        </w:rPr>
        <w:t>《河北省基层司法所规范化建设标准》</w:t>
      </w:r>
      <w:r>
        <w:rPr>
          <w:rFonts w:hint="eastAsia" w:ascii="仿宋_GB2312" w:hAnsi="仿宋_GB2312" w:eastAsia="仿宋_GB2312" w:cs="仿宋_GB2312"/>
          <w:color w:val="auto"/>
          <w:kern w:val="2"/>
          <w:sz w:val="32"/>
          <w:szCs w:val="32"/>
          <w:lang w:val="en-US" w:eastAsia="zh-CN" w:bidi="ar-SA"/>
        </w:rPr>
        <w:t>。</w:t>
      </w:r>
    </w:p>
    <w:p w14:paraId="00A3253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righ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2.法律顾问项目经费。</w:t>
      </w:r>
    </w:p>
    <w:p w14:paraId="0CBF8E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我区已建立法律顾问工作制度，聘请腾邦律师事务所律师作为法律顾问，为管委会及所属各部门提供</w:t>
      </w:r>
      <w:r>
        <w:rPr>
          <w:rFonts w:hint="eastAsia" w:ascii="仿宋_GB2312" w:hAnsi="仿宋_GB2312" w:eastAsia="仿宋_GB2312" w:cs="仿宋_GB2312"/>
          <w:color w:val="auto"/>
          <w:sz w:val="32"/>
          <w:szCs w:val="32"/>
          <w:lang w:eastAsia="zh-CN"/>
        </w:rPr>
        <w:t>应诉、法律咨询和合同审核等服务。</w:t>
      </w:r>
      <w:r>
        <w:rPr>
          <w:rFonts w:hint="eastAsia" w:ascii="仿宋_GB2312" w:hAnsi="仿宋_GB2312" w:eastAsia="仿宋_GB2312" w:cs="仿宋_GB2312"/>
          <w:color w:val="auto"/>
          <w:sz w:val="32"/>
          <w:szCs w:val="32"/>
          <w:lang w:val="en-US" w:eastAsia="zh-CN"/>
        </w:rPr>
        <w:t>2021年法律顾问工作经费预算批复金额为10万元，实际支出为10万元，均为高新区财政拨款，项目合同期限为2020年8月1日至2021年7月31日。产出指标为法律服务时效，</w:t>
      </w:r>
      <w:r>
        <w:rPr>
          <w:rFonts w:hint="eastAsia" w:ascii="仿宋_GB2312" w:hAnsi="仿宋_GB2312" w:eastAsia="仿宋_GB2312" w:cs="仿宋_GB2312"/>
          <w:color w:val="auto"/>
          <w:kern w:val="2"/>
          <w:sz w:val="32"/>
          <w:szCs w:val="32"/>
          <w:lang w:val="en-US" w:eastAsia="zh-CN" w:bidi="ar-SA"/>
        </w:rPr>
        <w:t>预计指标值95%，实际完成值100%；</w:t>
      </w:r>
      <w:r>
        <w:rPr>
          <w:rFonts w:hint="eastAsia" w:ascii="仿宋_GB2312" w:hAnsi="仿宋_GB2312" w:eastAsia="仿宋_GB2312" w:cs="仿宋_GB2312"/>
          <w:color w:val="auto"/>
          <w:kern w:val="0"/>
          <w:sz w:val="32"/>
          <w:szCs w:val="32"/>
          <w:lang w:val="en-US" w:eastAsia="zh-CN" w:bidi="ar"/>
        </w:rPr>
        <w:t>效益指标为</w:t>
      </w:r>
      <w:r>
        <w:rPr>
          <w:rFonts w:hint="eastAsia" w:ascii="仿宋_GB2312" w:hAnsi="仿宋_GB2312" w:eastAsia="仿宋_GB2312" w:cs="仿宋_GB2312"/>
          <w:color w:val="auto"/>
          <w:kern w:val="2"/>
          <w:sz w:val="32"/>
          <w:szCs w:val="32"/>
          <w:lang w:val="zh-CN" w:eastAsia="zh-CN" w:bidi="ar-SA"/>
        </w:rPr>
        <w:t>使用人员满意率</w:t>
      </w:r>
      <w:r>
        <w:rPr>
          <w:rFonts w:hint="eastAsia" w:ascii="仿宋_GB2312" w:hAnsi="仿宋_GB2312" w:eastAsia="仿宋_GB2312" w:cs="仿宋_GB2312"/>
          <w:color w:val="auto"/>
          <w:kern w:val="2"/>
          <w:sz w:val="32"/>
          <w:szCs w:val="32"/>
          <w:lang w:val="en-US" w:eastAsia="zh-CN" w:bidi="ar-SA"/>
        </w:rPr>
        <w:t>，预计指标值90%，实际完成值95%，设定依据为</w:t>
      </w:r>
      <w:r>
        <w:rPr>
          <w:rFonts w:hint="eastAsia" w:ascii="仿宋_GB2312" w:hAnsi="仿宋_GB2312" w:eastAsia="仿宋_GB2312" w:cs="仿宋_GB2312"/>
          <w:color w:val="auto"/>
          <w:sz w:val="32"/>
          <w:szCs w:val="32"/>
          <w:lang w:val="en-US" w:eastAsia="zh-CN"/>
        </w:rPr>
        <w:t>按照管委会《关于印发高新区管委会法律顾问工作制度的通知》（唐高发〔2015〕9号）精神。</w:t>
      </w:r>
    </w:p>
    <w:p w14:paraId="295DB7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3.社区矫正及普法宣传项目经费。</w:t>
      </w:r>
    </w:p>
    <w:p w14:paraId="473410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i w:val="0"/>
          <w:iCs w:val="0"/>
          <w:color w:val="auto"/>
          <w:sz w:val="32"/>
          <w:szCs w:val="32"/>
          <w:lang w:val="en-US" w:eastAsia="zh-CN"/>
        </w:rPr>
        <w:t>本项目是贯彻落实中央及省市关于社区矫正和安置帮教工作政策的重要举措，为提高我区社区矫正工作质量，增强安置帮教工作效果，确保全区社区矫正和安置帮教各项工作的顺利开展的重要保障。项目的主要内容有：受人民法院、人民检察院、公安机关和监狱的委托对拟适用社区矫正的被告人、罪犯进行适用审前调查评估；管理、组织实施社区矫正工作，对社区矫正人员进行监督管理和帮助教育。</w:t>
      </w:r>
      <w:r>
        <w:rPr>
          <w:rFonts w:hint="eastAsia" w:ascii="仿宋_GB2312" w:hAnsi="仿宋_GB2312" w:eastAsia="仿宋_GB2312" w:cs="仿宋_GB2312"/>
          <w:b w:val="0"/>
          <w:bCs w:val="0"/>
          <w:color w:val="auto"/>
          <w:sz w:val="32"/>
          <w:szCs w:val="32"/>
          <w:lang w:val="en-US" w:eastAsia="zh-CN"/>
        </w:rPr>
        <w:t>2021年社区矫正工作经费预算批复金额为13万元，实际支出为13万元，均为高新区财政拨款。</w:t>
      </w:r>
      <w:r>
        <w:rPr>
          <w:rFonts w:hint="eastAsia" w:ascii="仿宋_GB2312" w:hAnsi="仿宋_GB2312" w:eastAsia="仿宋_GB2312" w:cs="仿宋_GB2312"/>
          <w:color w:val="auto"/>
          <w:sz w:val="32"/>
          <w:szCs w:val="32"/>
          <w:lang w:val="en-US" w:eastAsia="zh-CN"/>
        </w:rPr>
        <w:t>产出指标为</w:t>
      </w:r>
      <w:r>
        <w:rPr>
          <w:rFonts w:hint="eastAsia" w:ascii="仿宋_GB2312" w:hAnsi="仿宋_GB2312" w:eastAsia="仿宋_GB2312" w:cs="仿宋_GB2312"/>
          <w:color w:val="auto"/>
          <w:kern w:val="0"/>
          <w:sz w:val="32"/>
          <w:szCs w:val="32"/>
          <w:lang w:val="en-US" w:eastAsia="zh-CN" w:bidi="ar"/>
        </w:rPr>
        <w:t>社区矫正人员脱管漏管人数占社区矫正人员人数，预计指标值为0，实际完成值为0；设定依据为社区矫正统计系统；效益指标为</w:t>
      </w:r>
      <w:r>
        <w:rPr>
          <w:rFonts w:hint="eastAsia" w:ascii="仿宋_GB2312" w:hAnsi="仿宋_GB2312" w:eastAsia="仿宋_GB2312" w:cs="仿宋_GB2312"/>
          <w:color w:val="auto"/>
          <w:kern w:val="2"/>
          <w:sz w:val="32"/>
          <w:szCs w:val="32"/>
          <w:lang w:val="zh-CN" w:eastAsia="zh-CN" w:bidi="ar-SA"/>
        </w:rPr>
        <w:t>通过实施社区矫正促进社会稳定水平逐步提高</w:t>
      </w:r>
      <w:r>
        <w:rPr>
          <w:rFonts w:hint="eastAsia" w:ascii="仿宋_GB2312" w:hAnsi="仿宋_GB2312" w:eastAsia="仿宋_GB2312" w:cs="仿宋_GB2312"/>
          <w:color w:val="auto"/>
          <w:kern w:val="2"/>
          <w:sz w:val="32"/>
          <w:szCs w:val="32"/>
          <w:lang w:val="en-US" w:eastAsia="zh-CN" w:bidi="ar-SA"/>
        </w:rPr>
        <w:t>，预计指标值为是，实际完成值为是，设定依据为</w:t>
      </w:r>
      <w:r>
        <w:rPr>
          <w:rFonts w:hint="eastAsia" w:ascii="仿宋_GB2312" w:hAnsi="仿宋_GB2312" w:eastAsia="仿宋_GB2312" w:cs="仿宋_GB2312"/>
          <w:b w:val="0"/>
          <w:bCs w:val="0"/>
          <w:color w:val="auto"/>
          <w:sz w:val="32"/>
          <w:szCs w:val="32"/>
          <w:lang w:val="en-US" w:eastAsia="zh-CN"/>
        </w:rPr>
        <w:t>社会稳定数据。</w:t>
      </w:r>
    </w:p>
    <w:p w14:paraId="0811C6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4.法律援助、人民调解工作经费</w:t>
      </w:r>
    </w:p>
    <w:p w14:paraId="2F55C3D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组织、指导、协调、监督全区法律援助工作；总结推广法律援助工作经验，收集法律援助信息资料；受理公民法律咨询；负责案件分流、督办工作。2021年度法律援助工作经费预算批复金额为2万元，实际支出为2万元，均为高新区财政拨款。法律援助经费主要用于法律援助人员培训费、法律援助宣传费、按照规定承担的法律援助机构办案直接费用、办案补贴；人民调解案件数量逐年提升，按照市司法局要求，新建调解委员会。产出指标为援助案件结案率，预计指标值为95%，实际完成值为95%；效益指标为我区社会援助人员与我区总人数占比，预计指标值为小于5%，实际完成值为小于5%，设定依据为援助调整案件。</w:t>
      </w:r>
    </w:p>
    <w:p w14:paraId="4E48B83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5.维稳工作经费</w:t>
      </w:r>
    </w:p>
    <w:p w14:paraId="3A9C31C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righ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2021年，全区进入了疫情防控常态化状态。重要敏感节多，政法委高度重视，成功应对了各种风险的挑战，平稳度过了所有敏感节点，社会大局持续稳定。为维护国家政治安全，切实做好群体及个体稳定工作，政法委密切关注敏感节点社会动态，顺利完成了各敏感期维稳工作；为确保国家安全工作顺利开展，为示范学校制作宣传展板，组织开展了“国家安全教育日”宣传活动，组织高新区全体人员学习《总体国家安全观干部读本》；做好辖区内邪教人员的“反转化”工作，做好高新区“双清”反宣品清缴工作，支出经费16万元；项目资金均来源于区预算安排。</w:t>
      </w:r>
    </w:p>
    <w:p w14:paraId="7ABEC91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6.社会治安保险和严重精神障碍患者责任险经费</w:t>
      </w:r>
    </w:p>
    <w:p w14:paraId="17C5798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righ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按照《关于唐山市保险业参与平安建设推进方案》（唐综治办〔2014〕36号）和省综治办、省财政厅等七部门《关于实施严重精神障碍患者监护人以奖代补和监护人责任险的暂行办法》（冀综治办〔2016〕4号）文件要求，为进一步深化平安高新建设，保障和改善民生，夯实基层基础，创新社会治理方式，维护社会和谐稳定，推行社会治安保险和严重精神障碍患者监护人责任险。2021年度社会治安保险和严重精神障碍患者责任险经费，预算批复金额为90万元，实际支出为90万元，均为高新区财政拨款。产出指标为时间节点前完成参保人数占区人口数量的百分比，预计指标值为100%，实际完成值为100%，设定依据为上级验收情况；效益指标为完成治安保险与严重精神病患者促责任人监护险参保率，预计指标值为100%，实际完成值为100%，设定依据为区人口数量。</w:t>
      </w:r>
    </w:p>
    <w:p w14:paraId="75D6814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righ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7.政法网升级扩容改造项目资金</w:t>
      </w:r>
    </w:p>
    <w:p w14:paraId="0BC9983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2021年度政法网升级扩容改造项目资金，预算批复金额为33.6万元，实际支出为33.55324万元，均为高新区财政拨款。</w:t>
      </w:r>
    </w:p>
    <w:p w14:paraId="09F380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8.综治重点工作经费</w:t>
      </w:r>
    </w:p>
    <w:p w14:paraId="477F2F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认真落实</w:t>
      </w:r>
      <w:r>
        <w:rPr>
          <w:rFonts w:hint="eastAsia" w:ascii="仿宋_GB2312" w:hAnsi="仿宋_GB2312" w:eastAsia="仿宋_GB2312" w:cs="仿宋_GB2312"/>
          <w:color w:val="auto"/>
          <w:sz w:val="32"/>
          <w:szCs w:val="32"/>
          <w:lang w:eastAsia="zh-CN"/>
        </w:rPr>
        <w:t>市有关文件</w:t>
      </w:r>
      <w:r>
        <w:rPr>
          <w:rFonts w:hint="eastAsia" w:ascii="仿宋_GB2312" w:hAnsi="仿宋_GB2312" w:eastAsia="仿宋_GB2312" w:cs="仿宋_GB2312"/>
          <w:color w:val="auto"/>
          <w:sz w:val="32"/>
          <w:szCs w:val="32"/>
        </w:rPr>
        <w:t>精神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切实做好综治9+X信息系统终端、网格员手机APP及综治（平安）宣传、严重精神障碍患者以奖代补等综治重点工作，确保工作顺利开展，圆满完成工作目标任务。2021年度社会综合治理工作经费预算批复金额为95万元，实际支出为95万元，均为高新区财政拨款。产出指标为开展外宣活动次数，预计指标值为大于等于3次，实际完成值为5次；效益指标为我区社会综合治理工作情况占省市验收标准比例，预计指标值为大于等于90%，实际完成值为93%。设定依据为验收情况反馈意见。</w:t>
      </w:r>
    </w:p>
    <w:p w14:paraId="2F56A5C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9.雪亮工程一期维护经费</w:t>
      </w:r>
    </w:p>
    <w:p w14:paraId="59F94E1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我区雪亮工程</w:t>
      </w:r>
      <w:r>
        <w:rPr>
          <w:rFonts w:hint="eastAsia" w:ascii="仿宋_GB2312" w:hAnsi="仿宋_GB2312" w:eastAsia="仿宋_GB2312" w:cs="仿宋_GB2312"/>
          <w:color w:val="auto"/>
          <w:sz w:val="32"/>
          <w:szCs w:val="32"/>
          <w:lang w:val="en-US" w:eastAsia="zh-CN"/>
        </w:rPr>
        <w:t>建设内容主要为</w:t>
      </w:r>
      <w:r>
        <w:rPr>
          <w:rFonts w:hint="eastAsia" w:ascii="仿宋_GB2312" w:hAnsi="仿宋_GB2312" w:eastAsia="仿宋_GB2312" w:cs="仿宋_GB2312"/>
          <w:color w:val="auto"/>
          <w:sz w:val="32"/>
          <w:szCs w:val="32"/>
          <w:lang w:eastAsia="zh-CN"/>
        </w:rPr>
        <w:t>原科防一期前端</w:t>
      </w:r>
      <w:r>
        <w:rPr>
          <w:rFonts w:hint="eastAsia" w:ascii="仿宋_GB2312" w:hAnsi="仿宋_GB2312" w:eastAsia="仿宋_GB2312" w:cs="仿宋_GB2312"/>
          <w:color w:val="auto"/>
          <w:sz w:val="32"/>
          <w:szCs w:val="32"/>
          <w:lang w:val="en-US" w:eastAsia="zh-CN"/>
        </w:rPr>
        <w:t>202台标清摄像机改造、新建680路前端摄像机；综治平台建设；机房提升改造等其他配套设施。现雪亮工程一期竣工并交付使用。2021年度雪亮工程一期维护费为181.532536万元，本年实际支出为172.455909万元，维护费的5%（9.076627万元）为雪亮工程保证金，待合同期满后支付。该款项为高新区财政拨款。产出指标为设定情报信息研判率(%)，预期指标值100%，实际完成值100%；设定时效指标情报信息研判率(%)，预期指标值100%，实际完成值100%；设定社会效益指标预期指标值100%，实际完成值100%。</w:t>
      </w:r>
    </w:p>
    <w:p w14:paraId="765B853A">
      <w:pPr>
        <w:spacing w:line="580" w:lineRule="exact"/>
        <w:ind w:firstLine="640" w:firstLineChars="200"/>
        <w:rPr>
          <w:rFonts w:hint="eastAsia" w:ascii="黑体" w:hAnsi="宋体" w:eastAsia="黑体"/>
          <w:color w:val="auto"/>
          <w:sz w:val="32"/>
          <w:szCs w:val="32"/>
        </w:rPr>
      </w:pPr>
      <w:r>
        <w:rPr>
          <w:rFonts w:hint="eastAsia" w:ascii="黑体" w:hAnsi="宋体" w:eastAsia="黑体"/>
          <w:color w:val="auto"/>
          <w:sz w:val="32"/>
          <w:szCs w:val="32"/>
        </w:rPr>
        <w:t>二、绩效自评工作开展情况</w:t>
      </w:r>
    </w:p>
    <w:p w14:paraId="47F42F98">
      <w:pPr>
        <w:spacing w:line="580" w:lineRule="exact"/>
        <w:ind w:firstLine="643" w:firstLineChars="200"/>
        <w:rPr>
          <w:rFonts w:hint="eastAsia" w:ascii="楷体_GB2312" w:hAnsi="宋体" w:eastAsia="楷体_GB2312"/>
          <w:b/>
          <w:color w:val="auto"/>
          <w:sz w:val="32"/>
          <w:szCs w:val="32"/>
        </w:rPr>
      </w:pPr>
      <w:r>
        <w:rPr>
          <w:rFonts w:hint="eastAsia" w:ascii="楷体_GB2312" w:hAnsi="宋体" w:eastAsia="楷体_GB2312"/>
          <w:b/>
          <w:color w:val="auto"/>
          <w:sz w:val="32"/>
          <w:szCs w:val="32"/>
        </w:rPr>
        <w:t>（一）前期准备</w:t>
      </w:r>
    </w:p>
    <w:p w14:paraId="5B1F0FE1">
      <w:pPr>
        <w:spacing w:line="580" w:lineRule="exact"/>
        <w:ind w:firstLine="640" w:firstLineChars="200"/>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1.加强组织领导。按照区财政局安排部署，我单位近期开展绩效评价工作，明确由财务主管领导专门负责此项工作。具体工作由财务处牵头，组织、协调和监督落实此项工作。</w:t>
      </w:r>
    </w:p>
    <w:p w14:paraId="0EF14B68">
      <w:pPr>
        <w:spacing w:line="580" w:lineRule="exact"/>
        <w:ind w:firstLine="640" w:firstLineChars="200"/>
        <w:rPr>
          <w:rFonts w:hint="eastAsia" w:ascii="楷体_GB2312" w:hAnsi="宋体" w:eastAsia="楷体_GB2312"/>
          <w:b/>
          <w:color w:val="auto"/>
          <w:sz w:val="32"/>
          <w:szCs w:val="32"/>
        </w:rPr>
      </w:pPr>
      <w:r>
        <w:rPr>
          <w:rFonts w:hint="eastAsia" w:ascii="仿宋" w:hAnsi="仿宋" w:eastAsia="仿宋" w:cs="仿宋"/>
          <w:b w:val="0"/>
          <w:bCs/>
          <w:color w:val="auto"/>
          <w:sz w:val="32"/>
          <w:szCs w:val="32"/>
          <w:lang w:val="en-US" w:eastAsia="zh-CN"/>
        </w:rPr>
        <w:t>2.制定实施方案。为推进绩效管理工作有效开展，根据上级有关规定和要求，由相关处室沟通、对接，制定绩效管理工作实施方案，对本部门项目进行简要介绍并自评，确保绩效评价工作有章可循，有序开展。</w:t>
      </w:r>
    </w:p>
    <w:p w14:paraId="3B6F36FC">
      <w:pPr>
        <w:spacing w:line="580" w:lineRule="exact"/>
        <w:ind w:firstLine="643" w:firstLineChars="200"/>
        <w:rPr>
          <w:rFonts w:hint="eastAsia" w:ascii="楷体_GB2312" w:hAnsi="宋体" w:eastAsia="楷体_GB2312"/>
          <w:b/>
          <w:color w:val="auto"/>
          <w:sz w:val="32"/>
          <w:szCs w:val="32"/>
        </w:rPr>
      </w:pPr>
      <w:r>
        <w:rPr>
          <w:rFonts w:hint="eastAsia" w:ascii="楷体_GB2312" w:hAnsi="宋体" w:eastAsia="楷体_GB2312"/>
          <w:b/>
          <w:color w:val="auto"/>
          <w:sz w:val="32"/>
          <w:szCs w:val="32"/>
        </w:rPr>
        <w:t>（二）组织实施</w:t>
      </w:r>
    </w:p>
    <w:p w14:paraId="772C3B2B">
      <w:pPr>
        <w:keepNext w:val="0"/>
        <w:keepLines w:val="0"/>
        <w:pageBreakBefore w:val="0"/>
        <w:widowControl w:val="0"/>
        <w:kinsoku/>
        <w:overflowPunct/>
        <w:topLinePunct w:val="0"/>
        <w:autoSpaceDE/>
        <w:autoSpaceDN/>
        <w:bidi w:val="0"/>
        <w:adjustRightInd/>
        <w:snapToGrid/>
        <w:spacing w:line="580" w:lineRule="exact"/>
        <w:ind w:firstLine="640" w:firstLineChars="200"/>
        <w:jc w:val="left"/>
        <w:textAlignment w:val="auto"/>
        <w:rPr>
          <w:rFonts w:hint="default" w:ascii="仿宋_GB2312" w:eastAsia="仿宋"/>
          <w:color w:val="auto"/>
          <w:position w:val="14"/>
          <w:lang w:val="en-US" w:eastAsia="zh-CN"/>
        </w:rPr>
      </w:pPr>
      <w:r>
        <w:rPr>
          <w:rFonts w:hint="eastAsia" w:ascii="仿宋" w:hAnsi="仿宋" w:eastAsia="仿宋" w:cs="仿宋"/>
          <w:b w:val="0"/>
          <w:bCs/>
          <w:color w:val="auto"/>
          <w:sz w:val="32"/>
          <w:szCs w:val="32"/>
          <w:lang w:val="en-US" w:eastAsia="zh-CN"/>
        </w:rPr>
        <w:t>1.稳步推进工作。按照唐高财〔2021〕59号《</w:t>
      </w:r>
      <w:r>
        <w:rPr>
          <w:rFonts w:hint="eastAsia" w:ascii="仿宋" w:hAnsi="仿宋" w:eastAsia="仿宋" w:cs="仿宋"/>
          <w:color w:val="auto"/>
          <w:kern w:val="15"/>
          <w:sz w:val="32"/>
          <w:szCs w:val="32"/>
          <w:lang w:eastAsia="zh-CN"/>
        </w:rPr>
        <w:t>关于做好2021年部门整体支出绩效自评工作的通知</w:t>
      </w:r>
      <w:r>
        <w:rPr>
          <w:rFonts w:hint="eastAsia" w:ascii="仿宋" w:hAnsi="仿宋" w:eastAsia="仿宋" w:cs="仿宋"/>
          <w:color w:val="auto"/>
          <w:kern w:val="15"/>
          <w:sz w:val="32"/>
          <w:szCs w:val="32"/>
          <w:lang w:val="en-US" w:eastAsia="zh-CN"/>
        </w:rPr>
        <w:t>》文件，2021年计划评价</w:t>
      </w:r>
      <w:r>
        <w:rPr>
          <w:rFonts w:hint="eastAsia" w:ascii="仿宋" w:hAnsi="仿宋" w:eastAsia="仿宋" w:cs="仿宋"/>
          <w:color w:val="auto"/>
          <w:kern w:val="15"/>
          <w:sz w:val="32"/>
          <w:szCs w:val="32"/>
          <w:highlight w:val="none"/>
          <w:lang w:val="en-US" w:eastAsia="zh-CN"/>
        </w:rPr>
        <w:t>项目9个，共计金额4061.72万元，实际完成绩效评价项目9个，</w:t>
      </w:r>
      <w:r>
        <w:rPr>
          <w:rFonts w:hint="eastAsia" w:ascii="仿宋" w:hAnsi="仿宋" w:eastAsia="仿宋" w:cs="仿宋"/>
          <w:color w:val="auto"/>
          <w:kern w:val="15"/>
          <w:sz w:val="32"/>
          <w:szCs w:val="32"/>
          <w:lang w:val="en-US" w:eastAsia="zh-CN"/>
        </w:rPr>
        <w:t>经过汇审，将部门整体绩效评价报告上报区财政局。</w:t>
      </w:r>
    </w:p>
    <w:p w14:paraId="59EE03D4">
      <w:pPr>
        <w:spacing w:line="580" w:lineRule="exact"/>
        <w:ind w:firstLine="643" w:firstLineChars="200"/>
        <w:rPr>
          <w:rFonts w:hint="eastAsia" w:ascii="楷体_GB2312" w:hAnsi="宋体" w:eastAsia="楷体_GB2312"/>
          <w:b/>
          <w:color w:val="auto"/>
          <w:sz w:val="32"/>
          <w:szCs w:val="32"/>
        </w:rPr>
      </w:pPr>
      <w:r>
        <w:rPr>
          <w:rFonts w:hint="eastAsia" w:ascii="楷体_GB2312" w:hAnsi="宋体" w:eastAsia="楷体_GB2312"/>
          <w:b/>
          <w:color w:val="auto"/>
          <w:sz w:val="32"/>
          <w:szCs w:val="32"/>
        </w:rPr>
        <w:t>（三）分析评价</w:t>
      </w:r>
    </w:p>
    <w:p w14:paraId="44BBB55C">
      <w:pPr>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1.司法所项目经费</w:t>
      </w:r>
    </w:p>
    <w:p w14:paraId="45B13A41">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）产出指标。</w:t>
      </w:r>
      <w:r>
        <w:rPr>
          <w:rFonts w:hint="eastAsia" w:ascii="仿宋_GB2312" w:hAnsi="仿宋_GB2312" w:eastAsia="仿宋_GB2312" w:cs="仿宋_GB2312"/>
          <w:color w:val="auto"/>
          <w:sz w:val="32"/>
          <w:szCs w:val="32"/>
          <w:lang w:val="zh-CN"/>
        </w:rPr>
        <w:t>规范化司法所创建情况预期指标</w:t>
      </w:r>
      <w:r>
        <w:rPr>
          <w:rFonts w:hint="eastAsia" w:ascii="仿宋_GB2312" w:hAnsi="仿宋_GB2312" w:eastAsia="仿宋_GB2312" w:cs="仿宋_GB2312"/>
          <w:color w:val="auto"/>
          <w:sz w:val="32"/>
          <w:szCs w:val="32"/>
          <w:lang w:val="en-US" w:eastAsia="zh-CN"/>
        </w:rPr>
        <w:t>1个，实际完成情况1个；</w:t>
      </w:r>
      <w:r>
        <w:rPr>
          <w:rFonts w:hint="eastAsia" w:ascii="仿宋_GB2312" w:hAnsi="仿宋_GB2312" w:eastAsia="仿宋_GB2312" w:cs="仿宋_GB2312"/>
          <w:color w:val="auto"/>
          <w:sz w:val="32"/>
          <w:szCs w:val="32"/>
        </w:rPr>
        <w:t>本年度调解率</w:t>
      </w:r>
      <w:r>
        <w:rPr>
          <w:rFonts w:hint="eastAsia" w:ascii="仿宋_GB2312" w:hAnsi="仿宋_GB2312" w:eastAsia="仿宋_GB2312" w:cs="仿宋_GB2312"/>
          <w:color w:val="auto"/>
          <w:sz w:val="32"/>
          <w:szCs w:val="32"/>
          <w:lang w:val="zh-CN"/>
        </w:rPr>
        <w:t>预期指标</w:t>
      </w:r>
      <w:r>
        <w:rPr>
          <w:rFonts w:hint="eastAsia" w:ascii="仿宋_GB2312" w:hAnsi="仿宋_GB2312" w:eastAsia="仿宋_GB2312" w:cs="仿宋_GB2312"/>
          <w:color w:val="auto"/>
          <w:sz w:val="32"/>
          <w:szCs w:val="32"/>
          <w:lang w:val="en-US" w:eastAsia="zh-CN"/>
        </w:rPr>
        <w:t>95%，实际完成情况</w:t>
      </w:r>
      <w:r>
        <w:rPr>
          <w:rFonts w:hint="eastAsia" w:ascii="仿宋_GB2312" w:hAnsi="仿宋_GB2312" w:eastAsia="仿宋_GB2312" w:cs="仿宋_GB2312"/>
          <w:color w:val="auto"/>
          <w:sz w:val="32"/>
          <w:szCs w:val="32"/>
        </w:rPr>
        <w:t>96%</w:t>
      </w:r>
      <w:r>
        <w:rPr>
          <w:rFonts w:hint="eastAsia" w:ascii="仿宋_GB2312" w:hAnsi="仿宋_GB2312" w:eastAsia="仿宋_GB2312" w:cs="仿宋_GB2312"/>
          <w:color w:val="auto"/>
          <w:sz w:val="32"/>
          <w:szCs w:val="32"/>
          <w:lang w:eastAsia="zh-CN"/>
        </w:rPr>
        <w:t>；本年度服务实效</w:t>
      </w:r>
      <w:r>
        <w:rPr>
          <w:rFonts w:hint="eastAsia" w:ascii="仿宋_GB2312" w:hAnsi="仿宋_GB2312" w:eastAsia="仿宋_GB2312" w:cs="仿宋_GB2312"/>
          <w:color w:val="auto"/>
          <w:sz w:val="32"/>
          <w:szCs w:val="32"/>
          <w:lang w:val="zh-CN"/>
        </w:rPr>
        <w:t>预期指标</w:t>
      </w:r>
      <w:r>
        <w:rPr>
          <w:rFonts w:hint="eastAsia" w:ascii="仿宋_GB2312" w:hAnsi="仿宋_GB2312" w:eastAsia="仿宋_GB2312" w:cs="仿宋_GB2312"/>
          <w:color w:val="auto"/>
          <w:sz w:val="32"/>
          <w:szCs w:val="32"/>
          <w:lang w:val="en-US" w:eastAsia="zh-CN"/>
        </w:rPr>
        <w:t>95%，实际完成情况</w:t>
      </w:r>
      <w:r>
        <w:rPr>
          <w:rFonts w:hint="eastAsia" w:ascii="仿宋_GB2312" w:hAnsi="仿宋_GB2312" w:eastAsia="仿宋_GB2312" w:cs="仿宋_GB2312"/>
          <w:color w:val="auto"/>
          <w:sz w:val="32"/>
          <w:szCs w:val="32"/>
          <w:lang w:eastAsia="zh-CN"/>
        </w:rPr>
        <w:t>100%；2021年度资金及时支付情况</w:t>
      </w:r>
      <w:r>
        <w:rPr>
          <w:rFonts w:hint="eastAsia" w:ascii="仿宋_GB2312" w:hAnsi="仿宋_GB2312" w:eastAsia="仿宋_GB2312" w:cs="仿宋_GB2312"/>
          <w:color w:val="auto"/>
          <w:sz w:val="32"/>
          <w:szCs w:val="32"/>
          <w:lang w:val="zh-CN"/>
        </w:rPr>
        <w:t>预期指标</w:t>
      </w:r>
      <w:r>
        <w:rPr>
          <w:rFonts w:hint="eastAsia" w:ascii="仿宋_GB2312" w:hAnsi="仿宋_GB2312" w:eastAsia="仿宋_GB2312" w:cs="仿宋_GB2312"/>
          <w:color w:val="auto"/>
          <w:sz w:val="32"/>
          <w:szCs w:val="32"/>
          <w:lang w:val="en-US" w:eastAsia="zh-CN"/>
        </w:rPr>
        <w:t>100%，实际完成情况</w:t>
      </w:r>
      <w:r>
        <w:rPr>
          <w:rFonts w:hint="eastAsia" w:ascii="仿宋_GB2312" w:hAnsi="仿宋_GB2312" w:eastAsia="仿宋_GB2312" w:cs="仿宋_GB2312"/>
          <w:color w:val="auto"/>
          <w:sz w:val="32"/>
          <w:szCs w:val="32"/>
          <w:lang w:eastAsia="zh-CN"/>
        </w:rPr>
        <w:t>资金完成率100%，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分。</w:t>
      </w:r>
    </w:p>
    <w:p w14:paraId="0CF9A292">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）效益指标。</w:t>
      </w:r>
      <w:r>
        <w:rPr>
          <w:rFonts w:hint="eastAsia" w:ascii="仿宋_GB2312" w:hAnsi="仿宋_GB2312" w:eastAsia="仿宋_GB2312" w:cs="仿宋_GB2312"/>
          <w:color w:val="auto"/>
          <w:sz w:val="32"/>
          <w:szCs w:val="32"/>
          <w:lang w:val="zh-CN"/>
        </w:rPr>
        <w:t>2021年度完成各项工作</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t>分。</w:t>
      </w:r>
    </w:p>
    <w:p w14:paraId="7BE983B3">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）满意度指标。社会公众满意度预期指标为</w:t>
      </w:r>
      <w:r>
        <w:rPr>
          <w:rFonts w:ascii="仿宋_GB2312" w:hAnsi="仿宋_GB2312" w:eastAsia="仿宋_GB2312" w:cs="仿宋_GB2312"/>
          <w:color w:val="auto"/>
          <w:sz w:val="32"/>
          <w:szCs w:val="32"/>
        </w:rPr>
        <w:t>90%</w:t>
      </w:r>
      <w:r>
        <w:rPr>
          <w:rFonts w:hint="eastAsia" w:ascii="仿宋_GB2312" w:hAnsi="仿宋_GB2312" w:eastAsia="仿宋_GB2312" w:cs="仿宋_GB2312"/>
          <w:color w:val="auto"/>
          <w:sz w:val="32"/>
          <w:szCs w:val="32"/>
        </w:rPr>
        <w:t>，实际完成值为</w:t>
      </w:r>
      <w:r>
        <w:rPr>
          <w:rFonts w:ascii="仿宋_GB2312" w:hAnsi="仿宋_GB2312" w:eastAsia="仿宋_GB2312" w:cs="仿宋_GB2312"/>
          <w:color w:val="auto"/>
          <w:sz w:val="32"/>
          <w:szCs w:val="32"/>
        </w:rPr>
        <w:t>95%</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分。</w:t>
      </w:r>
    </w:p>
    <w:p w14:paraId="68876C5D">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t>）预算执行率。预</w:t>
      </w:r>
      <w:r>
        <w:rPr>
          <w:rFonts w:hint="eastAsia" w:ascii="仿宋_GB2312" w:hAnsi="仿宋_GB2312" w:eastAsia="仿宋_GB2312" w:cs="仿宋_GB2312"/>
          <w:color w:val="auto"/>
          <w:sz w:val="32"/>
          <w:szCs w:val="32"/>
          <w:lang w:eastAsia="zh-CN"/>
        </w:rPr>
        <w:t>期</w:t>
      </w:r>
      <w:r>
        <w:rPr>
          <w:rFonts w:hint="eastAsia" w:ascii="仿宋_GB2312" w:hAnsi="仿宋_GB2312" w:eastAsia="仿宋_GB2312" w:cs="仿宋_GB2312"/>
          <w:color w:val="auto"/>
          <w:sz w:val="32"/>
          <w:szCs w:val="32"/>
        </w:rPr>
        <w:t>指标为</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，实际完成值</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分。</w:t>
      </w:r>
      <w:r>
        <w:rPr>
          <w:rFonts w:ascii="仿宋_GB2312" w:hAnsi="仿宋_GB2312" w:eastAsia="仿宋_GB2312" w:cs="仿宋_GB2312"/>
          <w:color w:val="auto"/>
          <w:sz w:val="32"/>
          <w:szCs w:val="32"/>
        </w:rPr>
        <w:t xml:space="preserve"> </w:t>
      </w:r>
    </w:p>
    <w:p w14:paraId="348B38B4">
      <w:pPr>
        <w:spacing w:line="56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）总分值</w:t>
      </w:r>
      <w:r>
        <w:rPr>
          <w:rFonts w:hint="eastAsia" w:ascii="仿宋_GB2312" w:hAnsi="仿宋_GB2312" w:eastAsia="仿宋_GB2312" w:cs="仿宋_GB2312"/>
          <w:color w:val="auto"/>
          <w:sz w:val="32"/>
          <w:szCs w:val="32"/>
          <w:lang w:val="en-US" w:eastAsia="zh-CN"/>
        </w:rPr>
        <w:t>100分，自评得分98分。</w:t>
      </w:r>
    </w:p>
    <w:p w14:paraId="7064429D">
      <w:pPr>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2.法律顾问工作经费</w:t>
      </w:r>
    </w:p>
    <w:p w14:paraId="3FA212E9">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产出指标。法律咨询数量预</w:t>
      </w:r>
      <w:r>
        <w:rPr>
          <w:rFonts w:hint="eastAsia" w:ascii="仿宋_GB2312" w:hAnsi="仿宋_GB2312" w:eastAsia="仿宋_GB2312" w:cs="仿宋_GB2312"/>
          <w:color w:val="auto"/>
          <w:sz w:val="32"/>
          <w:szCs w:val="32"/>
          <w:lang w:eastAsia="zh-CN"/>
        </w:rPr>
        <w:t>期</w:t>
      </w:r>
      <w:r>
        <w:rPr>
          <w:rFonts w:hint="eastAsia" w:ascii="仿宋_GB2312" w:hAnsi="仿宋_GB2312" w:eastAsia="仿宋_GB2312" w:cs="仿宋_GB2312"/>
          <w:color w:val="auto"/>
          <w:sz w:val="32"/>
          <w:szCs w:val="32"/>
        </w:rPr>
        <w:t>指标为</w:t>
      </w:r>
      <w:r>
        <w:rPr>
          <w:rFonts w:hint="eastAsia" w:ascii="仿宋_GB2312" w:hAnsi="仿宋_GB2312" w:eastAsia="仿宋_GB2312" w:cs="仿宋_GB2312"/>
          <w:color w:val="auto"/>
          <w:sz w:val="32"/>
          <w:szCs w:val="32"/>
          <w:lang w:val="en-US" w:eastAsia="zh-CN"/>
        </w:rPr>
        <w:t>50次</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68,；行政诉讼胜诉率</w:t>
      </w:r>
      <w:r>
        <w:rPr>
          <w:rFonts w:hint="eastAsia" w:ascii="仿宋_GB2312" w:hAnsi="仿宋_GB2312" w:eastAsia="仿宋_GB2312" w:cs="仿宋_GB2312"/>
          <w:color w:val="auto"/>
          <w:sz w:val="32"/>
          <w:szCs w:val="32"/>
        </w:rPr>
        <w:t>预</w:t>
      </w:r>
      <w:r>
        <w:rPr>
          <w:rFonts w:hint="eastAsia" w:ascii="仿宋_GB2312" w:hAnsi="仿宋_GB2312" w:eastAsia="仿宋_GB2312" w:cs="仿宋_GB2312"/>
          <w:color w:val="auto"/>
          <w:sz w:val="32"/>
          <w:szCs w:val="32"/>
          <w:lang w:eastAsia="zh-CN"/>
        </w:rPr>
        <w:t>期</w:t>
      </w:r>
      <w:r>
        <w:rPr>
          <w:rFonts w:hint="eastAsia" w:ascii="仿宋_GB2312" w:hAnsi="仿宋_GB2312" w:eastAsia="仿宋_GB2312" w:cs="仿宋_GB2312"/>
          <w:color w:val="auto"/>
          <w:sz w:val="32"/>
          <w:szCs w:val="32"/>
        </w:rPr>
        <w:t>指标为</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100%；法律服务时效</w:t>
      </w:r>
      <w:r>
        <w:rPr>
          <w:rFonts w:hint="eastAsia" w:ascii="仿宋_GB2312" w:hAnsi="仿宋_GB2312" w:eastAsia="仿宋_GB2312" w:cs="仿宋_GB2312"/>
          <w:color w:val="auto"/>
          <w:sz w:val="32"/>
          <w:szCs w:val="32"/>
        </w:rPr>
        <w:t>预</w:t>
      </w:r>
      <w:r>
        <w:rPr>
          <w:rFonts w:hint="eastAsia" w:ascii="仿宋_GB2312" w:hAnsi="仿宋_GB2312" w:eastAsia="仿宋_GB2312" w:cs="仿宋_GB2312"/>
          <w:color w:val="auto"/>
          <w:sz w:val="32"/>
          <w:szCs w:val="32"/>
          <w:lang w:eastAsia="zh-CN"/>
        </w:rPr>
        <w:t>期</w:t>
      </w:r>
      <w:r>
        <w:rPr>
          <w:rFonts w:hint="eastAsia" w:ascii="仿宋_GB2312" w:hAnsi="仿宋_GB2312" w:eastAsia="仿宋_GB2312" w:cs="仿宋_GB2312"/>
          <w:color w:val="auto"/>
          <w:sz w:val="32"/>
          <w:szCs w:val="32"/>
        </w:rPr>
        <w:t>指标为</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100%；2021年度资金及时支付，资金完成率100%。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分。</w:t>
      </w:r>
    </w:p>
    <w:p w14:paraId="31FB5EA4">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效益指标。</w:t>
      </w:r>
      <w:r>
        <w:rPr>
          <w:rFonts w:hint="eastAsia" w:ascii="仿宋_GB2312" w:hAnsi="仿宋_GB2312" w:eastAsia="仿宋_GB2312" w:cs="仿宋_GB2312"/>
          <w:color w:val="auto"/>
          <w:sz w:val="32"/>
          <w:szCs w:val="32"/>
          <w:lang w:val="en-US" w:eastAsia="zh-CN"/>
        </w:rPr>
        <w:t>2021年度完成各项工作</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t>分。</w:t>
      </w:r>
    </w:p>
    <w:p w14:paraId="40AEBB04">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满意度指标。</w:t>
      </w:r>
      <w:r>
        <w:rPr>
          <w:rFonts w:hint="eastAsia" w:ascii="仿宋_GB2312" w:hAnsi="仿宋_GB2312" w:eastAsia="仿宋_GB2312" w:cs="仿宋_GB2312"/>
          <w:color w:val="auto"/>
          <w:sz w:val="32"/>
          <w:szCs w:val="32"/>
          <w:lang w:eastAsia="zh-CN"/>
        </w:rPr>
        <w:t>使用人</w:t>
      </w:r>
      <w:r>
        <w:rPr>
          <w:rFonts w:hint="eastAsia" w:ascii="仿宋_GB2312" w:hAnsi="仿宋_GB2312" w:eastAsia="仿宋_GB2312" w:cs="仿宋_GB2312"/>
          <w:color w:val="auto"/>
          <w:sz w:val="32"/>
          <w:szCs w:val="32"/>
        </w:rPr>
        <w:t>满意度预期指标为</w:t>
      </w:r>
      <w:r>
        <w:rPr>
          <w:rFonts w:hint="eastAsia" w:ascii="仿宋_GB2312" w:hAnsi="仿宋_GB2312" w:eastAsia="仿宋_GB2312" w:cs="仿宋_GB2312"/>
          <w:color w:val="auto"/>
          <w:sz w:val="32"/>
          <w:szCs w:val="32"/>
          <w:lang w:val="en-US" w:eastAsia="zh-CN"/>
        </w:rPr>
        <w:t>95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，实际完成值为</w:t>
      </w:r>
      <w:r>
        <w:rPr>
          <w:rFonts w:ascii="仿宋_GB2312" w:hAnsi="仿宋_GB2312" w:eastAsia="仿宋_GB2312" w:cs="仿宋_GB2312"/>
          <w:color w:val="auto"/>
          <w:sz w:val="32"/>
          <w:szCs w:val="32"/>
        </w:rPr>
        <w:t>95%</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分。</w:t>
      </w:r>
    </w:p>
    <w:p w14:paraId="511EBA91">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预算执行率。预算指标为</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，实际完成值</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分。</w:t>
      </w:r>
    </w:p>
    <w:p w14:paraId="060B6B1C">
      <w:pPr>
        <w:spacing w:line="560" w:lineRule="exact"/>
        <w:ind w:firstLine="640" w:firstLineChars="200"/>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总分值</w:t>
      </w:r>
      <w:r>
        <w:rPr>
          <w:rFonts w:hint="eastAsia" w:ascii="仿宋_GB2312" w:hAnsi="仿宋_GB2312" w:eastAsia="仿宋_GB2312" w:cs="仿宋_GB2312"/>
          <w:color w:val="auto"/>
          <w:sz w:val="32"/>
          <w:szCs w:val="32"/>
          <w:lang w:val="en-US" w:eastAsia="zh-CN"/>
        </w:rPr>
        <w:t>100分，自评得分98分。</w:t>
      </w:r>
    </w:p>
    <w:p w14:paraId="5E265F6D">
      <w:pPr>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3.社区矫正工作经费</w:t>
      </w:r>
    </w:p>
    <w:p w14:paraId="1FB76FAB">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）产出指标。集中法律宣传数量预期指标为</w:t>
      </w:r>
      <w:r>
        <w:rPr>
          <w:rFonts w:hint="eastAsia" w:ascii="仿宋_GB2312" w:hAnsi="仿宋_GB2312" w:eastAsia="仿宋_GB2312" w:cs="仿宋_GB2312"/>
          <w:color w:val="auto"/>
          <w:sz w:val="32"/>
          <w:szCs w:val="32"/>
          <w:lang w:val="en-US" w:eastAsia="zh-CN"/>
        </w:rPr>
        <w:t>5件</w:t>
      </w:r>
      <w:r>
        <w:rPr>
          <w:rFonts w:hint="eastAsia" w:ascii="仿宋_GB2312" w:hAnsi="仿宋_GB2312" w:eastAsia="仿宋_GB2312" w:cs="仿宋_GB2312"/>
          <w:color w:val="auto"/>
          <w:sz w:val="32"/>
          <w:szCs w:val="32"/>
        </w:rPr>
        <w:t>，实际完成值符合要求</w:t>
      </w:r>
      <w:r>
        <w:rPr>
          <w:rFonts w:hint="eastAsia" w:ascii="仿宋_GB2312" w:hAnsi="仿宋_GB2312" w:eastAsia="仿宋_GB2312" w:cs="仿宋_GB2312"/>
          <w:color w:val="auto"/>
          <w:sz w:val="32"/>
          <w:szCs w:val="32"/>
          <w:lang w:eastAsia="zh-CN"/>
        </w:rPr>
        <w:t>；普法工作覆盖率</w:t>
      </w:r>
      <w:r>
        <w:rPr>
          <w:rFonts w:hint="eastAsia" w:ascii="仿宋_GB2312" w:hAnsi="仿宋_GB2312" w:eastAsia="仿宋_GB2312" w:cs="仿宋_GB2312"/>
          <w:color w:val="auto"/>
          <w:sz w:val="32"/>
          <w:szCs w:val="32"/>
        </w:rPr>
        <w:t>预期指标为</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96%；人员脱管漏管占比</w:t>
      </w:r>
      <w:r>
        <w:rPr>
          <w:rFonts w:hint="eastAsia" w:ascii="仿宋_GB2312" w:hAnsi="仿宋_GB2312" w:eastAsia="仿宋_GB2312" w:cs="仿宋_GB2312"/>
          <w:color w:val="auto"/>
          <w:sz w:val="32"/>
          <w:szCs w:val="32"/>
        </w:rPr>
        <w:t>预期指标为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0；2021年度资金及时支付，资金完成率100%；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分。</w:t>
      </w:r>
    </w:p>
    <w:p w14:paraId="4F6D9ACA">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）效益指标。普法机制建设情况预期指标为</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，实际完成值本年度已完成机制建设，自评得分为</w:t>
      </w:r>
      <w:r>
        <w:rPr>
          <w:rFonts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t>分。</w:t>
      </w:r>
    </w:p>
    <w:p w14:paraId="50CFF708">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）满意度指标。人民群众满意率预期指标为</w:t>
      </w:r>
      <w:r>
        <w:rPr>
          <w:rFonts w:ascii="仿宋_GB2312" w:hAnsi="仿宋_GB2312" w:eastAsia="仿宋_GB2312" w:cs="仿宋_GB2312"/>
          <w:color w:val="auto"/>
          <w:sz w:val="32"/>
          <w:szCs w:val="32"/>
        </w:rPr>
        <w:t>95%</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val="en-US" w:eastAsia="zh-CN"/>
        </w:rPr>
        <w:t>95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分。</w:t>
      </w:r>
    </w:p>
    <w:p w14:paraId="319F61BB">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t>）预算执行率。预算指标为</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，实际完成值</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分。</w:t>
      </w:r>
      <w:r>
        <w:rPr>
          <w:rFonts w:ascii="仿宋_GB2312" w:hAnsi="仿宋_GB2312" w:eastAsia="仿宋_GB2312" w:cs="仿宋_GB2312"/>
          <w:color w:val="auto"/>
          <w:sz w:val="32"/>
          <w:szCs w:val="32"/>
        </w:rPr>
        <w:t xml:space="preserve"> </w:t>
      </w:r>
    </w:p>
    <w:p w14:paraId="2800FF14">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）总分值</w:t>
      </w:r>
      <w:r>
        <w:rPr>
          <w:rFonts w:hint="eastAsia" w:ascii="仿宋_GB2312" w:hAnsi="仿宋_GB2312" w:eastAsia="仿宋_GB2312" w:cs="仿宋_GB2312"/>
          <w:color w:val="auto"/>
          <w:sz w:val="32"/>
          <w:szCs w:val="32"/>
          <w:lang w:val="en-US" w:eastAsia="zh-CN"/>
        </w:rPr>
        <w:t>100分，自评得分97分。</w:t>
      </w:r>
    </w:p>
    <w:p w14:paraId="4FA85687">
      <w:pPr>
        <w:spacing w:line="520" w:lineRule="exact"/>
        <w:ind w:left="420" w:leftChars="200" w:firstLine="320" w:firstLineChars="100"/>
        <w:rPr>
          <w:rFonts w:ascii="仿宋_GB2312" w:hAnsi="宋体" w:eastAsia="仿宋_GB2312" w:cs="方正仿宋_GBK"/>
          <w:color w:val="auto"/>
          <w:kern w:val="0"/>
          <w:sz w:val="32"/>
          <w:szCs w:val="32"/>
        </w:rPr>
      </w:pPr>
      <w:r>
        <w:rPr>
          <w:rFonts w:ascii="仿宋_GB2312" w:hAnsi="宋体" w:eastAsia="仿宋_GB2312" w:cs="方正仿宋_GBK"/>
          <w:color w:val="auto"/>
          <w:kern w:val="0"/>
          <w:sz w:val="32"/>
          <w:szCs w:val="32"/>
        </w:rPr>
        <w:t>4.</w:t>
      </w:r>
      <w:r>
        <w:rPr>
          <w:rFonts w:hint="eastAsia" w:ascii="仿宋_GB2312" w:hAnsi="宋体" w:eastAsia="仿宋_GB2312" w:cs="方正仿宋_GBK"/>
          <w:color w:val="auto"/>
          <w:kern w:val="0"/>
          <w:sz w:val="32"/>
          <w:szCs w:val="32"/>
        </w:rPr>
        <w:t>法律援助、人民调解经费</w:t>
      </w:r>
    </w:p>
    <w:p w14:paraId="6997A930">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）产出指标。援助人员占比预期指标为</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lang w:val="en-US" w:eastAsia="zh-CN"/>
        </w:rPr>
        <w:t>.05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，实际完成值为符合要求</w:t>
      </w:r>
      <w:r>
        <w:rPr>
          <w:rFonts w:hint="eastAsia" w:ascii="仿宋_GB2312" w:hAnsi="仿宋_GB2312" w:eastAsia="仿宋_GB2312" w:cs="仿宋_GB2312"/>
          <w:color w:val="auto"/>
          <w:sz w:val="32"/>
          <w:szCs w:val="32"/>
          <w:lang w:eastAsia="zh-CN"/>
        </w:rPr>
        <w:t>；案件调解率</w:t>
      </w:r>
      <w:r>
        <w:rPr>
          <w:rFonts w:hint="eastAsia" w:ascii="仿宋_GB2312" w:hAnsi="仿宋_GB2312" w:eastAsia="仿宋_GB2312" w:cs="仿宋_GB2312"/>
          <w:color w:val="auto"/>
          <w:sz w:val="32"/>
          <w:szCs w:val="32"/>
        </w:rPr>
        <w:t>预期指标为</w:t>
      </w:r>
      <w:r>
        <w:rPr>
          <w:rFonts w:hint="eastAsia" w:ascii="仿宋_GB2312" w:hAnsi="仿宋_GB2312" w:eastAsia="仿宋_GB2312" w:cs="仿宋_GB2312"/>
          <w:color w:val="auto"/>
          <w:sz w:val="32"/>
          <w:szCs w:val="32"/>
          <w:lang w:val="en-US" w:eastAsia="zh-CN"/>
        </w:rPr>
        <w:t>90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96%；调解案件结案效率</w:t>
      </w:r>
      <w:r>
        <w:rPr>
          <w:rFonts w:hint="eastAsia" w:ascii="仿宋_GB2312" w:hAnsi="仿宋_GB2312" w:eastAsia="仿宋_GB2312" w:cs="仿宋_GB2312"/>
          <w:color w:val="auto"/>
          <w:sz w:val="32"/>
          <w:szCs w:val="32"/>
        </w:rPr>
        <w:t>预期指标为</w:t>
      </w:r>
      <w:r>
        <w:rPr>
          <w:rFonts w:hint="eastAsia" w:ascii="仿宋_GB2312" w:hAnsi="仿宋_GB2312" w:eastAsia="仿宋_GB2312" w:cs="仿宋_GB2312"/>
          <w:color w:val="auto"/>
          <w:sz w:val="32"/>
          <w:szCs w:val="32"/>
          <w:lang w:val="en-US" w:eastAsia="zh-CN"/>
        </w:rPr>
        <w:t>30天内</w:t>
      </w:r>
      <w:r>
        <w:rPr>
          <w:rFonts w:hint="eastAsia" w:ascii="仿宋_GB2312" w:hAnsi="仿宋_GB2312" w:eastAsia="仿宋_GB2312" w:cs="仿宋_GB2312"/>
          <w:color w:val="auto"/>
          <w:sz w:val="32"/>
          <w:szCs w:val="32"/>
        </w:rPr>
        <w:t>，实际完成值本年度结案效率100%</w:t>
      </w:r>
      <w:r>
        <w:rPr>
          <w:rFonts w:hint="eastAsia" w:ascii="仿宋_GB2312" w:hAnsi="仿宋_GB2312" w:eastAsia="仿宋_GB2312" w:cs="仿宋_GB2312"/>
          <w:color w:val="auto"/>
          <w:sz w:val="32"/>
          <w:szCs w:val="32"/>
          <w:lang w:eastAsia="zh-CN"/>
        </w:rPr>
        <w:t>；2021年度资金及时支付，资金完成率100%；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分。</w:t>
      </w:r>
    </w:p>
    <w:p w14:paraId="23DF3CFD">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）效益指标。本年度完成各项工作，自评得分为</w:t>
      </w:r>
      <w:r>
        <w:rPr>
          <w:rFonts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t>分。</w:t>
      </w:r>
    </w:p>
    <w:p w14:paraId="4BB1C640">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）满意度指标。援助案件受益人满意度预期指标为</w:t>
      </w:r>
      <w:r>
        <w:rPr>
          <w:rFonts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lang w:val="en-US" w:eastAsia="zh-CN"/>
        </w:rPr>
        <w:t>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val="en-US" w:eastAsia="zh-CN"/>
        </w:rPr>
        <w:t>95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分。</w:t>
      </w:r>
    </w:p>
    <w:p w14:paraId="57E5389F">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t>）预算执行率。预算指标为</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，实际完成值</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r>
        <w:rPr>
          <w:rFonts w:ascii="仿宋_GB2312" w:hAnsi="仿宋_GB2312" w:eastAsia="仿宋_GB2312" w:cs="仿宋_GB2312"/>
          <w:color w:val="auto"/>
          <w:sz w:val="32"/>
          <w:szCs w:val="32"/>
        </w:rPr>
        <w:t xml:space="preserve"> </w:t>
      </w:r>
    </w:p>
    <w:p w14:paraId="29052396">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）总分值</w:t>
      </w:r>
      <w:r>
        <w:rPr>
          <w:rFonts w:hint="eastAsia" w:ascii="仿宋_GB2312" w:hAnsi="仿宋_GB2312" w:eastAsia="仿宋_GB2312" w:cs="仿宋_GB2312"/>
          <w:color w:val="auto"/>
          <w:sz w:val="32"/>
          <w:szCs w:val="32"/>
          <w:lang w:val="en-US" w:eastAsia="zh-CN"/>
        </w:rPr>
        <w:t>100分，自评得分99分。</w:t>
      </w:r>
    </w:p>
    <w:p w14:paraId="6B4C7A70">
      <w:pPr>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5.维稳工作经费</w:t>
      </w:r>
    </w:p>
    <w:p w14:paraId="08920809">
      <w:pPr>
        <w:numPr>
          <w:ilvl w:val="0"/>
          <w:numId w:val="0"/>
        </w:num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产出指标。</w:t>
      </w:r>
      <w:r>
        <w:rPr>
          <w:rFonts w:hint="default" w:ascii="仿宋_GB2312" w:hAnsi="仿宋_GB2312" w:eastAsia="仿宋_GB2312" w:cs="仿宋_GB2312"/>
          <w:color w:val="auto"/>
          <w:sz w:val="32"/>
          <w:szCs w:val="32"/>
        </w:rPr>
        <w:t>①</w:t>
      </w:r>
      <w:r>
        <w:rPr>
          <w:rFonts w:hint="eastAsia" w:ascii="仿宋_GB2312" w:hAnsi="仿宋_GB2312" w:eastAsia="仿宋_GB2312" w:cs="仿宋_GB2312"/>
          <w:color w:val="auto"/>
          <w:sz w:val="32"/>
          <w:szCs w:val="32"/>
          <w:lang w:eastAsia="zh-CN"/>
        </w:rPr>
        <w:t>数量指标，宣传情况完成各项国安、防范宣传工作，大于全年共宣传</w:t>
      </w:r>
      <w:r>
        <w:rPr>
          <w:rFonts w:hint="eastAsia" w:ascii="仿宋_GB2312" w:hAnsi="仿宋_GB2312" w:eastAsia="仿宋_GB2312" w:cs="仿宋_GB2312"/>
          <w:color w:val="auto"/>
          <w:sz w:val="32"/>
          <w:szCs w:val="32"/>
          <w:lang w:val="en-US" w:eastAsia="zh-CN"/>
        </w:rPr>
        <w:t>4次，宣传次数大于</w:t>
      </w:r>
      <w:r>
        <w:rPr>
          <w:rFonts w:hint="eastAsia" w:ascii="仿宋_GB2312" w:hAnsi="仿宋_GB2312" w:eastAsia="仿宋_GB2312" w:cs="仿宋_GB2312"/>
          <w:color w:val="auto"/>
          <w:sz w:val="32"/>
          <w:szCs w:val="32"/>
        </w:rPr>
        <w:t>预期指标</w:t>
      </w:r>
      <w:r>
        <w:rPr>
          <w:rFonts w:hint="eastAsia" w:ascii="宋体" w:hAnsi="宋体" w:eastAsia="宋体" w:cs="宋体"/>
          <w:color w:val="auto"/>
          <w:sz w:val="32"/>
          <w:szCs w:val="32"/>
        </w:rPr>
        <w:t>≧</w:t>
      </w:r>
      <w:r>
        <w:rPr>
          <w:rFonts w:hint="eastAsia" w:ascii="仿宋_GB2312" w:hAnsi="仿宋_GB2312" w:eastAsia="仿宋_GB2312" w:cs="仿宋_GB2312"/>
          <w:color w:val="auto"/>
          <w:sz w:val="32"/>
          <w:szCs w:val="32"/>
          <w:lang w:val="en-US" w:eastAsia="zh-CN"/>
        </w:rPr>
        <w:t>3次。</w:t>
      </w:r>
      <w:r>
        <w:rPr>
          <w:rFonts w:hint="default"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t>质量指标，春节、全国两会、建党100周年等敏感期间，值班人员到位人数占值班人数100%。</w:t>
      </w:r>
      <w:r>
        <w:rPr>
          <w:rFonts w:hint="default" w:ascii="仿宋_GB2312" w:hAnsi="仿宋_GB2312" w:eastAsia="仿宋_GB2312" w:cs="仿宋_GB2312"/>
          <w:color w:val="auto"/>
          <w:sz w:val="32"/>
          <w:szCs w:val="32"/>
          <w:lang w:val="en-US" w:eastAsia="zh-CN"/>
        </w:rPr>
        <w:t>③</w:t>
      </w:r>
      <w:r>
        <w:rPr>
          <w:rFonts w:hint="eastAsia" w:ascii="仿宋_GB2312" w:hAnsi="仿宋_GB2312" w:eastAsia="仿宋_GB2312" w:cs="仿宋_GB2312"/>
          <w:color w:val="auto"/>
          <w:sz w:val="32"/>
          <w:szCs w:val="32"/>
          <w:lang w:val="en-US" w:eastAsia="zh-CN"/>
        </w:rPr>
        <w:t>时效指标，今年涉法涉诉信访案件共14件，办结14件，办结率</w:t>
      </w:r>
      <w:r>
        <w:rPr>
          <w:rFonts w:hint="eastAsia" w:ascii="宋体" w:hAnsi="宋体" w:eastAsia="宋体" w:cs="宋体"/>
          <w:color w:val="auto"/>
          <w:sz w:val="32"/>
          <w:szCs w:val="32"/>
          <w:lang w:val="en-US" w:eastAsia="zh-CN"/>
        </w:rPr>
        <w:t>≧</w:t>
      </w:r>
      <w:r>
        <w:rPr>
          <w:rFonts w:hint="eastAsia" w:ascii="仿宋_GB2312" w:hAnsi="仿宋_GB2312" w:eastAsia="仿宋_GB2312" w:cs="仿宋_GB2312"/>
          <w:color w:val="auto"/>
          <w:sz w:val="32"/>
          <w:szCs w:val="32"/>
          <w:lang w:val="en-US" w:eastAsia="zh-CN"/>
        </w:rPr>
        <w:t>90%。④成本指标，预算资金完成率100%，各项及时支付，资金完成率</w:t>
      </w:r>
      <w:r>
        <w:rPr>
          <w:rFonts w:hint="eastAsia" w:ascii="宋体" w:hAnsi="宋体" w:eastAsia="宋体" w:cs="宋体"/>
          <w:color w:val="auto"/>
          <w:sz w:val="32"/>
          <w:szCs w:val="32"/>
          <w:lang w:val="en-US" w:eastAsia="zh-CN"/>
        </w:rPr>
        <w:t>≧</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分。</w:t>
      </w:r>
    </w:p>
    <w:p w14:paraId="149B0220">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效益指标。202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年全区没有发生群死群伤，没有重大治安案件等事件，202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年重大活动突发事件发生率预期指标为</w:t>
      </w:r>
      <w:r>
        <w:rPr>
          <w:rFonts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rPr>
        <w:t>，实际完成值为</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，自评得分为</w:t>
      </w:r>
      <w:r>
        <w:rPr>
          <w:rFonts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t>分。</w:t>
      </w:r>
    </w:p>
    <w:p w14:paraId="11434C2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满意度指标。服务对象满意度预期指标为</w:t>
      </w:r>
      <w:r>
        <w:rPr>
          <w:rFonts w:hint="eastAsia" w:ascii="宋体" w:hAnsi="宋体" w:eastAsia="宋体" w:cs="宋体"/>
          <w:color w:val="auto"/>
          <w:sz w:val="32"/>
          <w:szCs w:val="32"/>
        </w:rPr>
        <w:t>≧</w:t>
      </w:r>
      <w:r>
        <w:rPr>
          <w:rFonts w:hint="eastAsia" w:ascii="仿宋_GB2312" w:hAnsi="仿宋_GB2312" w:eastAsia="仿宋_GB2312" w:cs="仿宋_GB2312"/>
          <w:color w:val="auto"/>
          <w:sz w:val="32"/>
          <w:szCs w:val="32"/>
          <w:lang w:val="en-US" w:eastAsia="zh-CN"/>
        </w:rPr>
        <w:t>90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val="en-US" w:eastAsia="zh-CN"/>
        </w:rPr>
        <w:t>85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分。</w:t>
      </w:r>
    </w:p>
    <w:p w14:paraId="3A6E0414">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预算执行率。预算指标为</w:t>
      </w:r>
      <w:r>
        <w:rPr>
          <w:rFonts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，自评得分为</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486650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6.社会治安保险和严重精神障碍患者责任险经费</w:t>
      </w:r>
    </w:p>
    <w:p w14:paraId="68990F9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（1）产出指标50分，评价得分50分</w:t>
      </w:r>
    </w:p>
    <w:p w14:paraId="47DE47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①数量指标。组织各镇（办）对常住村（居）民家庭</w:t>
      </w:r>
      <w:r>
        <w:rPr>
          <w:rFonts w:hint="eastAsia" w:ascii="仿宋_GB2312" w:hAnsi="仿宋_GB2312" w:eastAsia="仿宋_GB2312" w:cs="仿宋_GB2312"/>
          <w:color w:val="auto"/>
          <w:sz w:val="32"/>
          <w:szCs w:val="32"/>
          <w:lang w:eastAsia="zh-CN"/>
        </w:rPr>
        <w:t>和登记在册的严重精神障碍患者进行了统计，登记管理人数占比达到</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经评价，该项指标得分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691B0B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r>
        <w:rPr>
          <w:rFonts w:hint="eastAsia" w:ascii="仿宋_GB2312" w:hAnsi="仿宋_GB2312" w:eastAsia="仿宋_GB2312" w:cs="仿宋_GB2312"/>
          <w:color w:val="auto"/>
          <w:sz w:val="32"/>
          <w:szCs w:val="32"/>
          <w:lang w:eastAsia="zh-CN"/>
        </w:rPr>
        <w:t>督导人保财险高新支公司出具保单，完成了相关保险参保工作</w:t>
      </w:r>
      <w:r>
        <w:rPr>
          <w:rFonts w:hint="eastAsia" w:ascii="仿宋_GB2312" w:hAnsi="仿宋_GB2312" w:eastAsia="仿宋_GB2312" w:cs="仿宋_GB2312"/>
          <w:color w:val="auto"/>
          <w:sz w:val="32"/>
          <w:szCs w:val="32"/>
        </w:rPr>
        <w:t>。经评价，该指标得分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449A551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时效指标。</w:t>
      </w:r>
      <w:r>
        <w:rPr>
          <w:rFonts w:hint="eastAsia" w:ascii="仿宋_GB2312" w:hAnsi="仿宋_GB2312" w:eastAsia="仿宋_GB2312" w:cs="仿宋_GB2312"/>
          <w:color w:val="auto"/>
          <w:sz w:val="32"/>
          <w:szCs w:val="32"/>
        </w:rPr>
        <w:t>对常住村（居）民家庭</w:t>
      </w:r>
      <w:r>
        <w:rPr>
          <w:rFonts w:hint="eastAsia" w:ascii="仿宋_GB2312" w:hAnsi="仿宋_GB2312" w:eastAsia="仿宋_GB2312" w:cs="仿宋_GB2312"/>
          <w:color w:val="auto"/>
          <w:sz w:val="32"/>
          <w:szCs w:val="32"/>
          <w:lang w:eastAsia="zh-CN"/>
        </w:rPr>
        <w:t>和严重精神障碍患者</w:t>
      </w:r>
      <w:r>
        <w:rPr>
          <w:rFonts w:hint="eastAsia" w:ascii="仿宋_GB2312" w:hAnsi="仿宋_GB2312" w:eastAsia="仿宋_GB2312" w:cs="仿宋_GB2312"/>
          <w:color w:val="auto"/>
          <w:sz w:val="32"/>
          <w:szCs w:val="32"/>
        </w:rPr>
        <w:t>投保</w:t>
      </w:r>
      <w:r>
        <w:rPr>
          <w:rFonts w:hint="eastAsia" w:ascii="仿宋_GB2312" w:hAnsi="仿宋_GB2312" w:eastAsia="仿宋_GB2312" w:cs="仿宋_GB2312"/>
          <w:color w:val="auto"/>
          <w:sz w:val="32"/>
          <w:szCs w:val="32"/>
          <w:lang w:eastAsia="zh-CN"/>
        </w:rPr>
        <w:t>，做到了应保尽保</w:t>
      </w:r>
      <w:r>
        <w:rPr>
          <w:rFonts w:hint="eastAsia" w:ascii="仿宋_GB2312" w:hAnsi="仿宋_GB2312" w:eastAsia="仿宋_GB2312" w:cs="仿宋_GB2312"/>
          <w:color w:val="auto"/>
          <w:sz w:val="32"/>
          <w:szCs w:val="32"/>
        </w:rPr>
        <w:t>。经评价，该指标得分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6F8169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④</w:t>
      </w:r>
      <w:r>
        <w:rPr>
          <w:rFonts w:hint="eastAsia" w:ascii="仿宋_GB2312" w:hAnsi="仿宋_GB2312" w:eastAsia="仿宋_GB2312" w:cs="仿宋_GB2312"/>
          <w:color w:val="auto"/>
          <w:sz w:val="32"/>
          <w:szCs w:val="32"/>
          <w:lang w:eastAsia="zh-CN"/>
        </w:rPr>
        <w:t>成本指标。为辖区常住居民参保社会治安保险，保费为</w:t>
      </w:r>
      <w:r>
        <w:rPr>
          <w:rFonts w:hint="eastAsia" w:ascii="仿宋_GB2312" w:hAnsi="仿宋_GB2312" w:eastAsia="仿宋_GB2312" w:cs="仿宋_GB2312"/>
          <w:color w:val="auto"/>
          <w:sz w:val="32"/>
          <w:szCs w:val="32"/>
          <w:lang w:val="en-US" w:eastAsia="zh-CN"/>
        </w:rPr>
        <w:t>20元/户/份。</w:t>
      </w:r>
      <w:r>
        <w:rPr>
          <w:rFonts w:hint="eastAsia" w:ascii="仿宋_GB2312" w:hAnsi="仿宋_GB2312" w:eastAsia="仿宋_GB2312" w:cs="仿宋_GB2312"/>
          <w:color w:val="auto"/>
          <w:sz w:val="32"/>
          <w:szCs w:val="32"/>
        </w:rPr>
        <w:t>经评价，该指标得分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4980200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（2）效益指标30分，评价得分</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分</w:t>
      </w:r>
    </w:p>
    <w:p w14:paraId="278DDA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①可持续影响指标。推行治安保险工作以来，逐步形成了“群众利益有保障，治安防范有专人，保险公司有利润，警务工作有活力，城乡居民有平安”的良好局面。该项指标得分</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93</w:t>
      </w:r>
      <w:r>
        <w:rPr>
          <w:rFonts w:hint="eastAsia" w:ascii="仿宋_GB2312" w:hAnsi="仿宋_GB2312" w:eastAsia="仿宋_GB2312" w:cs="仿宋_GB2312"/>
          <w:color w:val="auto"/>
          <w:sz w:val="32"/>
          <w:szCs w:val="32"/>
        </w:rPr>
        <w:t>%。</w:t>
      </w:r>
    </w:p>
    <w:p w14:paraId="125BAA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（3）满意度指标10分，评价得分10分</w:t>
      </w:r>
    </w:p>
    <w:p w14:paraId="26ED1B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实行治安保险进一步织密了治安防控网络，强化了防控责任，由于引入保险机制，实现了风险转移使，群众感到前所未有的放心、安心。该项指标得分10分，得分率为100%。</w:t>
      </w:r>
    </w:p>
    <w:p w14:paraId="59DC13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（4）预算执行率10分，评价得分10分</w:t>
      </w:r>
    </w:p>
    <w:p w14:paraId="2C681A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该项目资金拨付审批程序完善，资金合理合法运用，做到了专款专用、落实使用到位，不存在节流、挤占、挪用、虚列支出等情况。该项指标得分10分，得分率为100%。</w:t>
      </w:r>
    </w:p>
    <w:p w14:paraId="04C1082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7.政法网升级扩容改造项目资金</w:t>
      </w:r>
    </w:p>
    <w:p w14:paraId="22D1AE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照省委政法委《关于做好政法三、四级网扩容工作的意见》（冀政法发〔2016〕3号）和市委政法委《唐山市政法四级网升级扩容改造方案》要求，开展政法网扩容工作，按比例分年度将扩容经费汇入市统一账号，由市委政法委统一支付。</w:t>
      </w:r>
    </w:p>
    <w:p w14:paraId="45ECD6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产出指标</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w:t>
      </w:r>
    </w:p>
    <w:p w14:paraId="2EDF7C7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①质量指标。通过政法网扩容改造，进一步规范和加强政法网建设和管理，提高了政法传输保障能力。</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71AE4D3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②数量指标。积极协调政法部门确定了21个升级改造点位，做好了扩容改造项目。</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2FD792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③时效指标。按照市有关要求，完成了项目验收工作，各政法机关设备均在线运行。</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002B65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④成本指标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按照市有关要求，按比例分年度及时将扩容经费汇入市统一账号，及时率达到100%。</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7C6A76A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效益指标</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w:t>
      </w:r>
    </w:p>
    <w:p w14:paraId="48D03D3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社会效益指标。进一步规范和加强了政法网建设管理，提高政法传输保障能力，实现了政委机关网络全覆盖。</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分，得分率为100%。</w:t>
      </w:r>
    </w:p>
    <w:p w14:paraId="576CBE0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2108E9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通过政法网升级扩容改造，进一步提升了各级政法网建设水平。</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7BAAD5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426ADD61">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sz w:val="32"/>
          <w:szCs w:val="32"/>
          <w:lang w:val="en-US" w:eastAsia="zh-CN"/>
        </w:rPr>
        <w:t>该项目</w:t>
      </w:r>
      <w:r>
        <w:rPr>
          <w:rFonts w:hint="eastAsia" w:ascii="仿宋_GB2312" w:hAnsi="仿宋_GB2312" w:eastAsia="仿宋_GB2312" w:cs="仿宋_GB2312"/>
          <w:color w:val="auto"/>
          <w:sz w:val="32"/>
          <w:szCs w:val="32"/>
          <w:lang w:eastAsia="zh-CN"/>
        </w:rPr>
        <w:t>资金拨付审批程序完善，资金合理合法运用，做到了专款专用、落实使用到位，不存在节流、挤占、挪用、虚列支出等情况。</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62C51F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8.综治重点工作经费</w:t>
      </w:r>
    </w:p>
    <w:p w14:paraId="2D83B4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产出指标</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w:t>
      </w:r>
    </w:p>
    <w:p w14:paraId="2610401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①数量指标。</w:t>
      </w:r>
      <w:r>
        <w:rPr>
          <w:rFonts w:hint="eastAsia" w:ascii="仿宋_GB2312" w:hAnsi="仿宋_GB2312" w:eastAsia="仿宋_GB2312" w:cs="仿宋_GB2312"/>
          <w:color w:val="auto"/>
          <w:sz w:val="32"/>
          <w:szCs w:val="32"/>
          <w:lang w:eastAsia="zh-CN"/>
        </w:rPr>
        <w:t>组织开展“综治宣传月”、平安建设“八进”宣传活动、见义勇为、创建社会治安优秀市等宣传教育活动，发放了宣传单、彩页等宣传品</w:t>
      </w:r>
      <w:r>
        <w:rPr>
          <w:rFonts w:hint="eastAsia" w:ascii="仿宋_GB2312" w:hAnsi="仿宋_GB2312" w:eastAsia="仿宋_GB2312" w:cs="仿宋_GB2312"/>
          <w:color w:val="auto"/>
          <w:sz w:val="32"/>
          <w:szCs w:val="32"/>
          <w:lang w:val="en-US" w:eastAsia="zh-CN"/>
        </w:rPr>
        <w:t>60000余张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经评价，</w:t>
      </w:r>
      <w:r>
        <w:rPr>
          <w:rFonts w:hint="eastAsia" w:ascii="仿宋_GB2312" w:hAnsi="仿宋_GB2312" w:eastAsia="仿宋_GB2312" w:cs="仿宋_GB2312"/>
          <w:color w:val="auto"/>
          <w:sz w:val="32"/>
          <w:szCs w:val="32"/>
          <w:lang w:eastAsia="zh-CN"/>
        </w:rPr>
        <w:t>该项指标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0FBF675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②时效指标。今年以来，我处室开展</w:t>
      </w:r>
      <w:r>
        <w:rPr>
          <w:rFonts w:hint="eastAsia" w:ascii="仿宋_GB2312" w:hAnsi="仿宋_GB2312" w:eastAsia="仿宋_GB2312" w:cs="仿宋_GB2312"/>
          <w:color w:val="auto"/>
          <w:sz w:val="32"/>
          <w:szCs w:val="32"/>
          <w:lang w:eastAsia="zh-CN"/>
        </w:rPr>
        <w:t>平安建设“八进”宣传活动、见义勇为、创建社会治安优秀市等宣传教育活动</w:t>
      </w:r>
      <w:r>
        <w:rPr>
          <w:rFonts w:hint="eastAsia" w:ascii="仿宋_GB2312" w:hAnsi="仿宋_GB2312" w:eastAsia="仿宋_GB2312" w:cs="仿宋_GB2312"/>
          <w:color w:val="auto"/>
          <w:sz w:val="32"/>
          <w:szCs w:val="32"/>
          <w:lang w:val="en-US" w:eastAsia="zh-CN"/>
        </w:rPr>
        <w:t>4次。</w:t>
      </w:r>
      <w:r>
        <w:rPr>
          <w:rFonts w:hint="eastAsia" w:ascii="仿宋_GB2312" w:hAnsi="仿宋_GB2312" w:eastAsia="仿宋_GB2312" w:cs="仿宋_GB2312"/>
          <w:color w:val="auto"/>
          <w:sz w:val="32"/>
          <w:szCs w:val="32"/>
        </w:rPr>
        <w:t>经评价，</w:t>
      </w:r>
      <w:r>
        <w:rPr>
          <w:rFonts w:hint="eastAsia" w:ascii="仿宋_GB2312" w:hAnsi="仿宋_GB2312" w:eastAsia="仿宋_GB2312" w:cs="仿宋_GB2312"/>
          <w:color w:val="auto"/>
          <w:sz w:val="32"/>
          <w:szCs w:val="32"/>
          <w:lang w:eastAsia="zh-CN"/>
        </w:rPr>
        <w:t>该项指标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p>
    <w:p w14:paraId="603C1A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质量指标。按照市有关文件要求，我区及时开展综治“</w:t>
      </w:r>
      <w:r>
        <w:rPr>
          <w:rFonts w:hint="eastAsia" w:ascii="仿宋_GB2312" w:hAnsi="仿宋_GB2312" w:eastAsia="仿宋_GB2312" w:cs="仿宋_GB2312"/>
          <w:color w:val="auto"/>
          <w:sz w:val="32"/>
          <w:szCs w:val="32"/>
          <w:lang w:val="en-US" w:eastAsia="zh-CN"/>
        </w:rPr>
        <w:t>9+X</w:t>
      </w:r>
      <w:r>
        <w:rPr>
          <w:rFonts w:hint="eastAsia" w:ascii="仿宋_GB2312" w:hAnsi="仿宋_GB2312" w:eastAsia="仿宋_GB2312" w:cs="仿宋_GB2312"/>
          <w:color w:val="auto"/>
          <w:sz w:val="32"/>
          <w:szCs w:val="32"/>
          <w:lang w:eastAsia="zh-CN"/>
        </w:rPr>
        <w:t>”信息系统数据录入工作，上报各类信息</w:t>
      </w:r>
      <w:r>
        <w:rPr>
          <w:rFonts w:hint="eastAsia" w:ascii="仿宋_GB2312" w:hAnsi="仿宋_GB2312" w:eastAsia="仿宋_GB2312" w:cs="仿宋_GB2312"/>
          <w:color w:val="auto"/>
          <w:sz w:val="32"/>
          <w:szCs w:val="32"/>
          <w:lang w:val="en-US" w:eastAsia="zh-CN"/>
        </w:rPr>
        <w:t>1000余条。</w:t>
      </w:r>
      <w:r>
        <w:rPr>
          <w:rFonts w:hint="eastAsia" w:ascii="仿宋_GB2312" w:hAnsi="仿宋_GB2312" w:eastAsia="仿宋_GB2312" w:cs="仿宋_GB2312"/>
          <w:color w:val="auto"/>
          <w:sz w:val="32"/>
          <w:szCs w:val="32"/>
        </w:rPr>
        <w:t>经评价，</w:t>
      </w:r>
      <w:r>
        <w:rPr>
          <w:rFonts w:hint="eastAsia" w:ascii="仿宋_GB2312" w:hAnsi="仿宋_GB2312" w:eastAsia="仿宋_GB2312" w:cs="仿宋_GB2312"/>
          <w:color w:val="auto"/>
          <w:sz w:val="32"/>
          <w:szCs w:val="32"/>
          <w:lang w:eastAsia="zh-CN"/>
        </w:rPr>
        <w:t>该项指标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26630D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④成本指标。</w:t>
      </w:r>
      <w:r>
        <w:rPr>
          <w:rFonts w:hint="eastAsia" w:ascii="仿宋_GB2312" w:hAnsi="仿宋_GB2312" w:eastAsia="仿宋_GB2312" w:cs="仿宋_GB2312"/>
          <w:color w:val="auto"/>
          <w:sz w:val="32"/>
          <w:szCs w:val="32"/>
          <w:lang w:eastAsia="zh-CN"/>
        </w:rPr>
        <w:t>我处室组织开展各类宣传活动，购置宣传品所需金额占项目金额的</w:t>
      </w:r>
      <w:r>
        <w:rPr>
          <w:rFonts w:hint="eastAsia" w:ascii="仿宋_GB2312" w:hAnsi="仿宋_GB2312" w:eastAsia="仿宋_GB2312" w:cs="仿宋_GB2312"/>
          <w:color w:val="auto"/>
          <w:sz w:val="32"/>
          <w:szCs w:val="32"/>
          <w:lang w:val="en-US" w:eastAsia="zh-CN"/>
        </w:rPr>
        <w:t>20%以上。</w:t>
      </w:r>
      <w:r>
        <w:rPr>
          <w:rFonts w:hint="eastAsia" w:ascii="仿宋_GB2312" w:hAnsi="仿宋_GB2312" w:eastAsia="仿宋_GB2312" w:cs="仿宋_GB2312"/>
          <w:color w:val="auto"/>
          <w:sz w:val="32"/>
          <w:szCs w:val="32"/>
        </w:rPr>
        <w:t>经评价，</w:t>
      </w:r>
      <w:r>
        <w:rPr>
          <w:rFonts w:hint="eastAsia" w:ascii="仿宋_GB2312" w:hAnsi="仿宋_GB2312" w:eastAsia="仿宋_GB2312" w:cs="仿宋_GB2312"/>
          <w:color w:val="auto"/>
          <w:sz w:val="32"/>
          <w:szCs w:val="32"/>
          <w:lang w:eastAsia="zh-CN"/>
        </w:rPr>
        <w:t>该项指标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3DD77E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效果指标</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w:t>
      </w:r>
    </w:p>
    <w:p w14:paraId="0A53F0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可持续影响指标。</w:t>
      </w:r>
      <w:r>
        <w:rPr>
          <w:rFonts w:hint="eastAsia" w:ascii="仿宋_GB2312" w:hAnsi="仿宋_GB2312" w:eastAsia="仿宋_GB2312" w:cs="仿宋_GB2312"/>
          <w:color w:val="auto"/>
          <w:spacing w:val="0"/>
          <w:kern w:val="2"/>
          <w:sz w:val="32"/>
          <w:szCs w:val="32"/>
          <w:lang w:val="en-US" w:eastAsia="zh-CN"/>
        </w:rPr>
        <w:t>为做好全国两会、暑期期间铁路护路联防工作，及时启动重要时期护路模式，加强了对津山线、津秦客专等重点线路，购置了护路装备，有力促进了护路积极性，确保了辖区铁路安全畅通。</w:t>
      </w:r>
      <w:r>
        <w:rPr>
          <w:rFonts w:hint="eastAsia" w:ascii="仿宋_GB2312" w:hAnsi="仿宋_GB2312" w:eastAsia="仿宋_GB2312" w:cs="仿宋_GB2312"/>
          <w:color w:val="auto"/>
          <w:sz w:val="32"/>
          <w:szCs w:val="32"/>
        </w:rPr>
        <w:t>经评价，</w:t>
      </w:r>
      <w:r>
        <w:rPr>
          <w:rFonts w:hint="eastAsia" w:ascii="仿宋_GB2312" w:hAnsi="仿宋_GB2312" w:eastAsia="仿宋_GB2312" w:cs="仿宋_GB2312"/>
          <w:color w:val="auto"/>
          <w:sz w:val="32"/>
          <w:szCs w:val="32"/>
          <w:lang w:eastAsia="zh-CN"/>
        </w:rPr>
        <w:t>该项指标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分，得分率为100%。</w:t>
      </w:r>
    </w:p>
    <w:p w14:paraId="6FBC89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727BCF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大力加强“枫桥经验”和基层平安建设工作宣传力度，扩大宣传覆盖面，努力提高了广大群众对平安建设的知晓率、参与率和满意度。</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4B991E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24D010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w:t>
      </w:r>
      <w:r>
        <w:rPr>
          <w:rFonts w:hint="eastAsia" w:ascii="仿宋_GB2312" w:hAnsi="仿宋_GB2312" w:eastAsia="仿宋_GB2312" w:cs="仿宋_GB2312"/>
          <w:color w:val="auto"/>
          <w:sz w:val="32"/>
          <w:szCs w:val="32"/>
          <w:lang w:eastAsia="zh-CN"/>
        </w:rPr>
        <w:t>资金拨付审批程序完善，资金合理合法运用，做到了专款专用、落实使用到位，不存在节流、挤占、挪用、虚列支出等情况。</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0D6E34F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9.雪亮工程一期维护费</w:t>
      </w:r>
    </w:p>
    <w:p w14:paraId="0F83B82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产出指标</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分</w:t>
      </w:r>
    </w:p>
    <w:p w14:paraId="525238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①质量指标。为确保雪亮工程运行可靠，我们协调有关单位对雪亮工程设备运行、网络连通情况进行了抽查验收，经抽查符合验收标准。</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r>
        <w:rPr>
          <w:rFonts w:hint="eastAsia" w:ascii="仿宋_GB2312" w:hAnsi="仿宋_GB2312" w:eastAsia="仿宋_GB2312" w:cs="仿宋_GB2312"/>
          <w:color w:val="auto"/>
          <w:sz w:val="32"/>
          <w:szCs w:val="32"/>
          <w:lang w:eastAsia="zh-CN"/>
        </w:rPr>
        <w:t>。</w:t>
      </w:r>
    </w:p>
    <w:p w14:paraId="21FB75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②数量指标。我区雪亮工程已竣工验收并投入使用，安装视频监控点位共680个。</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r>
        <w:rPr>
          <w:rFonts w:hint="eastAsia" w:ascii="仿宋_GB2312" w:hAnsi="仿宋_GB2312" w:eastAsia="仿宋_GB2312" w:cs="仿宋_GB2312"/>
          <w:color w:val="auto"/>
          <w:sz w:val="32"/>
          <w:szCs w:val="32"/>
          <w:lang w:eastAsia="zh-CN"/>
        </w:rPr>
        <w:t>。</w:t>
      </w:r>
    </w:p>
    <w:p w14:paraId="6AF6EF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③时效指标。督导运维方做好雪亮工程设备日常维护工作，确保视频监控点位在线率达到95%以上。</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分，得分率为100%</w:t>
      </w:r>
      <w:r>
        <w:rPr>
          <w:rFonts w:hint="eastAsia" w:ascii="仿宋_GB2312" w:hAnsi="仿宋_GB2312" w:eastAsia="仿宋_GB2312" w:cs="仿宋_GB2312"/>
          <w:color w:val="auto"/>
          <w:sz w:val="32"/>
          <w:szCs w:val="32"/>
          <w:lang w:eastAsia="zh-CN"/>
        </w:rPr>
        <w:t>。</w:t>
      </w:r>
    </w:p>
    <w:p w14:paraId="56E8DA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④成本指标。按照双方合同约定，及时给付了运维资金。</w:t>
      </w:r>
      <w:r>
        <w:rPr>
          <w:rFonts w:hint="eastAsia" w:ascii="仿宋_GB2312" w:hAnsi="仿宋_GB2312" w:eastAsia="仿宋_GB2312" w:cs="仿宋_GB2312"/>
          <w:color w:val="auto"/>
          <w:sz w:val="32"/>
          <w:szCs w:val="32"/>
        </w:rPr>
        <w:t>经评价，该</w:t>
      </w:r>
      <w:r>
        <w:rPr>
          <w:rFonts w:hint="eastAsia" w:ascii="仿宋_GB2312" w:hAnsi="仿宋_GB2312" w:eastAsia="仿宋_GB2312" w:cs="仿宋_GB2312"/>
          <w:color w:val="auto"/>
          <w:sz w:val="32"/>
          <w:szCs w:val="32"/>
          <w:lang w:eastAsia="zh-CN"/>
        </w:rPr>
        <w:t>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r>
        <w:rPr>
          <w:rFonts w:hint="eastAsia" w:ascii="仿宋_GB2312" w:hAnsi="仿宋_GB2312" w:eastAsia="仿宋_GB2312" w:cs="仿宋_GB2312"/>
          <w:color w:val="auto"/>
          <w:sz w:val="32"/>
          <w:szCs w:val="32"/>
          <w:lang w:eastAsia="zh-CN"/>
        </w:rPr>
        <w:t>。</w:t>
      </w:r>
    </w:p>
    <w:p w14:paraId="4E2365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效果指标</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w:t>
      </w:r>
    </w:p>
    <w:p w14:paraId="76625C3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可持续影响指标。通过公安等有关单位多次踩点和规划新建前端点位，基本实现我区视频监控全覆盖，满足了我区日常工作需要。</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分，得分率为100%，该项指标绩效等级为</w:t>
      </w:r>
      <w:r>
        <w:rPr>
          <w:rFonts w:hint="eastAsia" w:ascii="仿宋_GB2312" w:hAnsi="仿宋_GB2312" w:eastAsia="仿宋_GB2312" w:cs="仿宋_GB2312"/>
          <w:color w:val="auto"/>
          <w:sz w:val="32"/>
          <w:szCs w:val="32"/>
          <w:lang w:eastAsia="zh-CN"/>
        </w:rPr>
        <w:t>优秀</w:t>
      </w:r>
      <w:r>
        <w:rPr>
          <w:rFonts w:hint="eastAsia" w:ascii="仿宋_GB2312" w:hAnsi="仿宋_GB2312" w:eastAsia="仿宋_GB2312" w:cs="仿宋_GB2312"/>
          <w:color w:val="auto"/>
          <w:sz w:val="32"/>
          <w:szCs w:val="32"/>
        </w:rPr>
        <w:t>。</w:t>
      </w:r>
    </w:p>
    <w:p w14:paraId="6B1309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0DD997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通过安装高清监控，便于公安机关巡查辖区人员、车辆、周围环境等信息，提高人民群众的安全感，增强群众满意度。</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分，得分率为100%。</w:t>
      </w:r>
    </w:p>
    <w:p w14:paraId="0051AC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（4）预算执行率10</w:t>
      </w:r>
      <w:r>
        <w:rPr>
          <w:rFonts w:hint="eastAsia" w:ascii="仿宋_GB2312" w:hAnsi="仿宋_GB2312" w:eastAsia="仿宋_GB2312" w:cs="仿宋_GB2312"/>
          <w:color w:val="auto"/>
          <w:sz w:val="32"/>
          <w:szCs w:val="32"/>
        </w:rPr>
        <w:t>分，评价得分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14:paraId="1A903E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该项目</w:t>
      </w:r>
      <w:r>
        <w:rPr>
          <w:rFonts w:hint="eastAsia" w:ascii="仿宋_GB2312" w:hAnsi="仿宋_GB2312" w:eastAsia="仿宋_GB2312" w:cs="仿宋_GB2312"/>
          <w:color w:val="auto"/>
          <w:sz w:val="32"/>
          <w:szCs w:val="32"/>
          <w:lang w:eastAsia="zh-CN"/>
        </w:rPr>
        <w:t>资金拨付审批程序完善，资金合理合法运用，做到了专款专用、落实使用到位，不存在节流、挤占、挪用、虚列支出等情况。</w:t>
      </w:r>
      <w:r>
        <w:rPr>
          <w:rFonts w:hint="eastAsia" w:ascii="仿宋_GB2312" w:hAnsi="仿宋_GB2312" w:eastAsia="仿宋_GB2312" w:cs="仿宋_GB2312"/>
          <w:color w:val="auto"/>
          <w:sz w:val="32"/>
          <w:szCs w:val="32"/>
        </w:rPr>
        <w:t>该</w:t>
      </w:r>
      <w:r>
        <w:rPr>
          <w:rFonts w:hint="eastAsia" w:ascii="仿宋_GB2312" w:hAnsi="仿宋_GB2312" w:eastAsia="仿宋_GB2312" w:cs="仿宋_GB2312"/>
          <w:color w:val="auto"/>
          <w:sz w:val="32"/>
          <w:szCs w:val="32"/>
          <w:lang w:eastAsia="zh-CN"/>
        </w:rPr>
        <w:t>项指标</w:t>
      </w:r>
      <w:r>
        <w:rPr>
          <w:rFonts w:hint="eastAsia" w:ascii="仿宋_GB2312" w:hAnsi="仿宋_GB2312" w:eastAsia="仿宋_GB2312" w:cs="仿宋_GB2312"/>
          <w:color w:val="auto"/>
          <w:sz w:val="32"/>
          <w:szCs w:val="32"/>
        </w:rPr>
        <w:t>得分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2C70DF41">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三、综合评价结论</w:t>
      </w:r>
    </w:p>
    <w:p w14:paraId="5EEBD947">
      <w:pPr>
        <w:spacing w:line="580" w:lineRule="exact"/>
        <w:ind w:firstLine="643" w:firstLineChars="200"/>
        <w:rPr>
          <w:rFonts w:ascii="楷体_GB2312" w:hAnsi="宋体" w:eastAsia="楷体_GB2312"/>
          <w:b/>
          <w:color w:val="auto"/>
          <w:sz w:val="32"/>
          <w:szCs w:val="32"/>
        </w:rPr>
      </w:pPr>
      <w:r>
        <w:rPr>
          <w:rFonts w:hint="eastAsia" w:ascii="楷体_GB2312" w:hAnsi="宋体" w:eastAsia="楷体_GB2312"/>
          <w:b/>
          <w:color w:val="auto"/>
          <w:sz w:val="32"/>
          <w:szCs w:val="32"/>
        </w:rPr>
        <w:t>（一）部门全部评价项目优良率</w:t>
      </w:r>
    </w:p>
    <w:p w14:paraId="720F8BC5">
      <w:pPr>
        <w:spacing w:line="580" w:lineRule="exact"/>
        <w:ind w:firstLine="640" w:firstLineChars="200"/>
        <w:rPr>
          <w:rFonts w:ascii="楷体_GB2312" w:hAnsi="宋体" w:eastAsia="楷体_GB2312"/>
          <w:b/>
          <w:color w:val="auto"/>
          <w:sz w:val="32"/>
          <w:szCs w:val="32"/>
        </w:rPr>
      </w:pPr>
      <w:r>
        <w:rPr>
          <w:rFonts w:hint="eastAsia" w:ascii="仿宋_GB2312" w:hAnsi="宋体" w:eastAsia="仿宋_GB2312"/>
          <w:color w:val="auto"/>
          <w:sz w:val="32"/>
          <w:szCs w:val="32"/>
          <w:lang w:eastAsia="zh-CN"/>
        </w:rPr>
        <w:t>本部门</w:t>
      </w:r>
      <w:r>
        <w:rPr>
          <w:rFonts w:hint="eastAsia" w:ascii="仿宋_GB2312" w:hAnsi="宋体" w:eastAsia="仿宋_GB2312"/>
          <w:color w:val="auto"/>
          <w:sz w:val="32"/>
          <w:szCs w:val="32"/>
        </w:rPr>
        <w:t>全部项目评价总数</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9个</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项目评价指标数均为优，</w:t>
      </w:r>
      <w:r>
        <w:rPr>
          <w:rFonts w:hint="eastAsia" w:ascii="仿宋_GB2312" w:hAnsi="宋体" w:eastAsia="仿宋_GB2312"/>
          <w:color w:val="auto"/>
          <w:sz w:val="32"/>
          <w:szCs w:val="32"/>
        </w:rPr>
        <w:t>评优率</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、评良率</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、评中率</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、评差率</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w:t>
      </w:r>
    </w:p>
    <w:p w14:paraId="4EB74DF1">
      <w:pPr>
        <w:numPr>
          <w:ilvl w:val="0"/>
          <w:numId w:val="2"/>
        </w:numPr>
        <w:spacing w:beforeLines="50" w:line="580" w:lineRule="exact"/>
        <w:ind w:firstLine="643" w:firstLineChars="200"/>
        <w:rPr>
          <w:rFonts w:ascii="楷体_GB2312" w:hAnsi="宋体" w:eastAsia="楷体_GB2312"/>
          <w:b/>
          <w:color w:val="auto"/>
          <w:sz w:val="32"/>
          <w:szCs w:val="32"/>
        </w:rPr>
      </w:pPr>
      <w:r>
        <w:rPr>
          <w:rFonts w:hint="eastAsia" w:ascii="楷体_GB2312" w:hAnsi="宋体" w:eastAsia="楷体_GB2312"/>
          <w:b/>
          <w:color w:val="auto"/>
          <w:sz w:val="32"/>
          <w:szCs w:val="32"/>
        </w:rPr>
        <w:t>部门整体绩效目标的完成情况</w:t>
      </w:r>
      <w:r>
        <w:rPr>
          <w:rFonts w:hint="eastAsia" w:ascii="仿宋_GB2312" w:hAnsi="仿宋" w:eastAsia="仿宋_GB2312"/>
          <w:color w:val="auto"/>
          <w:sz w:val="32"/>
          <w:szCs w:val="32"/>
        </w:rPr>
        <w:t>。</w:t>
      </w:r>
    </w:p>
    <w:p w14:paraId="58A0824C">
      <w:pPr>
        <w:numPr>
          <w:ilvl w:val="0"/>
          <w:numId w:val="0"/>
        </w:numPr>
        <w:spacing w:beforeLines="50" w:line="580" w:lineRule="exact"/>
        <w:rPr>
          <w:rFonts w:hint="default" w:ascii="楷体_GB2312" w:hAnsi="宋体" w:eastAsia="仿宋_GB2312"/>
          <w:b/>
          <w:color w:val="auto"/>
          <w:sz w:val="32"/>
          <w:szCs w:val="32"/>
          <w:lang w:val="en-US" w:eastAsia="zh-CN"/>
        </w:rPr>
      </w:pPr>
      <w:r>
        <w:rPr>
          <w:rFonts w:hint="eastAsia" w:ascii="仿宋_GB2312" w:hAnsi="仿宋" w:eastAsia="仿宋_GB2312"/>
          <w:color w:val="auto"/>
          <w:sz w:val="32"/>
          <w:szCs w:val="32"/>
          <w:lang w:val="en-US" w:eastAsia="zh-CN"/>
        </w:rPr>
        <w:t xml:space="preserve">    在区财政局的正确领导下，按照年初签订的绩效考核指标任务，充分调动和发挥领导班子和全体工作人员的积极性，认真履行相关职责，细化任务明确责任，依据指标抓进度，对照目标抓落实，全面完成了今年各项绩效考核指标任务，对于促进全区经济发展、维护社会稳定等方面发挥了重要的积极作用，取得了明显成效。</w:t>
      </w:r>
    </w:p>
    <w:p w14:paraId="67ED0303">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四、绩效项目完成情况分析及下一步改进措施。</w:t>
      </w:r>
    </w:p>
    <w:p w14:paraId="55B52E0B">
      <w:pPr>
        <w:snapToGrid w:val="0"/>
        <w:spacing w:line="580" w:lineRule="exact"/>
        <w:ind w:firstLine="640" w:firstLineChars="200"/>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eastAsia="zh-CN"/>
        </w:rPr>
        <w:t>我单位绩效评价为优等级的项目有：</w:t>
      </w:r>
      <w:r>
        <w:rPr>
          <w:rFonts w:hint="eastAsia" w:ascii="仿宋_GB2312" w:hAnsi="仿宋" w:eastAsia="仿宋_GB2312"/>
          <w:color w:val="auto"/>
          <w:sz w:val="32"/>
          <w:szCs w:val="32"/>
          <w:lang w:val="en-US" w:eastAsia="zh-CN"/>
        </w:rPr>
        <w:t>9个。</w:t>
      </w:r>
    </w:p>
    <w:p w14:paraId="461F220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 w:eastAsia="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司法所建设经费</w:t>
      </w:r>
    </w:p>
    <w:p w14:paraId="6D5FB45D">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240" w:lineRule="auto"/>
        <w:ind w:left="0" w:right="0" w:firstLine="720"/>
        <w:jc w:val="left"/>
        <w:textAlignment w:val="auto"/>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sz w:val="32"/>
          <w:szCs w:val="32"/>
          <w:lang w:val="en-US" w:eastAsia="zh-CN"/>
        </w:rPr>
        <w:t>对编入预算的司法所建设经费完成情况自评分数为98分，评价为优。下一步改进措施：</w:t>
      </w:r>
      <w:r>
        <w:rPr>
          <w:rFonts w:hint="eastAsia" w:ascii="仿宋_GB2312" w:hAnsi="仿宋_GB2312" w:eastAsia="仿宋_GB2312" w:cs="仿宋_GB2312"/>
          <w:color w:val="auto"/>
          <w:kern w:val="2"/>
          <w:sz w:val="32"/>
          <w:szCs w:val="32"/>
          <w:lang w:val="zh-CN" w:eastAsia="zh-CN" w:bidi="ar-SA"/>
        </w:rPr>
        <w:t>加大司法所工作人员培训力度。加大基层司法所工作经费和装备购置经费投入力度，确保基层司法所工作更好开展。</w:t>
      </w:r>
    </w:p>
    <w:p w14:paraId="5FEF605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leftChars="200" w:right="0" w:rightChars="0" w:firstLine="320" w:firstLineChars="1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lang w:val="en-US" w:eastAsia="zh-CN"/>
        </w:rPr>
        <w:t>法律顾问经费</w:t>
      </w:r>
    </w:p>
    <w:p w14:paraId="2343CACA">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对编入预算的法律顾问经费完成情况自评分数为98分，评价为优。下一步改进措施：进一步细化法律顾问工作任务书，使其与后期考核相匹配，提高法律顾问的履职情况。</w:t>
      </w:r>
    </w:p>
    <w:p w14:paraId="07F012F3">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sz w:val="32"/>
          <w:szCs w:val="32"/>
          <w:lang w:val="en-US" w:eastAsia="zh-CN"/>
        </w:rPr>
        <w:t>社区矫正工作经费</w:t>
      </w:r>
    </w:p>
    <w:p w14:paraId="3BB2E5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对编入预算的普法宣传与社区矫正工作经费完成情况自评分数为97分，评价为优。下一步改进措施：</w:t>
      </w:r>
      <w:r>
        <w:rPr>
          <w:rFonts w:hint="eastAsia" w:ascii="仿宋_GB2312" w:hAnsi="仿宋_GB2312" w:eastAsia="仿宋_GB2312" w:cs="仿宋_GB2312"/>
          <w:b w:val="0"/>
          <w:bCs w:val="0"/>
          <w:color w:val="auto"/>
          <w:sz w:val="32"/>
          <w:szCs w:val="32"/>
          <w:lang w:val="en-US" w:eastAsia="zh-CN"/>
        </w:rPr>
        <w:t>加强社区矫正平台建设，进一步规范社区矫正工作。</w:t>
      </w:r>
    </w:p>
    <w:p w14:paraId="0486B352">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4.</w:t>
      </w:r>
      <w:r>
        <w:rPr>
          <w:rFonts w:ascii="仿宋_GB2312" w:hAnsi="楷体" w:eastAsia="仿宋_GB2312" w:cs="黑体"/>
          <w:color w:val="auto"/>
          <w:sz w:val="32"/>
          <w:szCs w:val="32"/>
        </w:rPr>
        <w:t xml:space="preserve"> </w:t>
      </w:r>
      <w:r>
        <w:rPr>
          <w:rFonts w:hint="eastAsia" w:ascii="仿宋_GB2312" w:hAnsi="楷体" w:eastAsia="仿宋_GB2312" w:cs="黑体"/>
          <w:color w:val="auto"/>
          <w:sz w:val="32"/>
          <w:szCs w:val="32"/>
        </w:rPr>
        <w:t>法律援助、人民调解工作经费</w:t>
      </w:r>
    </w:p>
    <w:p w14:paraId="70F063AC">
      <w:pPr>
        <w:spacing w:line="52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rPr>
        <w:t>对编入预算的</w:t>
      </w:r>
      <w:r>
        <w:rPr>
          <w:rFonts w:hint="eastAsia" w:ascii="仿宋_GB2312" w:hAnsi="楷体" w:eastAsia="仿宋_GB2312" w:cs="黑体"/>
          <w:color w:val="auto"/>
          <w:sz w:val="32"/>
          <w:szCs w:val="32"/>
        </w:rPr>
        <w:t>法律援助、人民调解工作经费</w:t>
      </w:r>
      <w:r>
        <w:rPr>
          <w:rFonts w:hint="eastAsia" w:ascii="仿宋_GB2312" w:hAnsi="仿宋_GB2312" w:eastAsia="仿宋_GB2312" w:cs="仿宋_GB2312"/>
          <w:color w:val="auto"/>
          <w:sz w:val="32"/>
          <w:szCs w:val="32"/>
        </w:rPr>
        <w:t>完成情况自评分数为</w:t>
      </w:r>
      <w:r>
        <w:rPr>
          <w:rFonts w:hint="eastAsia" w:ascii="仿宋_GB2312" w:hAnsi="仿宋_GB2312" w:eastAsia="仿宋_GB2312" w:cs="仿宋_GB2312"/>
          <w:color w:val="auto"/>
          <w:sz w:val="32"/>
          <w:szCs w:val="32"/>
          <w:lang w:val="en-US" w:eastAsia="zh-CN"/>
        </w:rPr>
        <w:t>99</w:t>
      </w:r>
      <w:r>
        <w:rPr>
          <w:rFonts w:hint="eastAsia" w:ascii="仿宋_GB2312" w:hAnsi="仿宋_GB2312" w:eastAsia="仿宋_GB2312" w:cs="仿宋_GB2312"/>
          <w:color w:val="auto"/>
          <w:sz w:val="32"/>
          <w:szCs w:val="32"/>
        </w:rPr>
        <w:t>分，评价为优。下一步改进措施：加强人民调解和法律援助工作，积极组建新调解委员会。</w:t>
      </w:r>
    </w:p>
    <w:p w14:paraId="6E785DE3">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5.维稳工作经费专项资金。</w:t>
      </w:r>
    </w:p>
    <w:p w14:paraId="0987F3F5">
      <w:pPr>
        <w:spacing w:line="560" w:lineRule="exact"/>
        <w:ind w:firstLine="640" w:firstLineChars="200"/>
        <w:rPr>
          <w:rFonts w:ascii="黑体" w:hAnsi="黑体" w:eastAsia="黑体" w:cs="黑体"/>
          <w:color w:val="auto"/>
          <w:sz w:val="32"/>
          <w:szCs w:val="32"/>
        </w:rPr>
      </w:pPr>
      <w:r>
        <w:rPr>
          <w:rFonts w:hint="eastAsia" w:ascii="仿宋_GB2312" w:hAnsi="仿宋_GB2312" w:eastAsia="仿宋_GB2312" w:cs="仿宋_GB2312"/>
          <w:color w:val="auto"/>
          <w:sz w:val="32"/>
          <w:szCs w:val="32"/>
        </w:rPr>
        <w:t>维稳工作对编入预算的全部项目完成情况自评分数为</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分，评价为优。下一步改进措施：科学设置绩效目标及指标，在年初制定绩效目标时，充分考量相关影响因素，强化事前准备工作，完善指标体系建设。</w:t>
      </w:r>
    </w:p>
    <w:p w14:paraId="67B4C5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6.社会治安保险和严重精神障碍患者责任险项目工作经费</w:t>
      </w:r>
    </w:p>
    <w:p w14:paraId="736AA5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对编入预算的社会治安保险和严重精神障碍患者责任险项目完成情况自评分数为98分，评价为优。下一步改进措施：</w:t>
      </w:r>
      <w:r>
        <w:rPr>
          <w:rFonts w:hint="eastAsia" w:ascii="仿宋_GB2312" w:hAnsi="仿宋_GB2312" w:eastAsia="仿宋_GB2312" w:cs="仿宋_GB2312"/>
          <w:color w:val="auto"/>
          <w:sz w:val="32"/>
          <w:szCs w:val="32"/>
          <w:lang w:eastAsia="zh-CN"/>
        </w:rPr>
        <w:t>我们将进一步</w:t>
      </w:r>
      <w:r>
        <w:rPr>
          <w:rFonts w:hint="eastAsia" w:ascii="仿宋_GB2312" w:hAnsi="仿宋_GB2312" w:eastAsia="仿宋_GB2312" w:cs="仿宋_GB2312"/>
          <w:color w:val="auto"/>
          <w:sz w:val="32"/>
          <w:szCs w:val="32"/>
        </w:rPr>
        <w:t>推进“治安保险”</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有力抓手，通过发放宣传单、明白纸、便民联系卡以及在交通干道、</w:t>
      </w:r>
      <w:r>
        <w:rPr>
          <w:rFonts w:hint="eastAsia" w:ascii="仿宋_GB2312" w:hAnsi="仿宋_GB2312" w:eastAsia="仿宋_GB2312" w:cs="仿宋_GB2312"/>
          <w:color w:val="auto"/>
          <w:sz w:val="32"/>
          <w:szCs w:val="32"/>
          <w:lang w:eastAsia="zh-CN"/>
        </w:rPr>
        <w:t>人员密集场所</w:t>
      </w:r>
      <w:r>
        <w:rPr>
          <w:rFonts w:hint="eastAsia" w:ascii="仿宋_GB2312" w:hAnsi="仿宋_GB2312" w:eastAsia="仿宋_GB2312" w:cs="仿宋_GB2312"/>
          <w:color w:val="auto"/>
          <w:sz w:val="32"/>
          <w:szCs w:val="32"/>
        </w:rPr>
        <w:t>等显要位置制作展牌、悬挂横幅、张贴标语等形式，广泛深入地宣传治安保险的目的、意义、保险范围、理赔办法、理赔典型案例等内容，让广大群众明白了解“每天投入八分钱、可保平安一整年”的降风减灾道理，充分认识治安保险不仅是进一步加强治安防范，推动平安建设深入健康发展的创新举措，更是有效转移群众治安风险、解除群众后顾之忧、促进群众生产生活平安和谐的惠民工程</w:t>
      </w:r>
      <w:r>
        <w:rPr>
          <w:rFonts w:hint="eastAsia" w:ascii="仿宋_GB2312" w:hAnsi="仿宋_GB2312" w:eastAsia="仿宋_GB2312" w:cs="仿宋_GB2312"/>
          <w:color w:val="auto"/>
          <w:sz w:val="32"/>
          <w:szCs w:val="32"/>
          <w:lang w:eastAsia="zh-CN"/>
        </w:rPr>
        <w:t>。</w:t>
      </w:r>
    </w:p>
    <w:p w14:paraId="46B5D4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7.政法网升级扩容改造项目。</w:t>
      </w:r>
    </w:p>
    <w:p w14:paraId="0AFBD9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对编入预算的政法网升级扩容改造项目。完成情况自评分数为100分，评价为优。下一步改进措施：</w:t>
      </w:r>
      <w:r>
        <w:rPr>
          <w:rFonts w:hint="eastAsia" w:ascii="仿宋_GB2312" w:hAnsi="仿宋_GB2312" w:eastAsia="仿宋_GB2312" w:cs="仿宋_GB2312"/>
          <w:color w:val="auto"/>
          <w:sz w:val="32"/>
          <w:szCs w:val="32"/>
          <w:lang w:eastAsia="zh-CN"/>
        </w:rPr>
        <w:t>协调政法各机关做好设备日常维护，确保线路安全畅通。</w:t>
      </w:r>
    </w:p>
    <w:p w14:paraId="6B02816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8.综治重点工作经费。</w:t>
      </w:r>
    </w:p>
    <w:p w14:paraId="38DC1B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对编入预算的综治重点工作完成情况自评分数为100分，评价为优。下一步改进措施：</w:t>
      </w:r>
      <w:r>
        <w:rPr>
          <w:rFonts w:hint="eastAsia" w:ascii="仿宋_GB2312" w:hAnsi="仿宋_GB2312" w:eastAsia="仿宋_GB2312" w:cs="仿宋_GB2312"/>
          <w:color w:val="auto"/>
          <w:sz w:val="32"/>
          <w:szCs w:val="32"/>
          <w:lang w:eastAsia="zh-CN"/>
        </w:rPr>
        <w:t>为进一步加强党政领导干部保一方平安的政治责任意识，深入推进平安高新建设活动，我区制定下发了《深化平安高新建设助力唐山争创社会治安综合治理优秀市领导小组及办公室》，构建了“党政领导、综治协调、部分负责、社会协调、公众参与”的工作格局。</w:t>
      </w:r>
    </w:p>
    <w:p w14:paraId="33C032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9.雪亮工程一期维护费。</w:t>
      </w:r>
    </w:p>
    <w:p w14:paraId="3E89B5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对编入预算的雪亮工程一期维护费完成情况自评分数为100分，评价为优。下一步改进措施：继续推进雪亮工程建设，协调各有关单位共同做好雪亮工程建设，督促运维单位做好设备日常维护。</w:t>
      </w:r>
    </w:p>
    <w:p w14:paraId="59C615FB">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五、绩效评价结果拟应用情况</w:t>
      </w:r>
    </w:p>
    <w:p w14:paraId="716E72E8">
      <w:pPr>
        <w:spacing w:line="520" w:lineRule="exact"/>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绩效理念逐步树立。通过绩效评价，各处室逐步树立了绩效理念。对绩效评价工作的态度逐渐由“被动接受”变为“主动实施”。通过设定绩效目标，部门清楚地了解实施项目索要取得社会效益和经济效益，其职能和目标得到了进一步明确，部门自我约束意识及责任意识明显提高。</w:t>
      </w:r>
    </w:p>
    <w:p w14:paraId="6B08ED4E">
      <w:pPr>
        <w:spacing w:line="520" w:lineRule="exact"/>
        <w:ind w:firstLine="640" w:firstLineChars="20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支出结构得到优化。项目开展与绩效评价相结合，一方面有利于财政部门优化财政支出结构，合理分配资金，使有限的财政资金发展更大的效益。另一方面，通过开展绩效评价，为项目单位找出项目管理中存在的问题及其原因，促使预算部门和单位积极采取措施，加强项目的规划与科学论证，健全项目资金的核算与科学论证，健全项目资金的核算与管理制度，改进资金使用管理方法，逐步形成自我约束、内部规范的良性机制，提高了管理水平和资金使用效益。</w:t>
      </w:r>
    </w:p>
    <w:p w14:paraId="4822746E">
      <w:pPr>
        <w:spacing w:line="580" w:lineRule="exact"/>
        <w:ind w:left="1910" w:leftChars="300" w:hanging="1280" w:hangingChars="400"/>
        <w:rPr>
          <w:rFonts w:ascii="仿宋_GB2312" w:eastAsia="仿宋_GB2312" w:cs="仿宋_GB2312"/>
          <w:color w:val="auto"/>
          <w:sz w:val="32"/>
          <w:szCs w:val="32"/>
        </w:rPr>
      </w:pPr>
      <w:r>
        <w:rPr>
          <w:rFonts w:hint="eastAsia" w:ascii="仿宋_GB2312" w:hAnsi="宋体" w:eastAsia="仿宋_GB2312"/>
          <w:color w:val="auto"/>
          <w:sz w:val="32"/>
          <w:szCs w:val="32"/>
        </w:rPr>
        <w:t>附件：</w:t>
      </w:r>
      <w:r>
        <w:rPr>
          <w:rFonts w:ascii="仿宋_GB2312" w:eastAsia="仿宋_GB2312" w:cs="仿宋_GB2312"/>
          <w:color w:val="auto"/>
          <w:sz w:val="32"/>
          <w:szCs w:val="32"/>
        </w:rPr>
        <w:t>1.20</w:t>
      </w:r>
      <w:r>
        <w:rPr>
          <w:rFonts w:hint="eastAsia" w:ascii="仿宋_GB2312" w:eastAsia="仿宋_GB2312" w:cs="仿宋_GB2312"/>
          <w:color w:val="auto"/>
          <w:sz w:val="32"/>
          <w:szCs w:val="32"/>
          <w:lang w:val="en-US" w:eastAsia="zh-CN"/>
        </w:rPr>
        <w:t>21</w:t>
      </w:r>
      <w:r>
        <w:rPr>
          <w:rFonts w:hint="eastAsia" w:ascii="仿宋_GB2312" w:eastAsia="仿宋_GB2312" w:cs="仿宋_GB2312"/>
          <w:color w:val="auto"/>
          <w:sz w:val="32"/>
          <w:szCs w:val="32"/>
        </w:rPr>
        <w:t>年高新区部门绩效自评情况统计表</w:t>
      </w:r>
    </w:p>
    <w:p w14:paraId="5B39DD48">
      <w:pPr>
        <w:spacing w:line="580" w:lineRule="exact"/>
        <w:ind w:left="1910" w:leftChars="300" w:hanging="1280" w:hangingChars="400"/>
        <w:rPr>
          <w:rFonts w:ascii="仿宋_GB2312" w:eastAsia="仿宋_GB2312"/>
          <w:color w:val="auto"/>
          <w:sz w:val="32"/>
          <w:szCs w:val="32"/>
        </w:rPr>
      </w:pPr>
      <w:r>
        <w:rPr>
          <w:rFonts w:ascii="仿宋_GB2312" w:eastAsia="仿宋_GB2312"/>
          <w:color w:val="auto"/>
          <w:sz w:val="32"/>
          <w:szCs w:val="32"/>
        </w:rPr>
        <w:t xml:space="preserve">      2.</w:t>
      </w:r>
      <w:r>
        <w:rPr>
          <w:rFonts w:hint="eastAsia" w:ascii="仿宋_GB2312" w:eastAsia="仿宋_GB2312"/>
          <w:color w:val="auto"/>
          <w:sz w:val="32"/>
          <w:szCs w:val="32"/>
        </w:rPr>
        <w:t>部门预算项目绩效自评表（</w:t>
      </w:r>
      <w:r>
        <w:rPr>
          <w:rFonts w:ascii="仿宋_GB2312" w:eastAsia="仿宋_GB2312"/>
          <w:color w:val="auto"/>
          <w:sz w:val="32"/>
          <w:szCs w:val="32"/>
        </w:rPr>
        <w:t>20</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年度）</w:t>
      </w:r>
      <w:r>
        <w:rPr>
          <w:rFonts w:ascii="仿宋_GB2312" w:eastAsia="仿宋_GB2312"/>
          <w:color w:val="auto"/>
          <w:sz w:val="32"/>
          <w:szCs w:val="32"/>
        </w:rPr>
        <w:t xml:space="preserve"> </w:t>
      </w:r>
    </w:p>
    <w:p w14:paraId="7A180B9C">
      <w:pPr>
        <w:rPr>
          <w:color w:val="auto"/>
        </w:rPr>
      </w:pPr>
    </w:p>
    <w:p w14:paraId="4AA98905">
      <w:pPr>
        <w:rPr>
          <w:color w:val="auto"/>
        </w:rPr>
      </w:pPr>
    </w:p>
    <w:p w14:paraId="3FE34480">
      <w:pPr>
        <w:rPr>
          <w:color w:val="auto"/>
        </w:rPr>
      </w:pP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45"/>
        <w:gridCol w:w="1203"/>
        <w:gridCol w:w="1520"/>
        <w:gridCol w:w="1293"/>
        <w:gridCol w:w="1259"/>
        <w:gridCol w:w="832"/>
        <w:gridCol w:w="1109"/>
      </w:tblGrid>
      <w:tr w14:paraId="7057E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85" w:type="pct"/>
            <w:tcBorders>
              <w:top w:val="nil"/>
              <w:left w:val="nil"/>
              <w:bottom w:val="nil"/>
              <w:right w:val="nil"/>
            </w:tcBorders>
            <w:shd w:val="clear" w:color="auto" w:fill="auto"/>
            <w:noWrap/>
            <w:vAlign w:val="bottom"/>
          </w:tcPr>
          <w:p w14:paraId="54943DC1">
            <w:pPr>
              <w:keepNext w:val="0"/>
              <w:keepLines w:val="0"/>
              <w:widowControl/>
              <w:suppressLineNumbers w:val="0"/>
              <w:jc w:val="left"/>
              <w:textAlignment w:val="bottom"/>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附件1</w:t>
            </w:r>
          </w:p>
        </w:tc>
        <w:tc>
          <w:tcPr>
            <w:tcW w:w="706" w:type="pct"/>
            <w:tcBorders>
              <w:top w:val="nil"/>
              <w:left w:val="nil"/>
              <w:bottom w:val="nil"/>
              <w:right w:val="nil"/>
            </w:tcBorders>
            <w:shd w:val="clear" w:color="auto" w:fill="auto"/>
            <w:noWrap/>
            <w:vAlign w:val="bottom"/>
          </w:tcPr>
          <w:p w14:paraId="35C8C862">
            <w:pPr>
              <w:rPr>
                <w:rFonts w:hint="eastAsia" w:ascii="宋体" w:hAnsi="宋体" w:eastAsia="宋体" w:cs="宋体"/>
                <w:i w:val="0"/>
                <w:iCs w:val="0"/>
                <w:color w:val="000000"/>
                <w:sz w:val="24"/>
                <w:szCs w:val="24"/>
                <w:u w:val="none"/>
              </w:rPr>
            </w:pPr>
          </w:p>
        </w:tc>
        <w:tc>
          <w:tcPr>
            <w:tcW w:w="894" w:type="pct"/>
            <w:tcBorders>
              <w:top w:val="nil"/>
              <w:left w:val="nil"/>
              <w:bottom w:val="nil"/>
              <w:right w:val="nil"/>
            </w:tcBorders>
            <w:shd w:val="clear" w:color="auto" w:fill="auto"/>
            <w:noWrap/>
            <w:vAlign w:val="bottom"/>
          </w:tcPr>
          <w:p w14:paraId="06E7137F">
            <w:pPr>
              <w:rPr>
                <w:rFonts w:hint="eastAsia" w:ascii="宋体" w:hAnsi="宋体" w:eastAsia="宋体" w:cs="宋体"/>
                <w:i w:val="0"/>
                <w:iCs w:val="0"/>
                <w:color w:val="000000"/>
                <w:sz w:val="24"/>
                <w:szCs w:val="24"/>
                <w:u w:val="none"/>
              </w:rPr>
            </w:pPr>
          </w:p>
        </w:tc>
        <w:tc>
          <w:tcPr>
            <w:tcW w:w="759" w:type="pct"/>
            <w:tcBorders>
              <w:top w:val="nil"/>
              <w:left w:val="nil"/>
              <w:bottom w:val="nil"/>
              <w:right w:val="nil"/>
            </w:tcBorders>
            <w:shd w:val="clear" w:color="auto" w:fill="auto"/>
            <w:noWrap/>
            <w:vAlign w:val="bottom"/>
          </w:tcPr>
          <w:p w14:paraId="67EB7191">
            <w:pPr>
              <w:rPr>
                <w:rFonts w:hint="eastAsia" w:ascii="宋体" w:hAnsi="宋体" w:eastAsia="宋体" w:cs="宋体"/>
                <w:i w:val="0"/>
                <w:iCs w:val="0"/>
                <w:color w:val="000000"/>
                <w:sz w:val="24"/>
                <w:szCs w:val="24"/>
                <w:u w:val="none"/>
              </w:rPr>
            </w:pPr>
          </w:p>
        </w:tc>
        <w:tc>
          <w:tcPr>
            <w:tcW w:w="739" w:type="pct"/>
            <w:tcBorders>
              <w:top w:val="nil"/>
              <w:left w:val="nil"/>
              <w:bottom w:val="nil"/>
              <w:right w:val="nil"/>
            </w:tcBorders>
            <w:shd w:val="clear" w:color="auto" w:fill="auto"/>
            <w:noWrap/>
            <w:vAlign w:val="bottom"/>
          </w:tcPr>
          <w:p w14:paraId="53035980">
            <w:pPr>
              <w:rPr>
                <w:rFonts w:hint="eastAsia" w:ascii="宋体" w:hAnsi="宋体" w:eastAsia="宋体" w:cs="宋体"/>
                <w:i w:val="0"/>
                <w:iCs w:val="0"/>
                <w:color w:val="000000"/>
                <w:sz w:val="24"/>
                <w:szCs w:val="24"/>
                <w:u w:val="none"/>
              </w:rPr>
            </w:pPr>
          </w:p>
        </w:tc>
        <w:tc>
          <w:tcPr>
            <w:tcW w:w="484" w:type="pct"/>
            <w:tcBorders>
              <w:top w:val="nil"/>
              <w:left w:val="nil"/>
              <w:bottom w:val="nil"/>
              <w:right w:val="nil"/>
            </w:tcBorders>
            <w:shd w:val="clear" w:color="auto" w:fill="auto"/>
            <w:noWrap/>
            <w:vAlign w:val="bottom"/>
          </w:tcPr>
          <w:p w14:paraId="492FEB5F">
            <w:pPr>
              <w:rPr>
                <w:rFonts w:hint="eastAsia" w:ascii="宋体" w:hAnsi="宋体" w:eastAsia="宋体" w:cs="宋体"/>
                <w:i w:val="0"/>
                <w:iCs w:val="0"/>
                <w:color w:val="000000"/>
                <w:sz w:val="24"/>
                <w:szCs w:val="24"/>
                <w:u w:val="none"/>
              </w:rPr>
            </w:pPr>
          </w:p>
        </w:tc>
        <w:tc>
          <w:tcPr>
            <w:tcW w:w="531" w:type="pct"/>
            <w:tcBorders>
              <w:top w:val="nil"/>
              <w:left w:val="nil"/>
              <w:bottom w:val="nil"/>
              <w:right w:val="nil"/>
            </w:tcBorders>
            <w:shd w:val="clear" w:color="auto" w:fill="auto"/>
            <w:noWrap/>
            <w:vAlign w:val="bottom"/>
          </w:tcPr>
          <w:p w14:paraId="3EF55CEE">
            <w:pPr>
              <w:rPr>
                <w:rFonts w:hint="eastAsia" w:ascii="宋体" w:hAnsi="宋体" w:eastAsia="宋体" w:cs="宋体"/>
                <w:i w:val="0"/>
                <w:iCs w:val="0"/>
                <w:color w:val="000000"/>
                <w:sz w:val="24"/>
                <w:szCs w:val="24"/>
                <w:u w:val="none"/>
              </w:rPr>
            </w:pPr>
          </w:p>
        </w:tc>
      </w:tr>
      <w:tr w14:paraId="14457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000" w:type="pct"/>
            <w:gridSpan w:val="7"/>
            <w:tcBorders>
              <w:top w:val="nil"/>
              <w:left w:val="nil"/>
              <w:bottom w:val="nil"/>
              <w:right w:val="nil"/>
            </w:tcBorders>
            <w:shd w:val="clear" w:color="auto" w:fill="auto"/>
            <w:noWrap/>
            <w:vAlign w:val="center"/>
          </w:tcPr>
          <w:p w14:paraId="29B767C3">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高新区政法委部门整体支出绩效自评表（2021年）</w:t>
            </w:r>
          </w:p>
        </w:tc>
      </w:tr>
      <w:tr w14:paraId="1C4F5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7"/>
            <w:tcBorders>
              <w:top w:val="nil"/>
              <w:left w:val="nil"/>
              <w:bottom w:val="nil"/>
              <w:right w:val="nil"/>
            </w:tcBorders>
            <w:shd w:val="clear" w:color="auto" w:fill="auto"/>
            <w:noWrap/>
            <w:vAlign w:val="center"/>
          </w:tcPr>
          <w:p w14:paraId="4C0A1FD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填报单位：中共唐山高新技术产业开发区工作委员会政法委员会</w:t>
            </w:r>
          </w:p>
        </w:tc>
      </w:tr>
      <w:tr w14:paraId="2FB44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016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部门整体支出情况</w:t>
            </w:r>
          </w:p>
        </w:tc>
      </w:tr>
      <w:tr w14:paraId="36BCC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70D00">
            <w:pPr>
              <w:jc w:val="center"/>
              <w:rPr>
                <w:rFonts w:hint="eastAsia" w:ascii="宋体" w:hAnsi="宋体" w:eastAsia="宋体" w:cs="宋体"/>
                <w:i w:val="0"/>
                <w:iCs w:val="0"/>
                <w:color w:val="000000"/>
                <w:sz w:val="22"/>
                <w:szCs w:val="22"/>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5F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整体支出</w:t>
            </w:r>
          </w:p>
        </w:tc>
        <w:tc>
          <w:tcPr>
            <w:tcW w:w="165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4A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基本支出金额</w:t>
            </w:r>
          </w:p>
        </w:tc>
        <w:tc>
          <w:tcPr>
            <w:tcW w:w="175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49C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项目支出金额</w:t>
            </w:r>
          </w:p>
        </w:tc>
      </w:tr>
      <w:tr w14:paraId="50AF4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FBDCD">
            <w:pPr>
              <w:jc w:val="center"/>
              <w:rPr>
                <w:rFonts w:hint="eastAsia" w:ascii="宋体" w:hAnsi="宋体" w:eastAsia="宋体" w:cs="宋体"/>
                <w:i w:val="0"/>
                <w:iCs w:val="0"/>
                <w:color w:val="000000"/>
                <w:sz w:val="22"/>
                <w:szCs w:val="22"/>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9926B">
            <w:pPr>
              <w:jc w:val="center"/>
              <w:rPr>
                <w:rFonts w:hint="eastAsia" w:ascii="宋体" w:hAnsi="宋体" w:eastAsia="宋体" w:cs="宋体"/>
                <w:i w:val="0"/>
                <w:iCs w:val="0"/>
                <w:color w:val="000000"/>
                <w:sz w:val="22"/>
                <w:szCs w:val="22"/>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79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人员支出</w:t>
            </w: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D9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6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本级项目</w:t>
            </w: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E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转移支付项目</w:t>
            </w:r>
          </w:p>
        </w:tc>
      </w:tr>
      <w:tr w14:paraId="6CD3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8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部门预算（调整）</w:t>
            </w:r>
          </w:p>
        </w:tc>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EA76">
            <w:pPr>
              <w:keepNext w:val="0"/>
              <w:keepLines w:val="0"/>
              <w:widowControl/>
              <w:suppressLineNumbers w:val="0"/>
              <w:jc w:val="center"/>
              <w:textAlignment w:val="center"/>
              <w:rPr>
                <w:rFonts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2182.12</w:t>
            </w:r>
          </w:p>
        </w:tc>
        <w:tc>
          <w:tcPr>
            <w:tcW w:w="8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A40E8">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289.47</w:t>
            </w: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7C1FE">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13.05</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2E20">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4061.72</w:t>
            </w: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1F89">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 xml:space="preserve">0.00 </w:t>
            </w:r>
          </w:p>
        </w:tc>
      </w:tr>
      <w:tr w14:paraId="1963E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2C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w:t>
            </w:r>
          </w:p>
        </w:tc>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5B6F">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2119.83</w:t>
            </w:r>
          </w:p>
        </w:tc>
        <w:tc>
          <w:tcPr>
            <w:tcW w:w="8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4CEC4">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254.81</w:t>
            </w: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512B">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7.67</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EC1AD">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3977.17</w:t>
            </w: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7517C">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 xml:space="preserve">0.00 </w:t>
            </w:r>
          </w:p>
        </w:tc>
      </w:tr>
      <w:tr w14:paraId="4F92D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F3A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支出进度（%）</w:t>
            </w:r>
          </w:p>
        </w:tc>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3BDEC">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97.15%</w:t>
            </w:r>
          </w:p>
        </w:tc>
        <w:tc>
          <w:tcPr>
            <w:tcW w:w="8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93185">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88.03%</w:t>
            </w: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F1227">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58.77%</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7A7B">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97.92%</w:t>
            </w: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2ED5">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14:paraId="7F58C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35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绩效目标完成情况</w:t>
            </w:r>
          </w:p>
        </w:tc>
      </w:tr>
      <w:tr w14:paraId="257E4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2F0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绩效目标</w:t>
            </w:r>
          </w:p>
        </w:tc>
        <w:tc>
          <w:tcPr>
            <w:tcW w:w="16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2FB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目标及指标设置情况</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0AA7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目标（指标）完成情况</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E47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自评得分</w:t>
            </w:r>
          </w:p>
        </w:tc>
      </w:tr>
      <w:tr w14:paraId="682B6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8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8E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总体目标</w:t>
            </w:r>
          </w:p>
        </w:tc>
        <w:tc>
          <w:tcPr>
            <w:tcW w:w="1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48ADE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1.推进社会治理体系和治理能力现代化建设。2.继续做好维稳各项工作，确保社会大局稳定。3.继续做好司法法制工作，全面推进依法行政。</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E6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CEE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r>
      <w:tr w14:paraId="7A7D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0" w:hRule="atLeast"/>
        </w:trPr>
        <w:tc>
          <w:tcPr>
            <w:tcW w:w="8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13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分项绩效目标</w:t>
            </w: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9D5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目标1：以“全域覆盖、全网共享、全时可用、全程可控”为总目标，推动重点行业、领域的视频监控系统建设。</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B6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指标1：视频监控点位设备在线率需达到95%以上。</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04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ACF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7A50A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7D148">
            <w:pPr>
              <w:jc w:val="center"/>
              <w:rPr>
                <w:rFonts w:hint="eastAsia" w:ascii="宋体" w:hAnsi="宋体" w:eastAsia="宋体" w:cs="宋体"/>
                <w:i w:val="0"/>
                <w:iCs w:val="0"/>
                <w:color w:val="000000"/>
                <w:sz w:val="24"/>
                <w:szCs w:val="24"/>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24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目标2：保障政法机关网络安全运行，实现政法网互联互通。</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8A4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指标1：会议系统终端在线率达到100%。</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2A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070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C86B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82C1F">
            <w:pPr>
              <w:jc w:val="center"/>
              <w:rPr>
                <w:rFonts w:hint="eastAsia" w:ascii="宋体" w:hAnsi="宋体" w:eastAsia="宋体" w:cs="宋体"/>
                <w:i w:val="0"/>
                <w:iCs w:val="0"/>
                <w:color w:val="000000"/>
                <w:sz w:val="24"/>
                <w:szCs w:val="24"/>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CF0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目标3：营造良好的宣传氛围，激发全民参与平安创建的积极性。</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764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指标1：通过宣传，广大群众满意度达90%以上。</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0C8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84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1955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5"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AB39E">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E65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目标4：遏制重特大事故的发生，强化安全意识，切实抓好维稳工作。</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71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指标1：结合我区实际，按照党工委、管委会要求，要求各单位充分认识“两会”期间等敏感时期维稳工作的重要性，深入开展矛盾纠纷化解及重点人稳控工作。</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681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639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194D5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E496C">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2E6AD">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4AB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指标2：维护稳定安保工作≧90%。</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C5F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9A8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6617E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7C3FB">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269C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目标5：确保国家安全工作顺利开展，组织开展 “国家安全教育日”宣传活动、国家安全培训等。</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2A7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指标1：深入开展国家安全宣传教育活动，“把国家安全法和反间谍法宣传到千家万户。</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27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0E4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B29E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88AD">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1BD5F">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27E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指标2：通过发放宣传单，悬挂宣传横幅，使广大群众增强国家安全意识、敌特情意识、维稳工作意识，形成了维护国家安全的强大社会共识。</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802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60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1208A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7C2C">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FD1D9">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3F4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指标3：做好相关涉及到国家安全多种领域的隐患排查工作，把隐患降到最低，争取辖区内不出现群体性大案要案。</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0D2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40B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60FC9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639D2">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A1F1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目标6：加强对邪教组织和邪教人员依法管控，严防邪教分子制造自杀、自残等极端行为。做好教育转化工作。</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A6D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指标1：按照上级相关的文件，开展反邪教警示教育宣传。在敏感时期，对辖区内邪教组织进行深入摸排、细致侦察的基础上开展精准打击。</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BEA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2DB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3C20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E22FA">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739A0">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B3F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 组织有关部门提高政治站位。加紧部署、狠抓落实、强力推进，充分集中时间、集中力量、优化措施，实现攻坚转化。</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B8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BD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68312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2FB09">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19157">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03D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指标3：开启反邪教新征程的重大举措，严细责任措施，加大攻坚力度，对教育转化去存量攻坚战担当任事。</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A2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B5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B446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D590">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587E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目标7：及时给予法律援助，提高人民调解案件数量。</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52A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指标1：援助案件结案数量占当年援助百分比案件的95%。</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87A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57E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2BE93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5845D">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98735">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0EB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指标2：案件调解成功数量占案件总数量百分比达到90%。</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E21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B77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57F23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571BD">
            <w:pPr>
              <w:jc w:val="center"/>
              <w:rPr>
                <w:rFonts w:hint="eastAsia" w:ascii="宋体" w:hAnsi="宋体" w:eastAsia="宋体" w:cs="宋体"/>
                <w:i w:val="0"/>
                <w:iCs w:val="0"/>
                <w:color w:val="000000"/>
                <w:sz w:val="24"/>
                <w:szCs w:val="24"/>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19F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目标8：提升司法所办公设施、工作人员业务水平。</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CA3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指标1：创建1个规范化司法所，达到省级要求标准。</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D0B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CD5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C031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0858">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7E6E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目标9：完善普法宣传长效机制，提高社区矫正工作的社会效益。</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0D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指标1：普法工作覆盖率，在各个领域的普及情况达到90%。</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69F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F2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28B74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F1B3">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33E74">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807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指标2：社区矫正人员达到规范化管理达到100%。</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C29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307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7E41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AC4F">
            <w:pPr>
              <w:jc w:val="center"/>
              <w:rPr>
                <w:rFonts w:hint="eastAsia" w:ascii="宋体" w:hAnsi="宋体" w:eastAsia="宋体" w:cs="宋体"/>
                <w:i w:val="0"/>
                <w:iCs w:val="0"/>
                <w:color w:val="000000"/>
                <w:sz w:val="24"/>
                <w:szCs w:val="24"/>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DEBF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目标10：应诉案件大幅提升。</w:t>
            </w: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D47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指标1：规定时限完成法律咨询、应诉方服务达到95%。</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63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D41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6809B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A9BB8">
            <w:pPr>
              <w:jc w:val="center"/>
              <w:rPr>
                <w:rFonts w:hint="eastAsia" w:ascii="宋体" w:hAnsi="宋体" w:eastAsia="宋体" w:cs="宋体"/>
                <w:i w:val="0"/>
                <w:iCs w:val="0"/>
                <w:color w:val="000000"/>
                <w:sz w:val="24"/>
                <w:szCs w:val="24"/>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C46DE">
            <w:pPr>
              <w:jc w:val="center"/>
              <w:rPr>
                <w:rFonts w:hint="eastAsia" w:ascii="宋体" w:hAnsi="宋体" w:eastAsia="宋体" w:cs="宋体"/>
                <w:i w:val="0"/>
                <w:iCs w:val="0"/>
                <w:color w:val="000000"/>
                <w:sz w:val="24"/>
                <w:szCs w:val="24"/>
                <w:u w:val="none"/>
              </w:rPr>
            </w:pPr>
          </w:p>
        </w:tc>
        <w:tc>
          <w:tcPr>
            <w:tcW w:w="8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76E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指标2：审核数量达到50起。</w:t>
            </w:r>
          </w:p>
        </w:tc>
        <w:tc>
          <w:tcPr>
            <w:tcW w:w="19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0B8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68次</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B83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bl>
    <w:p w14:paraId="59E14464">
      <w:pPr>
        <w:rPr>
          <w:color w:val="auto"/>
        </w:rPr>
      </w:pPr>
    </w:p>
    <w:p w14:paraId="4EC86B8B">
      <w:pPr>
        <w:rPr>
          <w:color w:val="auto"/>
        </w:rPr>
      </w:pPr>
    </w:p>
    <w:p w14:paraId="3F4AFE19">
      <w:pPr>
        <w:rPr>
          <w:color w:val="auto"/>
        </w:rPr>
      </w:pPr>
    </w:p>
    <w:p w14:paraId="41CAB2D5">
      <w:pPr>
        <w:rPr>
          <w:color w:val="auto"/>
        </w:rPr>
      </w:pPr>
    </w:p>
    <w:p w14:paraId="488B8B7B">
      <w:pPr>
        <w:rPr>
          <w:color w:val="auto"/>
        </w:rPr>
      </w:pPr>
    </w:p>
    <w:p w14:paraId="63787708">
      <w:pPr>
        <w:rPr>
          <w:color w:val="auto"/>
        </w:rPr>
      </w:pPr>
    </w:p>
    <w:p w14:paraId="504F527A">
      <w:pPr>
        <w:rPr>
          <w:color w:val="auto"/>
        </w:rPr>
      </w:pPr>
    </w:p>
    <w:p w14:paraId="7D0D95F1">
      <w:pPr>
        <w:rPr>
          <w:color w:val="auto"/>
        </w:rPr>
      </w:pPr>
    </w:p>
    <w:p w14:paraId="1586D53A">
      <w:pPr>
        <w:rPr>
          <w:color w:val="auto"/>
        </w:rPr>
      </w:pPr>
    </w:p>
    <w:p w14:paraId="2F5B3A2F">
      <w:pPr>
        <w:rPr>
          <w:color w:val="auto"/>
        </w:rPr>
      </w:pPr>
    </w:p>
    <w:p w14:paraId="796A65EE">
      <w:pPr>
        <w:rPr>
          <w:color w:val="auto"/>
        </w:rPr>
      </w:pPr>
    </w:p>
    <w:p w14:paraId="6E0503A8">
      <w:pPr>
        <w:rPr>
          <w:color w:val="auto"/>
        </w:rPr>
      </w:pPr>
    </w:p>
    <w:p w14:paraId="0A846D56">
      <w:pPr>
        <w:rPr>
          <w:color w:val="auto"/>
        </w:rPr>
      </w:pPr>
    </w:p>
    <w:p w14:paraId="6B618296">
      <w:pPr>
        <w:rPr>
          <w:color w:val="auto"/>
        </w:rPr>
      </w:pPr>
    </w:p>
    <w:p w14:paraId="58DB2BDC">
      <w:pPr>
        <w:rPr>
          <w:color w:val="auto"/>
        </w:rPr>
      </w:pPr>
    </w:p>
    <w:p w14:paraId="6952F301">
      <w:pPr>
        <w:rPr>
          <w:color w:val="auto"/>
        </w:rPr>
      </w:pPr>
    </w:p>
    <w:tbl>
      <w:tblPr>
        <w:tblStyle w:val="5"/>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36"/>
        <w:gridCol w:w="1750"/>
        <w:gridCol w:w="1780"/>
        <w:gridCol w:w="1305"/>
        <w:gridCol w:w="1197"/>
        <w:gridCol w:w="1293"/>
      </w:tblGrid>
      <w:tr w14:paraId="77368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8" w:type="pct"/>
            <w:tcBorders>
              <w:top w:val="nil"/>
              <w:left w:val="nil"/>
              <w:bottom w:val="nil"/>
              <w:right w:val="nil"/>
            </w:tcBorders>
            <w:shd w:val="clear" w:color="auto" w:fill="FFFFFF"/>
            <w:noWrap/>
            <w:vAlign w:val="bottom"/>
          </w:tcPr>
          <w:p w14:paraId="1F218B41">
            <w:pPr>
              <w:keepNext w:val="0"/>
              <w:keepLines w:val="0"/>
              <w:widowControl/>
              <w:suppressLineNumbers w:val="0"/>
              <w:jc w:val="left"/>
              <w:textAlignment w:val="bottom"/>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附件2</w:t>
            </w:r>
          </w:p>
        </w:tc>
        <w:tc>
          <w:tcPr>
            <w:tcW w:w="1079" w:type="pct"/>
            <w:tcBorders>
              <w:top w:val="nil"/>
              <w:left w:val="nil"/>
              <w:bottom w:val="nil"/>
              <w:right w:val="nil"/>
            </w:tcBorders>
            <w:shd w:val="clear" w:color="auto" w:fill="FFFFFF"/>
            <w:noWrap/>
            <w:vAlign w:val="bottom"/>
          </w:tcPr>
          <w:p w14:paraId="1BCB4B9C">
            <w:pPr>
              <w:rPr>
                <w:rFonts w:hint="eastAsia" w:ascii="宋体" w:hAnsi="宋体" w:eastAsia="宋体" w:cs="宋体"/>
                <w:i w:val="0"/>
                <w:iCs w:val="0"/>
                <w:color w:val="000000"/>
                <w:sz w:val="32"/>
                <w:szCs w:val="32"/>
                <w:u w:val="none"/>
              </w:rPr>
            </w:pPr>
          </w:p>
        </w:tc>
        <w:tc>
          <w:tcPr>
            <w:tcW w:w="1099" w:type="pct"/>
            <w:tcBorders>
              <w:top w:val="nil"/>
              <w:left w:val="nil"/>
              <w:bottom w:val="nil"/>
              <w:right w:val="nil"/>
            </w:tcBorders>
            <w:shd w:val="clear" w:color="auto" w:fill="FFFFFF"/>
            <w:noWrap/>
            <w:vAlign w:val="bottom"/>
          </w:tcPr>
          <w:p w14:paraId="67E9BD03">
            <w:pPr>
              <w:rPr>
                <w:rFonts w:hint="eastAsia" w:ascii="宋体" w:hAnsi="宋体" w:eastAsia="宋体" w:cs="宋体"/>
                <w:i w:val="0"/>
                <w:iCs w:val="0"/>
                <w:color w:val="000000"/>
                <w:sz w:val="32"/>
                <w:szCs w:val="32"/>
                <w:u w:val="none"/>
              </w:rPr>
            </w:pPr>
          </w:p>
        </w:tc>
        <w:tc>
          <w:tcPr>
            <w:tcW w:w="631" w:type="pct"/>
            <w:tcBorders>
              <w:top w:val="nil"/>
              <w:left w:val="nil"/>
              <w:bottom w:val="nil"/>
              <w:right w:val="nil"/>
            </w:tcBorders>
            <w:shd w:val="clear" w:color="auto" w:fill="FFFFFF"/>
            <w:noWrap/>
            <w:vAlign w:val="bottom"/>
          </w:tcPr>
          <w:p w14:paraId="7191304F">
            <w:pPr>
              <w:rPr>
                <w:rFonts w:hint="eastAsia" w:ascii="宋体" w:hAnsi="宋体" w:eastAsia="宋体" w:cs="宋体"/>
                <w:i w:val="0"/>
                <w:iCs w:val="0"/>
                <w:color w:val="000000"/>
                <w:sz w:val="32"/>
                <w:szCs w:val="32"/>
                <w:u w:val="none"/>
              </w:rPr>
            </w:pPr>
          </w:p>
        </w:tc>
        <w:tc>
          <w:tcPr>
            <w:tcW w:w="576" w:type="pct"/>
            <w:tcBorders>
              <w:top w:val="nil"/>
              <w:left w:val="nil"/>
              <w:bottom w:val="nil"/>
              <w:right w:val="nil"/>
            </w:tcBorders>
            <w:shd w:val="clear" w:color="auto" w:fill="FFFFFF"/>
            <w:noWrap/>
            <w:vAlign w:val="bottom"/>
          </w:tcPr>
          <w:p w14:paraId="61EB526D">
            <w:pPr>
              <w:rPr>
                <w:rFonts w:hint="eastAsia" w:ascii="宋体" w:hAnsi="宋体" w:eastAsia="宋体" w:cs="宋体"/>
                <w:i w:val="0"/>
                <w:iCs w:val="0"/>
                <w:color w:val="000000"/>
                <w:sz w:val="32"/>
                <w:szCs w:val="32"/>
                <w:u w:val="none"/>
              </w:rPr>
            </w:pPr>
          </w:p>
        </w:tc>
        <w:tc>
          <w:tcPr>
            <w:tcW w:w="783" w:type="pct"/>
            <w:tcBorders>
              <w:top w:val="nil"/>
              <w:left w:val="nil"/>
              <w:bottom w:val="nil"/>
              <w:right w:val="nil"/>
            </w:tcBorders>
            <w:shd w:val="clear" w:color="auto" w:fill="FFFFFF"/>
            <w:noWrap/>
            <w:vAlign w:val="bottom"/>
          </w:tcPr>
          <w:p w14:paraId="0EB2D3EE">
            <w:pPr>
              <w:rPr>
                <w:rFonts w:hint="eastAsia" w:ascii="宋体" w:hAnsi="宋体" w:eastAsia="宋体" w:cs="宋体"/>
                <w:i w:val="0"/>
                <w:iCs w:val="0"/>
                <w:color w:val="000000"/>
                <w:sz w:val="32"/>
                <w:szCs w:val="32"/>
                <w:u w:val="none"/>
              </w:rPr>
            </w:pPr>
          </w:p>
        </w:tc>
      </w:tr>
      <w:tr w14:paraId="61B02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000" w:type="pct"/>
            <w:gridSpan w:val="6"/>
            <w:tcBorders>
              <w:top w:val="nil"/>
              <w:left w:val="nil"/>
              <w:bottom w:val="nil"/>
              <w:right w:val="nil"/>
            </w:tcBorders>
            <w:shd w:val="clear" w:color="auto" w:fill="FFFFFF"/>
            <w:noWrap/>
            <w:vAlign w:val="center"/>
          </w:tcPr>
          <w:p w14:paraId="2CCA7B19">
            <w:pPr>
              <w:keepNext w:val="0"/>
              <w:keepLines w:val="0"/>
              <w:widowControl/>
              <w:suppressLineNumbers w:val="0"/>
              <w:jc w:val="center"/>
              <w:textAlignment w:val="center"/>
              <w:rPr>
                <w:rFonts w:ascii="方正小标宋_GBK" w:hAnsi="方正小标宋_GBK" w:eastAsia="方正小标宋_GBK" w:cs="方正小标宋_GBK"/>
                <w:b/>
                <w:bCs/>
                <w:i w:val="0"/>
                <w:iCs w:val="0"/>
                <w:color w:val="000000"/>
                <w:sz w:val="52"/>
                <w:szCs w:val="52"/>
                <w:u w:val="none"/>
              </w:rPr>
            </w:pPr>
            <w:r>
              <w:rPr>
                <w:rFonts w:hint="default" w:ascii="方正小标宋_GBK" w:hAnsi="方正小标宋_GBK" w:eastAsia="方正小标宋_GBK" w:cs="方正小标宋_GBK"/>
                <w:b/>
                <w:bCs/>
                <w:i w:val="0"/>
                <w:iCs w:val="0"/>
                <w:color w:val="000000"/>
                <w:kern w:val="0"/>
                <w:sz w:val="52"/>
                <w:szCs w:val="52"/>
                <w:u w:val="none"/>
                <w:lang w:val="en-US" w:eastAsia="zh-CN" w:bidi="ar"/>
              </w:rPr>
              <w:t>高新区部门项目绩效自评情况统计表（2021年）</w:t>
            </w:r>
          </w:p>
        </w:tc>
      </w:tr>
      <w:tr w14:paraId="282C6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08" w:type="pct"/>
            <w:gridSpan w:val="2"/>
            <w:tcBorders>
              <w:top w:val="nil"/>
              <w:left w:val="nil"/>
              <w:bottom w:val="single" w:color="000000" w:sz="4" w:space="0"/>
              <w:right w:val="nil"/>
            </w:tcBorders>
            <w:shd w:val="clear" w:color="auto" w:fill="FFFFFF"/>
            <w:noWrap/>
            <w:vAlign w:val="center"/>
          </w:tcPr>
          <w:p w14:paraId="21705932">
            <w:pPr>
              <w:keepNext w:val="0"/>
              <w:keepLines w:val="0"/>
              <w:widowControl/>
              <w:suppressLineNumbers w:val="0"/>
              <w:jc w:val="left"/>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填报单位：</w:t>
            </w:r>
          </w:p>
        </w:tc>
        <w:tc>
          <w:tcPr>
            <w:tcW w:w="1099" w:type="pct"/>
            <w:tcBorders>
              <w:top w:val="nil"/>
              <w:left w:val="nil"/>
              <w:bottom w:val="nil"/>
              <w:right w:val="nil"/>
            </w:tcBorders>
            <w:shd w:val="clear" w:color="auto" w:fill="FFFFFF"/>
            <w:noWrap/>
            <w:vAlign w:val="center"/>
          </w:tcPr>
          <w:p w14:paraId="7E5C31DB">
            <w:pPr>
              <w:jc w:val="center"/>
              <w:rPr>
                <w:rFonts w:hint="default" w:ascii="方正小标宋_GBK" w:hAnsi="方正小标宋_GBK" w:eastAsia="方正小标宋_GBK" w:cs="方正小标宋_GBK"/>
                <w:i w:val="0"/>
                <w:iCs w:val="0"/>
                <w:color w:val="000000"/>
                <w:sz w:val="48"/>
                <w:szCs w:val="48"/>
                <w:u w:val="none"/>
              </w:rPr>
            </w:pPr>
          </w:p>
        </w:tc>
        <w:tc>
          <w:tcPr>
            <w:tcW w:w="631" w:type="pct"/>
            <w:tcBorders>
              <w:top w:val="nil"/>
              <w:left w:val="nil"/>
              <w:bottom w:val="nil"/>
              <w:right w:val="nil"/>
            </w:tcBorders>
            <w:shd w:val="clear" w:color="auto" w:fill="FFFFFF"/>
            <w:noWrap/>
            <w:vAlign w:val="center"/>
          </w:tcPr>
          <w:p w14:paraId="04B010ED">
            <w:pPr>
              <w:jc w:val="center"/>
              <w:rPr>
                <w:rFonts w:hint="default" w:ascii="方正小标宋_GBK" w:hAnsi="方正小标宋_GBK" w:eastAsia="方正小标宋_GBK" w:cs="方正小标宋_GBK"/>
                <w:i w:val="0"/>
                <w:iCs w:val="0"/>
                <w:color w:val="000000"/>
                <w:sz w:val="48"/>
                <w:szCs w:val="48"/>
                <w:u w:val="none"/>
              </w:rPr>
            </w:pPr>
          </w:p>
        </w:tc>
        <w:tc>
          <w:tcPr>
            <w:tcW w:w="576" w:type="pct"/>
            <w:tcBorders>
              <w:top w:val="nil"/>
              <w:left w:val="nil"/>
              <w:bottom w:val="nil"/>
              <w:right w:val="nil"/>
            </w:tcBorders>
            <w:shd w:val="clear" w:color="auto" w:fill="FFFFFF"/>
            <w:noWrap/>
            <w:vAlign w:val="center"/>
          </w:tcPr>
          <w:p w14:paraId="100D8E47">
            <w:pPr>
              <w:jc w:val="center"/>
              <w:rPr>
                <w:rFonts w:hint="default" w:ascii="方正小标宋_GBK" w:hAnsi="方正小标宋_GBK" w:eastAsia="方正小标宋_GBK" w:cs="方正小标宋_GBK"/>
                <w:i w:val="0"/>
                <w:iCs w:val="0"/>
                <w:color w:val="000000"/>
                <w:sz w:val="48"/>
                <w:szCs w:val="48"/>
                <w:u w:val="none"/>
              </w:rPr>
            </w:pPr>
          </w:p>
        </w:tc>
        <w:tc>
          <w:tcPr>
            <w:tcW w:w="783" w:type="pct"/>
            <w:tcBorders>
              <w:top w:val="nil"/>
              <w:left w:val="nil"/>
              <w:bottom w:val="nil"/>
              <w:right w:val="nil"/>
            </w:tcBorders>
            <w:shd w:val="clear" w:color="auto" w:fill="FFFFFF"/>
            <w:noWrap/>
            <w:vAlign w:val="center"/>
          </w:tcPr>
          <w:p w14:paraId="70A49708">
            <w:pPr>
              <w:jc w:val="center"/>
              <w:rPr>
                <w:rFonts w:hint="default" w:ascii="方正小标宋_GBK" w:hAnsi="方正小标宋_GBK" w:eastAsia="方正小标宋_GBK" w:cs="方正小标宋_GBK"/>
                <w:i w:val="0"/>
                <w:iCs w:val="0"/>
                <w:color w:val="000000"/>
                <w:sz w:val="48"/>
                <w:szCs w:val="48"/>
                <w:u w:val="none"/>
              </w:rPr>
            </w:pPr>
          </w:p>
        </w:tc>
      </w:tr>
      <w:tr w14:paraId="54D00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8"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650CE">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统计内容</w:t>
            </w:r>
          </w:p>
        </w:tc>
        <w:tc>
          <w:tcPr>
            <w:tcW w:w="10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F427B">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应评价数</w:t>
            </w:r>
          </w:p>
        </w:tc>
        <w:tc>
          <w:tcPr>
            <w:tcW w:w="19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FBF82">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已评价数</w:t>
            </w:r>
          </w:p>
        </w:tc>
      </w:tr>
      <w:tr w14:paraId="18AEE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8"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EA6B4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预算项目数量（个）</w:t>
            </w:r>
          </w:p>
        </w:tc>
        <w:tc>
          <w:tcPr>
            <w:tcW w:w="10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0277D">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c>
          <w:tcPr>
            <w:tcW w:w="19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D79CC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r>
      <w:tr w14:paraId="5B59B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28"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A666B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资金量（万元）</w:t>
            </w:r>
          </w:p>
        </w:tc>
        <w:tc>
          <w:tcPr>
            <w:tcW w:w="10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EA157">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其中：中央资金</w:t>
            </w:r>
          </w:p>
        </w:tc>
        <w:tc>
          <w:tcPr>
            <w:tcW w:w="10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BA307">
            <w:pPr>
              <w:jc w:val="center"/>
              <w:rPr>
                <w:rFonts w:hint="eastAsia" w:ascii="宋体" w:hAnsi="宋体" w:eastAsia="宋体" w:cs="宋体"/>
                <w:i w:val="0"/>
                <w:iCs w:val="0"/>
                <w:color w:val="000000"/>
                <w:sz w:val="32"/>
                <w:szCs w:val="32"/>
                <w:u w:val="none"/>
              </w:rPr>
            </w:pPr>
          </w:p>
        </w:tc>
        <w:tc>
          <w:tcPr>
            <w:tcW w:w="19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4BCCBF">
            <w:pPr>
              <w:jc w:val="center"/>
              <w:rPr>
                <w:rFonts w:hint="eastAsia" w:ascii="宋体" w:hAnsi="宋体" w:eastAsia="宋体" w:cs="宋体"/>
                <w:i w:val="0"/>
                <w:iCs w:val="0"/>
                <w:color w:val="000000"/>
                <w:sz w:val="32"/>
                <w:szCs w:val="32"/>
                <w:u w:val="none"/>
              </w:rPr>
            </w:pPr>
          </w:p>
        </w:tc>
      </w:tr>
      <w:tr w14:paraId="7509E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28"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0AC06">
            <w:pPr>
              <w:jc w:val="center"/>
              <w:rPr>
                <w:rFonts w:hint="eastAsia" w:ascii="宋体" w:hAnsi="宋体" w:eastAsia="宋体" w:cs="宋体"/>
                <w:b/>
                <w:bCs/>
                <w:i w:val="0"/>
                <w:iCs w:val="0"/>
                <w:color w:val="000000"/>
                <w:sz w:val="32"/>
                <w:szCs w:val="32"/>
                <w:u w:val="none"/>
              </w:rPr>
            </w:pPr>
          </w:p>
        </w:tc>
        <w:tc>
          <w:tcPr>
            <w:tcW w:w="10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52EA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省级资金</w:t>
            </w:r>
          </w:p>
        </w:tc>
        <w:tc>
          <w:tcPr>
            <w:tcW w:w="10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FAE8CA">
            <w:pPr>
              <w:jc w:val="center"/>
              <w:rPr>
                <w:rFonts w:hint="eastAsia" w:ascii="宋体" w:hAnsi="宋体" w:eastAsia="宋体" w:cs="宋体"/>
                <w:i w:val="0"/>
                <w:iCs w:val="0"/>
                <w:color w:val="000000"/>
                <w:sz w:val="32"/>
                <w:szCs w:val="32"/>
                <w:u w:val="none"/>
              </w:rPr>
            </w:pPr>
          </w:p>
        </w:tc>
        <w:tc>
          <w:tcPr>
            <w:tcW w:w="19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4F458">
            <w:pPr>
              <w:jc w:val="center"/>
              <w:rPr>
                <w:rFonts w:hint="eastAsia" w:ascii="宋体" w:hAnsi="宋体" w:eastAsia="宋体" w:cs="宋体"/>
                <w:i w:val="0"/>
                <w:iCs w:val="0"/>
                <w:color w:val="000000"/>
                <w:sz w:val="32"/>
                <w:szCs w:val="32"/>
                <w:u w:val="none"/>
              </w:rPr>
            </w:pPr>
          </w:p>
        </w:tc>
      </w:tr>
      <w:tr w14:paraId="56F74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4A09BE">
            <w:pPr>
              <w:jc w:val="center"/>
              <w:rPr>
                <w:rFonts w:hint="eastAsia" w:ascii="宋体" w:hAnsi="宋体" w:eastAsia="宋体" w:cs="宋体"/>
                <w:b/>
                <w:bCs/>
                <w:i w:val="0"/>
                <w:iCs w:val="0"/>
                <w:color w:val="000000"/>
                <w:sz w:val="32"/>
                <w:szCs w:val="32"/>
                <w:u w:val="none"/>
              </w:rPr>
            </w:pPr>
          </w:p>
        </w:tc>
        <w:tc>
          <w:tcPr>
            <w:tcW w:w="10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2EAF3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市级资金</w:t>
            </w:r>
          </w:p>
        </w:tc>
        <w:tc>
          <w:tcPr>
            <w:tcW w:w="1099" w:type="pct"/>
            <w:tcBorders>
              <w:top w:val="single" w:color="000000" w:sz="4" w:space="0"/>
              <w:left w:val="single" w:color="000000" w:sz="4" w:space="0"/>
              <w:bottom w:val="nil"/>
              <w:right w:val="nil"/>
            </w:tcBorders>
            <w:shd w:val="clear" w:color="auto" w:fill="FFFFFF"/>
            <w:noWrap/>
            <w:vAlign w:val="center"/>
          </w:tcPr>
          <w:p w14:paraId="044AFD71">
            <w:pPr>
              <w:jc w:val="center"/>
              <w:rPr>
                <w:rFonts w:hint="eastAsia" w:ascii="宋体" w:hAnsi="宋体" w:eastAsia="宋体" w:cs="宋体"/>
                <w:i w:val="0"/>
                <w:iCs w:val="0"/>
                <w:color w:val="000000"/>
                <w:sz w:val="32"/>
                <w:szCs w:val="32"/>
                <w:u w:val="none"/>
              </w:rPr>
            </w:pPr>
          </w:p>
        </w:tc>
        <w:tc>
          <w:tcPr>
            <w:tcW w:w="19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4637A">
            <w:pPr>
              <w:jc w:val="center"/>
              <w:rPr>
                <w:rFonts w:hint="eastAsia" w:ascii="宋体" w:hAnsi="宋体" w:eastAsia="宋体" w:cs="宋体"/>
                <w:i w:val="0"/>
                <w:iCs w:val="0"/>
                <w:color w:val="000000"/>
                <w:sz w:val="32"/>
                <w:szCs w:val="32"/>
                <w:u w:val="none"/>
              </w:rPr>
            </w:pPr>
          </w:p>
        </w:tc>
      </w:tr>
      <w:tr w14:paraId="12BDF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54693">
            <w:pPr>
              <w:jc w:val="center"/>
              <w:rPr>
                <w:rFonts w:hint="eastAsia" w:ascii="宋体" w:hAnsi="宋体" w:eastAsia="宋体" w:cs="宋体"/>
                <w:b/>
                <w:bCs/>
                <w:i w:val="0"/>
                <w:iCs w:val="0"/>
                <w:color w:val="000000"/>
                <w:sz w:val="32"/>
                <w:szCs w:val="32"/>
                <w:u w:val="none"/>
              </w:rPr>
            </w:pPr>
          </w:p>
        </w:tc>
        <w:tc>
          <w:tcPr>
            <w:tcW w:w="10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2599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区级资金</w:t>
            </w:r>
          </w:p>
        </w:tc>
        <w:tc>
          <w:tcPr>
            <w:tcW w:w="1099" w:type="pct"/>
            <w:tcBorders>
              <w:top w:val="single" w:color="000000" w:sz="4" w:space="0"/>
              <w:left w:val="single" w:color="000000" w:sz="4" w:space="0"/>
              <w:bottom w:val="nil"/>
              <w:right w:val="nil"/>
            </w:tcBorders>
            <w:shd w:val="clear" w:color="auto" w:fill="FFFFFF"/>
            <w:noWrap/>
            <w:vAlign w:val="center"/>
          </w:tcPr>
          <w:p w14:paraId="6BB8D315">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c>
          <w:tcPr>
            <w:tcW w:w="1991" w:type="pct"/>
            <w:gridSpan w:val="3"/>
            <w:tcBorders>
              <w:top w:val="single" w:color="000000" w:sz="4" w:space="0"/>
              <w:left w:val="single" w:color="000000" w:sz="4" w:space="0"/>
              <w:bottom w:val="nil"/>
              <w:right w:val="single" w:color="000000" w:sz="4" w:space="0"/>
            </w:tcBorders>
            <w:shd w:val="clear" w:color="auto" w:fill="FFFFFF"/>
            <w:noWrap/>
            <w:vAlign w:val="center"/>
          </w:tcPr>
          <w:p w14:paraId="39A35A0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r>
      <w:tr w14:paraId="773AF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8"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244FD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评价项目</w:t>
            </w:r>
          </w:p>
        </w:tc>
        <w:tc>
          <w:tcPr>
            <w:tcW w:w="1099" w:type="pct"/>
            <w:vMerge w:val="restart"/>
            <w:tcBorders>
              <w:top w:val="single" w:color="000000" w:sz="4" w:space="0"/>
              <w:left w:val="single" w:color="000000" w:sz="4" w:space="0"/>
              <w:bottom w:val="single" w:color="000000" w:sz="4" w:space="0"/>
              <w:right w:val="nil"/>
            </w:tcBorders>
            <w:shd w:val="clear" w:color="auto" w:fill="FFFFFF"/>
            <w:noWrap/>
            <w:vAlign w:val="center"/>
          </w:tcPr>
          <w:p w14:paraId="65ADACE4">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c>
          <w:tcPr>
            <w:tcW w:w="120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27FA34">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其中：优（90分以上）</w:t>
            </w:r>
          </w:p>
        </w:tc>
        <w:tc>
          <w:tcPr>
            <w:tcW w:w="7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F118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9 </w:t>
            </w:r>
          </w:p>
        </w:tc>
      </w:tr>
      <w:tr w14:paraId="0D6EE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8"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6F8197">
            <w:pPr>
              <w:jc w:val="center"/>
              <w:rPr>
                <w:rFonts w:hint="eastAsia" w:ascii="宋体" w:hAnsi="宋体" w:eastAsia="宋体" w:cs="宋体"/>
                <w:b/>
                <w:bCs/>
                <w:i w:val="0"/>
                <w:iCs w:val="0"/>
                <w:color w:val="000000"/>
                <w:sz w:val="32"/>
                <w:szCs w:val="32"/>
                <w:u w:val="none"/>
              </w:rPr>
            </w:pPr>
          </w:p>
        </w:tc>
        <w:tc>
          <w:tcPr>
            <w:tcW w:w="1099"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41030A71">
            <w:pPr>
              <w:jc w:val="center"/>
              <w:rPr>
                <w:rFonts w:hint="eastAsia" w:ascii="宋体" w:hAnsi="宋体" w:eastAsia="宋体" w:cs="宋体"/>
                <w:i w:val="0"/>
                <w:iCs w:val="0"/>
                <w:color w:val="000000"/>
                <w:sz w:val="32"/>
                <w:szCs w:val="32"/>
                <w:u w:val="none"/>
              </w:rPr>
            </w:pPr>
          </w:p>
        </w:tc>
        <w:tc>
          <w:tcPr>
            <w:tcW w:w="120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410E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良（80分-90分）</w:t>
            </w:r>
          </w:p>
        </w:tc>
        <w:tc>
          <w:tcPr>
            <w:tcW w:w="78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454FA0">
            <w:pPr>
              <w:jc w:val="center"/>
              <w:rPr>
                <w:rFonts w:hint="eastAsia" w:ascii="宋体" w:hAnsi="宋体" w:eastAsia="宋体" w:cs="宋体"/>
                <w:i w:val="0"/>
                <w:iCs w:val="0"/>
                <w:color w:val="000000"/>
                <w:sz w:val="32"/>
                <w:szCs w:val="32"/>
                <w:u w:val="none"/>
              </w:rPr>
            </w:pPr>
          </w:p>
        </w:tc>
      </w:tr>
      <w:tr w14:paraId="15E11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8"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3B03AD">
            <w:pPr>
              <w:jc w:val="center"/>
              <w:rPr>
                <w:rFonts w:hint="eastAsia" w:ascii="宋体" w:hAnsi="宋体" w:eastAsia="宋体" w:cs="宋体"/>
                <w:b/>
                <w:bCs/>
                <w:i w:val="0"/>
                <w:iCs w:val="0"/>
                <w:color w:val="000000"/>
                <w:sz w:val="32"/>
                <w:szCs w:val="32"/>
                <w:u w:val="none"/>
              </w:rPr>
            </w:pPr>
          </w:p>
        </w:tc>
        <w:tc>
          <w:tcPr>
            <w:tcW w:w="1099"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7C4418F3">
            <w:pPr>
              <w:jc w:val="center"/>
              <w:rPr>
                <w:rFonts w:hint="eastAsia" w:ascii="宋体" w:hAnsi="宋体" w:eastAsia="宋体" w:cs="宋体"/>
                <w:i w:val="0"/>
                <w:iCs w:val="0"/>
                <w:color w:val="000000"/>
                <w:sz w:val="32"/>
                <w:szCs w:val="32"/>
                <w:u w:val="none"/>
              </w:rPr>
            </w:pPr>
          </w:p>
        </w:tc>
        <w:tc>
          <w:tcPr>
            <w:tcW w:w="120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A687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中（60分-80分）</w:t>
            </w:r>
          </w:p>
        </w:tc>
        <w:tc>
          <w:tcPr>
            <w:tcW w:w="783" w:type="pct"/>
            <w:tcBorders>
              <w:top w:val="single" w:color="000000" w:sz="4" w:space="0"/>
              <w:left w:val="nil"/>
              <w:bottom w:val="single" w:color="000000" w:sz="4" w:space="0"/>
              <w:right w:val="single" w:color="000000" w:sz="4" w:space="0"/>
            </w:tcBorders>
            <w:shd w:val="clear" w:color="auto" w:fill="FFFFFF"/>
            <w:noWrap/>
            <w:vAlign w:val="center"/>
          </w:tcPr>
          <w:p w14:paraId="07804589">
            <w:pPr>
              <w:jc w:val="center"/>
              <w:rPr>
                <w:rFonts w:hint="eastAsia" w:ascii="宋体" w:hAnsi="宋体" w:eastAsia="宋体" w:cs="宋体"/>
                <w:i w:val="0"/>
                <w:iCs w:val="0"/>
                <w:color w:val="000000"/>
                <w:sz w:val="32"/>
                <w:szCs w:val="32"/>
                <w:u w:val="none"/>
              </w:rPr>
            </w:pPr>
          </w:p>
        </w:tc>
      </w:tr>
      <w:tr w14:paraId="7B7BB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8"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B37BDC">
            <w:pPr>
              <w:jc w:val="center"/>
              <w:rPr>
                <w:rFonts w:hint="eastAsia" w:ascii="宋体" w:hAnsi="宋体" w:eastAsia="宋体" w:cs="宋体"/>
                <w:b/>
                <w:bCs/>
                <w:i w:val="0"/>
                <w:iCs w:val="0"/>
                <w:color w:val="000000"/>
                <w:sz w:val="32"/>
                <w:szCs w:val="32"/>
                <w:u w:val="none"/>
              </w:rPr>
            </w:pPr>
          </w:p>
        </w:tc>
        <w:tc>
          <w:tcPr>
            <w:tcW w:w="1099"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223F583C">
            <w:pPr>
              <w:jc w:val="center"/>
              <w:rPr>
                <w:rFonts w:hint="eastAsia" w:ascii="宋体" w:hAnsi="宋体" w:eastAsia="宋体" w:cs="宋体"/>
                <w:i w:val="0"/>
                <w:iCs w:val="0"/>
                <w:color w:val="000000"/>
                <w:sz w:val="32"/>
                <w:szCs w:val="32"/>
                <w:u w:val="none"/>
              </w:rPr>
            </w:pPr>
          </w:p>
        </w:tc>
        <w:tc>
          <w:tcPr>
            <w:tcW w:w="120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22186">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差（60分以下）</w:t>
            </w:r>
          </w:p>
        </w:tc>
        <w:tc>
          <w:tcPr>
            <w:tcW w:w="783" w:type="pct"/>
            <w:tcBorders>
              <w:top w:val="single" w:color="000000" w:sz="4" w:space="0"/>
              <w:left w:val="nil"/>
              <w:bottom w:val="single" w:color="000000" w:sz="4" w:space="0"/>
              <w:right w:val="single" w:color="000000" w:sz="4" w:space="0"/>
            </w:tcBorders>
            <w:shd w:val="clear" w:color="auto" w:fill="FFFFFF"/>
            <w:noWrap/>
            <w:vAlign w:val="center"/>
          </w:tcPr>
          <w:p w14:paraId="46980605">
            <w:pPr>
              <w:jc w:val="center"/>
              <w:rPr>
                <w:rFonts w:hint="eastAsia" w:ascii="宋体" w:hAnsi="宋体" w:eastAsia="宋体" w:cs="宋体"/>
                <w:i w:val="0"/>
                <w:iCs w:val="0"/>
                <w:color w:val="000000"/>
                <w:sz w:val="32"/>
                <w:szCs w:val="32"/>
                <w:u w:val="none"/>
              </w:rPr>
            </w:pPr>
          </w:p>
        </w:tc>
      </w:tr>
    </w:tbl>
    <w:p w14:paraId="4632E5F8">
      <w:pPr>
        <w:rPr>
          <w:color w:val="auto"/>
        </w:rPr>
      </w:pPr>
    </w:p>
    <w:p w14:paraId="5C7626AE">
      <w:pPr>
        <w:rPr>
          <w:color w:val="auto"/>
        </w:rPr>
      </w:pPr>
    </w:p>
    <w:p w14:paraId="0FE5A5B5">
      <w:pPr>
        <w:rPr>
          <w:color w:val="auto"/>
        </w:rPr>
      </w:pPr>
    </w:p>
    <w:p w14:paraId="7E8A152F">
      <w:pPr>
        <w:rPr>
          <w:color w:val="auto"/>
        </w:rPr>
      </w:pPr>
    </w:p>
    <w:p w14:paraId="093FA819">
      <w:pPr>
        <w:rPr>
          <w:color w:val="auto"/>
        </w:rPr>
      </w:pPr>
    </w:p>
    <w:p w14:paraId="60E26D44">
      <w:pPr>
        <w:rPr>
          <w:color w:val="auto"/>
        </w:rPr>
      </w:pPr>
    </w:p>
    <w:p w14:paraId="5A9E71B0">
      <w:pPr>
        <w:rPr>
          <w:color w:val="auto"/>
        </w:rPr>
      </w:pPr>
    </w:p>
    <w:p w14:paraId="73511ED2">
      <w:pPr>
        <w:rPr>
          <w:color w:val="auto"/>
        </w:rPr>
      </w:pPr>
    </w:p>
    <w:p w14:paraId="76629E6E">
      <w:pPr>
        <w:rPr>
          <w:color w:val="auto"/>
        </w:rPr>
      </w:pPr>
    </w:p>
    <w:p w14:paraId="48445E09">
      <w:pPr>
        <w:rPr>
          <w:color w:val="auto"/>
        </w:rPr>
      </w:pPr>
    </w:p>
    <w:p w14:paraId="5182EC1A">
      <w:pPr>
        <w:rPr>
          <w:color w:val="auto"/>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C98268"/>
    <w:multiLevelType w:val="singleLevel"/>
    <w:tmpl w:val="3FC98268"/>
    <w:lvl w:ilvl="0" w:tentative="0">
      <w:start w:val="2"/>
      <w:numFmt w:val="chineseCounting"/>
      <w:suff w:val="nothing"/>
      <w:lvlText w:val="（%1）"/>
      <w:lvlJc w:val="left"/>
      <w:rPr>
        <w:rFonts w:hint="eastAsia"/>
      </w:rPr>
    </w:lvl>
  </w:abstractNum>
  <w:abstractNum w:abstractNumId="1">
    <w:nsid w:val="5CB74B90"/>
    <w:multiLevelType w:val="singleLevel"/>
    <w:tmpl w:val="5CB74B90"/>
    <w:lvl w:ilvl="0" w:tentative="0">
      <w:start w:val="2"/>
      <w:numFmt w:val="chineseCounting"/>
      <w:suff w:val="nothing"/>
      <w:lvlText w:val="（%1）"/>
      <w:lvlJc w:val="left"/>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5656A7"/>
    <w:rsid w:val="00570193"/>
    <w:rsid w:val="0058619E"/>
    <w:rsid w:val="005E5369"/>
    <w:rsid w:val="006377E6"/>
    <w:rsid w:val="00671415"/>
    <w:rsid w:val="006D44A4"/>
    <w:rsid w:val="006F4C2C"/>
    <w:rsid w:val="007A5273"/>
    <w:rsid w:val="007D04FC"/>
    <w:rsid w:val="007D5BD8"/>
    <w:rsid w:val="007F2CE5"/>
    <w:rsid w:val="0086193F"/>
    <w:rsid w:val="00873C29"/>
    <w:rsid w:val="00883B3F"/>
    <w:rsid w:val="008E56B5"/>
    <w:rsid w:val="008F1B44"/>
    <w:rsid w:val="00996253"/>
    <w:rsid w:val="00A52608"/>
    <w:rsid w:val="00AB5E10"/>
    <w:rsid w:val="00AC4691"/>
    <w:rsid w:val="00AD40CE"/>
    <w:rsid w:val="00AE697E"/>
    <w:rsid w:val="00BB6E9C"/>
    <w:rsid w:val="00BE03EA"/>
    <w:rsid w:val="00BE0760"/>
    <w:rsid w:val="00C051CC"/>
    <w:rsid w:val="00C174A3"/>
    <w:rsid w:val="00C208E5"/>
    <w:rsid w:val="00C40C33"/>
    <w:rsid w:val="00C54086"/>
    <w:rsid w:val="00C85848"/>
    <w:rsid w:val="00C95C20"/>
    <w:rsid w:val="00D62B9E"/>
    <w:rsid w:val="00D91BAB"/>
    <w:rsid w:val="00DA09C8"/>
    <w:rsid w:val="00DA32EE"/>
    <w:rsid w:val="00DB370F"/>
    <w:rsid w:val="00DC0BCF"/>
    <w:rsid w:val="00DD22CB"/>
    <w:rsid w:val="00E00507"/>
    <w:rsid w:val="00E01723"/>
    <w:rsid w:val="00EA30AC"/>
    <w:rsid w:val="00F45A68"/>
    <w:rsid w:val="012216E3"/>
    <w:rsid w:val="019A5107"/>
    <w:rsid w:val="0455278D"/>
    <w:rsid w:val="045B719A"/>
    <w:rsid w:val="06B74A73"/>
    <w:rsid w:val="070A7892"/>
    <w:rsid w:val="07C05C3C"/>
    <w:rsid w:val="08573FC9"/>
    <w:rsid w:val="087E3938"/>
    <w:rsid w:val="08CB214F"/>
    <w:rsid w:val="0936230E"/>
    <w:rsid w:val="0984603C"/>
    <w:rsid w:val="0AE73E5B"/>
    <w:rsid w:val="0BF866EE"/>
    <w:rsid w:val="0C543AE8"/>
    <w:rsid w:val="0C7025AB"/>
    <w:rsid w:val="0D1B257C"/>
    <w:rsid w:val="0D6142E6"/>
    <w:rsid w:val="0E6221FC"/>
    <w:rsid w:val="0F7D4EA3"/>
    <w:rsid w:val="0FB07D63"/>
    <w:rsid w:val="10661327"/>
    <w:rsid w:val="10B94EB3"/>
    <w:rsid w:val="11811A92"/>
    <w:rsid w:val="159A4183"/>
    <w:rsid w:val="16105EE8"/>
    <w:rsid w:val="16564D8C"/>
    <w:rsid w:val="19CF7755"/>
    <w:rsid w:val="1A5D3AA0"/>
    <w:rsid w:val="1B6234F0"/>
    <w:rsid w:val="1B791F55"/>
    <w:rsid w:val="1C35023A"/>
    <w:rsid w:val="1C792DDD"/>
    <w:rsid w:val="1E0D29B5"/>
    <w:rsid w:val="1E1249CC"/>
    <w:rsid w:val="1EA01D97"/>
    <w:rsid w:val="1EC44F49"/>
    <w:rsid w:val="1F1A0CDD"/>
    <w:rsid w:val="1FEB45FC"/>
    <w:rsid w:val="202B0207"/>
    <w:rsid w:val="232A5FC8"/>
    <w:rsid w:val="23671DD1"/>
    <w:rsid w:val="23916076"/>
    <w:rsid w:val="242C30EE"/>
    <w:rsid w:val="243F4BE0"/>
    <w:rsid w:val="248A0E30"/>
    <w:rsid w:val="25190278"/>
    <w:rsid w:val="256A7680"/>
    <w:rsid w:val="273C4D88"/>
    <w:rsid w:val="275D0669"/>
    <w:rsid w:val="27FD5BB8"/>
    <w:rsid w:val="281C0041"/>
    <w:rsid w:val="28724E4A"/>
    <w:rsid w:val="297758F1"/>
    <w:rsid w:val="2AB313B6"/>
    <w:rsid w:val="2C171958"/>
    <w:rsid w:val="2D3143AE"/>
    <w:rsid w:val="2E815755"/>
    <w:rsid w:val="31371F11"/>
    <w:rsid w:val="32B8586B"/>
    <w:rsid w:val="336C0139"/>
    <w:rsid w:val="343B0EE5"/>
    <w:rsid w:val="34443A58"/>
    <w:rsid w:val="35587085"/>
    <w:rsid w:val="3596712D"/>
    <w:rsid w:val="36637CE4"/>
    <w:rsid w:val="367B4843"/>
    <w:rsid w:val="36AC0F72"/>
    <w:rsid w:val="37B76C32"/>
    <w:rsid w:val="39226380"/>
    <w:rsid w:val="39BB7137"/>
    <w:rsid w:val="3BA72A3A"/>
    <w:rsid w:val="3BD3094A"/>
    <w:rsid w:val="3F670416"/>
    <w:rsid w:val="3FC206B6"/>
    <w:rsid w:val="4211165C"/>
    <w:rsid w:val="45A44140"/>
    <w:rsid w:val="46750C7A"/>
    <w:rsid w:val="46B30BB2"/>
    <w:rsid w:val="48997963"/>
    <w:rsid w:val="498848D8"/>
    <w:rsid w:val="49D11C76"/>
    <w:rsid w:val="4AF04351"/>
    <w:rsid w:val="4D11222B"/>
    <w:rsid w:val="4D1B1D73"/>
    <w:rsid w:val="4D636FA4"/>
    <w:rsid w:val="4DC64463"/>
    <w:rsid w:val="4E382E48"/>
    <w:rsid w:val="506F7A72"/>
    <w:rsid w:val="5199010F"/>
    <w:rsid w:val="52ED77AB"/>
    <w:rsid w:val="568774F1"/>
    <w:rsid w:val="56E41DA1"/>
    <w:rsid w:val="57AC7514"/>
    <w:rsid w:val="57C23A22"/>
    <w:rsid w:val="58393BDE"/>
    <w:rsid w:val="584A2143"/>
    <w:rsid w:val="586568A8"/>
    <w:rsid w:val="5876412D"/>
    <w:rsid w:val="59EB2201"/>
    <w:rsid w:val="59F03B5A"/>
    <w:rsid w:val="5A9A357E"/>
    <w:rsid w:val="5EFE197D"/>
    <w:rsid w:val="663F627B"/>
    <w:rsid w:val="66E03967"/>
    <w:rsid w:val="69574662"/>
    <w:rsid w:val="6A002279"/>
    <w:rsid w:val="6B542A21"/>
    <w:rsid w:val="6BE12A87"/>
    <w:rsid w:val="6BE322A1"/>
    <w:rsid w:val="6C0764B3"/>
    <w:rsid w:val="6CCB337F"/>
    <w:rsid w:val="6F477F81"/>
    <w:rsid w:val="6FD73CD2"/>
    <w:rsid w:val="71600CAF"/>
    <w:rsid w:val="734E723C"/>
    <w:rsid w:val="741D1ECB"/>
    <w:rsid w:val="74F71DB5"/>
    <w:rsid w:val="77C50BCD"/>
    <w:rsid w:val="782C30FC"/>
    <w:rsid w:val="78552939"/>
    <w:rsid w:val="79BA42F1"/>
    <w:rsid w:val="79CC1B89"/>
    <w:rsid w:val="79F6394F"/>
    <w:rsid w:val="7C9F5E2E"/>
    <w:rsid w:val="7D61689F"/>
    <w:rsid w:val="7DCF3A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Footer Char"/>
    <w:basedOn w:val="6"/>
    <w:link w:val="2"/>
    <w:qFormat/>
    <w:locked/>
    <w:uiPriority w:val="99"/>
    <w:rPr>
      <w:rFonts w:cs="Times New Roman"/>
      <w:sz w:val="18"/>
      <w:szCs w:val="18"/>
    </w:rPr>
  </w:style>
  <w:style w:type="character" w:customStyle="1" w:styleId="8">
    <w:name w:val="Header Char"/>
    <w:basedOn w:val="6"/>
    <w:link w:val="3"/>
    <w:qFormat/>
    <w:locked/>
    <w:uiPriority w:val="99"/>
    <w:rPr>
      <w:rFonts w:cs="Times New Roman"/>
      <w:sz w:val="18"/>
      <w:szCs w:val="18"/>
    </w:rPr>
  </w:style>
  <w:style w:type="character" w:customStyle="1" w:styleId="9">
    <w:name w:val="font71"/>
    <w:basedOn w:val="6"/>
    <w:qFormat/>
    <w:uiPriority w:val="0"/>
    <w:rPr>
      <w:rFonts w:hint="eastAsia" w:ascii="宋体" w:hAnsi="宋体" w:eastAsia="宋体" w:cs="宋体"/>
      <w:color w:val="000000"/>
      <w:sz w:val="16"/>
      <w:szCs w:val="16"/>
      <w:u w:val="none"/>
    </w:rPr>
  </w:style>
  <w:style w:type="character" w:customStyle="1" w:styleId="10">
    <w:name w:val="font21"/>
    <w:basedOn w:val="6"/>
    <w:qFormat/>
    <w:uiPriority w:val="0"/>
    <w:rPr>
      <w:rFonts w:ascii="Calibri" w:hAnsi="Calibri" w:cs="Calibri"/>
      <w:color w:val="000000"/>
      <w:sz w:val="16"/>
      <w:szCs w:val="16"/>
      <w:u w:val="none"/>
    </w:rPr>
  </w:style>
  <w:style w:type="character" w:customStyle="1" w:styleId="11">
    <w:name w:val="font41"/>
    <w:basedOn w:val="6"/>
    <w:qFormat/>
    <w:uiPriority w:val="0"/>
    <w:rPr>
      <w:rFonts w:ascii="Arial Unicode MS" w:hAnsi="Arial Unicode MS" w:eastAsia="Arial Unicode MS" w:cs="Arial Unicode MS"/>
      <w:color w:val="000000"/>
      <w:sz w:val="16"/>
      <w:szCs w:val="16"/>
      <w:u w:val="none"/>
    </w:rPr>
  </w:style>
  <w:style w:type="character" w:customStyle="1" w:styleId="12">
    <w:name w:val="font81"/>
    <w:basedOn w:val="6"/>
    <w:qFormat/>
    <w:uiPriority w:val="0"/>
    <w:rPr>
      <w:rFonts w:hint="eastAsia" w:ascii="宋体" w:hAnsi="宋体" w:eastAsia="宋体" w:cs="宋体"/>
      <w:color w:val="000000"/>
      <w:sz w:val="16"/>
      <w:szCs w:val="16"/>
      <w:u w:val="none"/>
    </w:rPr>
  </w:style>
  <w:style w:type="character" w:customStyle="1" w:styleId="13">
    <w:name w:val="font01"/>
    <w:basedOn w:val="6"/>
    <w:qFormat/>
    <w:uiPriority w:val="0"/>
    <w:rPr>
      <w:rFonts w:ascii="Arial Unicode MS" w:hAnsi="Arial Unicode MS" w:eastAsia="Arial Unicode MS" w:cs="Arial Unicode MS"/>
      <w:color w:val="000000"/>
      <w:sz w:val="16"/>
      <w:szCs w:val="16"/>
      <w:u w:val="none"/>
    </w:rPr>
  </w:style>
  <w:style w:type="character" w:customStyle="1" w:styleId="14">
    <w:name w:val="font101"/>
    <w:basedOn w:val="6"/>
    <w:qFormat/>
    <w:uiPriority w:val="0"/>
    <w:rPr>
      <w:rFonts w:ascii="Calibri" w:hAnsi="Calibri" w:cs="Calibri"/>
      <w:color w:val="000000"/>
      <w:sz w:val="16"/>
      <w:szCs w:val="16"/>
      <w:u w:val="none"/>
    </w:rPr>
  </w:style>
  <w:style w:type="character" w:customStyle="1" w:styleId="15">
    <w:name w:val="font51"/>
    <w:basedOn w:val="6"/>
    <w:qFormat/>
    <w:uiPriority w:val="0"/>
    <w:rPr>
      <w:rFonts w:hint="eastAsia" w:ascii="宋体" w:hAnsi="宋体" w:eastAsia="宋体" w:cs="宋体"/>
      <w:color w:val="000000"/>
      <w:sz w:val="16"/>
      <w:szCs w:val="16"/>
      <w:u w:val="none"/>
    </w:rPr>
  </w:style>
  <w:style w:type="character" w:customStyle="1" w:styleId="16">
    <w:name w:val="font142"/>
    <w:basedOn w:val="6"/>
    <w:qFormat/>
    <w:uiPriority w:val="0"/>
    <w:rPr>
      <w:rFonts w:ascii="Calibri" w:hAnsi="Calibri" w:cs="Calibri"/>
      <w:color w:val="000000"/>
      <w:sz w:val="16"/>
      <w:szCs w:val="16"/>
      <w:u w:val="none"/>
    </w:rPr>
  </w:style>
  <w:style w:type="character" w:customStyle="1" w:styleId="17">
    <w:name w:val="font31"/>
    <w:basedOn w:val="6"/>
    <w:qFormat/>
    <w:uiPriority w:val="0"/>
    <w:rPr>
      <w:rFonts w:hint="eastAsia" w:ascii="宋体" w:hAnsi="宋体" w:eastAsia="宋体" w:cs="宋体"/>
      <w:color w:val="000000"/>
      <w:sz w:val="16"/>
      <w:szCs w:val="16"/>
      <w:u w:val="none"/>
    </w:rPr>
  </w:style>
  <w:style w:type="character" w:customStyle="1" w:styleId="18">
    <w:name w:val="font91"/>
    <w:basedOn w:val="6"/>
    <w:qFormat/>
    <w:uiPriority w:val="0"/>
    <w:rPr>
      <w:rFonts w:ascii="Calibri" w:hAnsi="Calibri" w:cs="Calibri"/>
      <w:color w:val="000000"/>
      <w:sz w:val="16"/>
      <w:szCs w:val="16"/>
      <w:u w:val="none"/>
    </w:rPr>
  </w:style>
  <w:style w:type="character" w:customStyle="1" w:styleId="19">
    <w:name w:val="font11"/>
    <w:basedOn w:val="6"/>
    <w:qFormat/>
    <w:uiPriority w:val="0"/>
    <w:rPr>
      <w:rFonts w:ascii="Calibri" w:hAnsi="Calibri" w:cs="Calibri"/>
      <w:color w:val="000000"/>
      <w:sz w:val="16"/>
      <w:szCs w:val="16"/>
      <w:u w:val="none"/>
    </w:rPr>
  </w:style>
  <w:style w:type="character" w:customStyle="1" w:styleId="20">
    <w:name w:val="font121"/>
    <w:basedOn w:val="6"/>
    <w:qFormat/>
    <w:uiPriority w:val="0"/>
    <w:rPr>
      <w:rFonts w:ascii="Calibri" w:hAnsi="Calibri" w:cs="Calibri"/>
      <w:color w:val="000000"/>
      <w:sz w:val="16"/>
      <w:szCs w:val="16"/>
      <w:u w:val="none"/>
    </w:rPr>
  </w:style>
  <w:style w:type="character" w:customStyle="1" w:styleId="21">
    <w:name w:val="font61"/>
    <w:basedOn w:val="6"/>
    <w:qFormat/>
    <w:uiPriority w:val="0"/>
    <w:rPr>
      <w:rFonts w:hint="eastAsia" w:ascii="宋体" w:hAnsi="宋体" w:eastAsia="宋体" w:cs="宋体"/>
      <w:color w:val="000000"/>
      <w:sz w:val="16"/>
      <w:szCs w:val="16"/>
      <w:u w:val="none"/>
    </w:rPr>
  </w:style>
  <w:style w:type="character" w:customStyle="1" w:styleId="22">
    <w:name w:val="font141"/>
    <w:basedOn w:val="6"/>
    <w:qFormat/>
    <w:uiPriority w:val="0"/>
    <w:rPr>
      <w:rFonts w:ascii="Calibri" w:hAnsi="Calibri" w:cs="Calibri"/>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P R C</Company>
  <Pages>26</Pages>
  <Words>8210</Words>
  <Characters>8818</Characters>
  <Lines>0</Lines>
  <Paragraphs>0</Paragraphs>
  <TotalTime>2</TotalTime>
  <ScaleCrop>false</ScaleCrop>
  <LinksUpToDate>false</LinksUpToDate>
  <CharactersWithSpaces>8869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勇敢编辑部</cp:lastModifiedBy>
  <cp:lastPrinted>2022-01-20T01:48:00Z</cp:lastPrinted>
  <dcterms:modified xsi:type="dcterms:W3CDTF">2025-02-14T07:35:09Z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eyJoZGlkIjoiMWZhOWFkNjBiNzczM2ZkNWJlMmFkMGI2YmI1ZWNmNGIiLCJ1c2VySWQiOiIxNjU1MzMyOTYxIn0=</vt:lpwstr>
  </property>
  <property fmtid="{D5CDD505-2E9C-101B-9397-08002B2CF9AE}" pid="4" name="ICV">
    <vt:lpwstr>352509483C2745B7ACC48810861AF6F6_12</vt:lpwstr>
  </property>
</Properties>
</file>